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8E1" w:rsidRDefault="007D58E1" w:rsidP="007D58E1">
      <w:pPr>
        <w:spacing w:line="360" w:lineRule="auto"/>
        <w:jc w:val="both"/>
        <w:rPr>
          <w:rFonts w:ascii="Verdana" w:hAnsi="Verdana" w:cs="Verdana"/>
          <w:b/>
          <w:color w:val="C0504D" w:themeColor="accent2"/>
          <w:sz w:val="32"/>
          <w:szCs w:val="32"/>
          <w:lang w:val="es-MX"/>
        </w:rPr>
      </w:pPr>
      <w:proofErr w:type="spellStart"/>
      <w:r w:rsidRPr="007D58E1">
        <w:rPr>
          <w:rFonts w:ascii="Verdana" w:hAnsi="Verdana" w:cs="Verdana"/>
          <w:b/>
          <w:color w:val="C0504D" w:themeColor="accent2"/>
          <w:sz w:val="32"/>
          <w:szCs w:val="32"/>
          <w:lang w:val="es-MX"/>
        </w:rPr>
        <w:t>Morfovirtual</w:t>
      </w:r>
      <w:proofErr w:type="spellEnd"/>
      <w:r w:rsidRPr="007D58E1">
        <w:rPr>
          <w:rFonts w:ascii="Verdana" w:hAnsi="Verdana" w:cs="Verdana"/>
          <w:b/>
          <w:color w:val="C0504D" w:themeColor="accent2"/>
          <w:sz w:val="32"/>
          <w:szCs w:val="32"/>
          <w:lang w:val="es-MX"/>
        </w:rPr>
        <w:t xml:space="preserve"> 2022</w:t>
      </w:r>
    </w:p>
    <w:p w:rsidR="007D58E1" w:rsidRPr="007D58E1" w:rsidRDefault="007D58E1" w:rsidP="007D58E1">
      <w:pPr>
        <w:spacing w:line="360" w:lineRule="auto"/>
        <w:jc w:val="both"/>
        <w:rPr>
          <w:rFonts w:ascii="Verdana" w:hAnsi="Verdana" w:cs="Verdana"/>
          <w:b/>
          <w:color w:val="C0504D" w:themeColor="accent2"/>
          <w:sz w:val="32"/>
          <w:szCs w:val="32"/>
          <w:lang w:val="es-MX"/>
        </w:rPr>
      </w:pPr>
      <w:r>
        <w:rPr>
          <w:rFonts w:ascii="Verdana" w:hAnsi="Verdana" w:cs="Verdana"/>
          <w:b/>
          <w:color w:val="C0504D" w:themeColor="accent2"/>
          <w:sz w:val="32"/>
          <w:szCs w:val="32"/>
          <w:lang w:val="es-MX"/>
        </w:rPr>
        <w:t xml:space="preserve">        </w:t>
      </w:r>
      <w:r w:rsidRPr="007D58E1">
        <w:rPr>
          <w:rFonts w:ascii="Verdana" w:hAnsi="Verdana" w:cs="Verdana"/>
          <w:b/>
          <w:color w:val="C0504D" w:themeColor="accent2"/>
          <w:sz w:val="32"/>
          <w:szCs w:val="32"/>
          <w:lang w:val="es-MX"/>
        </w:rPr>
        <w:t xml:space="preserve">VI Congreso virtual de Ciencias Morfológicas. </w:t>
      </w:r>
      <w:r>
        <w:rPr>
          <w:rFonts w:ascii="Verdana" w:hAnsi="Verdana" w:cs="Verdana"/>
          <w:b/>
          <w:color w:val="C0504D" w:themeColor="accent2"/>
          <w:sz w:val="32"/>
          <w:szCs w:val="32"/>
          <w:lang w:val="es-MX"/>
        </w:rPr>
        <w:t xml:space="preserve">Sexta </w:t>
      </w:r>
      <w:r w:rsidRPr="007D58E1">
        <w:rPr>
          <w:rFonts w:ascii="Verdana" w:hAnsi="Verdana" w:cs="Verdana"/>
          <w:b/>
          <w:color w:val="C0504D" w:themeColor="accent2"/>
          <w:sz w:val="32"/>
          <w:szCs w:val="32"/>
          <w:lang w:val="es-MX"/>
        </w:rPr>
        <w:t>Jornada Científica de la Cátedra Santiago Ramón y Cajal.</w:t>
      </w:r>
    </w:p>
    <w:p w:rsidR="00D71650" w:rsidRDefault="009503D6">
      <w:pPr>
        <w:spacing w:line="360" w:lineRule="auto"/>
        <w:jc w:val="both"/>
        <w:rPr>
          <w:rFonts w:ascii="Verdana" w:hAnsi="Verdana" w:cs="Verdana"/>
          <w:b/>
          <w:bCs/>
          <w:sz w:val="28"/>
          <w:szCs w:val="28"/>
        </w:rPr>
      </w:pPr>
      <w:r>
        <w:rPr>
          <w:rFonts w:ascii="Verdana" w:hAnsi="Verdana" w:cs="Verdana"/>
          <w:b/>
          <w:sz w:val="28"/>
          <w:szCs w:val="28"/>
        </w:rPr>
        <w:t xml:space="preserve">CARACTERIZACIÓN </w:t>
      </w:r>
      <w:r>
        <w:rPr>
          <w:rFonts w:ascii="Verdana" w:eastAsia="Calibri" w:hAnsi="Verdana" w:cs="Verdana"/>
          <w:b/>
          <w:bCs/>
          <w:sz w:val="28"/>
          <w:szCs w:val="28"/>
        </w:rPr>
        <w:t>MORFOMÉTRICA DEL CRECIMIENTO PLACENTARIO EN GESTANTES CON PREECLAMPSIA.</w:t>
      </w:r>
      <w:r w:rsidR="007E3C41">
        <w:rPr>
          <w:rFonts w:ascii="Verdana" w:eastAsia="Calibri" w:hAnsi="Verdana" w:cs="Verdana"/>
          <w:b/>
          <w:bCs/>
          <w:sz w:val="28"/>
          <w:szCs w:val="28"/>
        </w:rPr>
        <w:t xml:space="preserve"> </w:t>
      </w:r>
      <w:r>
        <w:rPr>
          <w:rFonts w:ascii="Verdana" w:eastAsia="Calibri" w:hAnsi="Verdana" w:cs="Verdana"/>
          <w:b/>
          <w:bCs/>
          <w:sz w:val="28"/>
          <w:szCs w:val="28"/>
        </w:rPr>
        <w:t>HOLGUÍN, 2018 A 2020</w:t>
      </w:r>
    </w:p>
    <w:p w:rsidR="00D71650" w:rsidRPr="000734EB" w:rsidRDefault="009503D6">
      <w:pPr>
        <w:spacing w:after="0" w:line="360" w:lineRule="auto"/>
        <w:jc w:val="both"/>
        <w:rPr>
          <w:rFonts w:ascii="Verdana" w:hAnsi="Verdana" w:cs="Verdana"/>
          <w:lang w:val="en-US" w:eastAsia="es-ES"/>
        </w:rPr>
      </w:pPr>
      <w:proofErr w:type="spellStart"/>
      <w:r>
        <w:rPr>
          <w:rFonts w:ascii="Verdana" w:eastAsia="Times New Roman" w:hAnsi="Verdana" w:cs="Verdana"/>
          <w:lang w:eastAsia="es-ES"/>
        </w:rPr>
        <w:t>Oleydis</w:t>
      </w:r>
      <w:proofErr w:type="spellEnd"/>
      <w:r>
        <w:rPr>
          <w:rFonts w:ascii="Verdana" w:eastAsia="Times New Roman" w:hAnsi="Verdana" w:cs="Verdana"/>
          <w:lang w:val="en-US" w:eastAsia="es-ES"/>
        </w:rPr>
        <w:t>,</w:t>
      </w:r>
      <w:r>
        <w:rPr>
          <w:rFonts w:ascii="Verdana" w:eastAsia="Times New Roman" w:hAnsi="Verdana" w:cs="Verdana"/>
          <w:lang w:eastAsia="es-ES"/>
        </w:rPr>
        <w:t xml:space="preserve"> Clemente Ricardo</w:t>
      </w:r>
      <w:r>
        <w:rPr>
          <w:rFonts w:ascii="Verdana" w:hAnsi="Verdana" w:cs="Verdana"/>
          <w:vertAlign w:val="superscript"/>
          <w:lang w:eastAsia="es-ES"/>
        </w:rPr>
        <w:t>1</w:t>
      </w:r>
      <w:r w:rsidR="00604115">
        <w:rPr>
          <w:rFonts w:ascii="Verdana" w:hAnsi="Verdana" w:cs="Verdana"/>
          <w:lang w:eastAsia="es-ES"/>
        </w:rPr>
        <w:t>,</w:t>
      </w:r>
      <w:r w:rsidR="007E3C41">
        <w:rPr>
          <w:rFonts w:ascii="Verdana" w:hAnsi="Verdana" w:cs="Verdana"/>
          <w:vertAlign w:val="superscript"/>
          <w:lang w:eastAsia="es-ES"/>
        </w:rPr>
        <w:t xml:space="preserve"> </w:t>
      </w:r>
      <w:r>
        <w:rPr>
          <w:rFonts w:ascii="Verdana" w:eastAsia="Calibri" w:hAnsi="Verdana" w:cs="Verdana"/>
        </w:rPr>
        <w:t>Yolanda Cecilia</w:t>
      </w:r>
      <w:r w:rsidR="007E3C41">
        <w:rPr>
          <w:rFonts w:ascii="Verdana" w:eastAsia="Calibri" w:hAnsi="Verdana" w:cs="Verdana"/>
        </w:rPr>
        <w:t>,</w:t>
      </w:r>
      <w:r>
        <w:rPr>
          <w:rFonts w:ascii="Verdana" w:eastAsia="Calibri" w:hAnsi="Verdana" w:cs="Verdana"/>
        </w:rPr>
        <w:t xml:space="preserve"> Cruz </w:t>
      </w:r>
      <w:r w:rsidR="00604115">
        <w:rPr>
          <w:rFonts w:ascii="Verdana" w:hAnsi="Verdana" w:cs="Verdana"/>
        </w:rPr>
        <w:t>Suárez</w:t>
      </w:r>
      <w:r>
        <w:rPr>
          <w:rFonts w:ascii="Verdana" w:hAnsi="Verdana" w:cs="Verdana"/>
          <w:vertAlign w:val="superscript"/>
          <w:lang w:eastAsia="es-ES"/>
        </w:rPr>
        <w:t>2</w:t>
      </w:r>
      <w:r w:rsidR="00604115">
        <w:rPr>
          <w:rFonts w:ascii="Verdana" w:hAnsi="Verdana" w:cs="Verdana"/>
          <w:lang w:eastAsia="es-ES"/>
        </w:rPr>
        <w:t>,</w:t>
      </w:r>
      <w:r>
        <w:rPr>
          <w:rFonts w:ascii="Verdana" w:hAnsi="Verdana" w:cs="Verdana"/>
        </w:rPr>
        <w:t xml:space="preserve"> </w:t>
      </w:r>
      <w:r>
        <w:rPr>
          <w:rFonts w:ascii="Verdana" w:eastAsia="Calibri" w:hAnsi="Verdana" w:cs="Verdana"/>
        </w:rPr>
        <w:t>Pedro Augusto</w:t>
      </w:r>
      <w:r w:rsidR="00604115">
        <w:rPr>
          <w:rFonts w:ascii="Verdana" w:eastAsia="Calibri" w:hAnsi="Verdana" w:cs="Verdana"/>
        </w:rPr>
        <w:t>,</w:t>
      </w:r>
      <w:r>
        <w:rPr>
          <w:rFonts w:ascii="Verdana" w:eastAsia="Calibri" w:hAnsi="Verdana" w:cs="Verdana"/>
        </w:rPr>
        <w:t xml:space="preserve"> Díaz Rojas</w:t>
      </w:r>
      <w:r w:rsidR="007E3C41" w:rsidRPr="007E3C41">
        <w:rPr>
          <w:rFonts w:ascii="Verdana" w:hAnsi="Verdana" w:cs="Verdana"/>
          <w:vertAlign w:val="superscript"/>
          <w:lang w:eastAsia="es-ES"/>
        </w:rPr>
        <w:t>3</w:t>
      </w:r>
      <w:r w:rsidR="000734EB">
        <w:rPr>
          <w:rFonts w:ascii="Verdana" w:eastAsia="Calibri" w:hAnsi="Verdana" w:cs="Verdana"/>
        </w:rPr>
        <w:t xml:space="preserve">, </w:t>
      </w:r>
      <w:proofErr w:type="spellStart"/>
      <w:r w:rsidR="007E3C41">
        <w:rPr>
          <w:rFonts w:ascii="Verdana" w:eastAsia="Calibri" w:hAnsi="Verdana" w:cs="Verdana"/>
        </w:rPr>
        <w:t>Yisel</w:t>
      </w:r>
      <w:proofErr w:type="spellEnd"/>
      <w:r w:rsidR="000734EB">
        <w:rPr>
          <w:rFonts w:ascii="Verdana" w:eastAsia="Calibri" w:hAnsi="Verdana" w:cs="Verdana"/>
        </w:rPr>
        <w:t>, De la Cruz Brocard</w:t>
      </w:r>
      <w:r>
        <w:rPr>
          <w:rFonts w:ascii="Verdana" w:hAnsi="Verdana" w:cs="Verdana"/>
          <w:vertAlign w:val="superscript"/>
          <w:lang w:eastAsia="es-ES"/>
        </w:rPr>
        <w:t>4</w:t>
      </w:r>
      <w:r w:rsidR="000734EB">
        <w:rPr>
          <w:rFonts w:ascii="Verdana" w:hAnsi="Verdana" w:cs="Verdana"/>
          <w:lang w:eastAsia="es-ES"/>
        </w:rPr>
        <w:t>.</w:t>
      </w:r>
    </w:p>
    <w:p w:rsidR="00D71650" w:rsidRDefault="009503D6">
      <w:pPr>
        <w:spacing w:after="0" w:line="360" w:lineRule="auto"/>
        <w:jc w:val="both"/>
        <w:rPr>
          <w:rFonts w:ascii="Verdana" w:hAnsi="Verdana" w:cs="Verdana"/>
        </w:rPr>
      </w:pPr>
      <w:r>
        <w:rPr>
          <w:rFonts w:ascii="Verdana" w:hAnsi="Verdana" w:cs="Verdana"/>
          <w:vertAlign w:val="superscript"/>
          <w:lang w:eastAsia="es-ES"/>
        </w:rPr>
        <w:t>1</w:t>
      </w:r>
      <w:r>
        <w:rPr>
          <w:rFonts w:ascii="Verdana" w:hAnsi="Verdana" w:cs="Verdana"/>
          <w:vertAlign w:val="superscript"/>
          <w:lang w:val="en-US" w:eastAsia="es-ES"/>
        </w:rPr>
        <w:t xml:space="preserve"> </w:t>
      </w:r>
      <w:r>
        <w:rPr>
          <w:rFonts w:ascii="Verdana" w:hAnsi="Verdana" w:cs="Verdana"/>
        </w:rPr>
        <w:t>Especialista</w:t>
      </w:r>
      <w:r w:rsidR="007E3C41">
        <w:rPr>
          <w:rFonts w:ascii="Verdana" w:hAnsi="Verdana" w:cs="Verdana"/>
        </w:rPr>
        <w:t xml:space="preserve"> de Primer Grado en Embriología. </w:t>
      </w:r>
      <w:r>
        <w:rPr>
          <w:rFonts w:ascii="Verdana" w:hAnsi="Verdana" w:cs="Verdana"/>
        </w:rPr>
        <w:t>Departamento de Ciencias Básicas,</w:t>
      </w:r>
      <w:r w:rsidR="000734EB">
        <w:rPr>
          <w:rFonts w:ascii="Verdana" w:hAnsi="Verdana" w:cs="Verdana"/>
        </w:rPr>
        <w:t xml:space="preserve"> </w:t>
      </w:r>
      <w:r>
        <w:rPr>
          <w:rFonts w:ascii="Verdana" w:hAnsi="Verdana" w:cs="Verdana"/>
          <w:vertAlign w:val="superscript"/>
          <w:lang w:eastAsia="es-ES"/>
        </w:rPr>
        <w:t>2</w:t>
      </w:r>
      <w:r>
        <w:rPr>
          <w:rFonts w:ascii="Verdana" w:hAnsi="Verdana" w:cs="Verdana"/>
          <w:vertAlign w:val="superscript"/>
          <w:lang w:val="en-US" w:eastAsia="es-ES"/>
        </w:rPr>
        <w:t xml:space="preserve"> </w:t>
      </w:r>
      <w:r>
        <w:rPr>
          <w:rFonts w:ascii="Verdana" w:hAnsi="Verdana" w:cs="Verdana"/>
        </w:rPr>
        <w:t>Especialista de Primer Grado en Embriología. Master en ciencias de la educación médica,</w:t>
      </w:r>
      <w:r w:rsidR="000734EB">
        <w:rPr>
          <w:rFonts w:ascii="Verdana" w:hAnsi="Verdana" w:cs="Verdana"/>
        </w:rPr>
        <w:t xml:space="preserve"> </w:t>
      </w:r>
      <w:r>
        <w:rPr>
          <w:rFonts w:ascii="Verdana" w:hAnsi="Verdana" w:cs="Verdana"/>
        </w:rPr>
        <w:t>Departamento de Ciencias Básicas,</w:t>
      </w:r>
      <w:r w:rsidR="000734EB">
        <w:rPr>
          <w:rFonts w:ascii="Verdana" w:hAnsi="Verdana" w:cs="Verdana"/>
        </w:rPr>
        <w:t xml:space="preserve"> </w:t>
      </w:r>
      <w:r>
        <w:rPr>
          <w:rFonts w:ascii="Verdana" w:hAnsi="Verdana" w:cs="Verdana"/>
          <w:vertAlign w:val="superscript"/>
          <w:lang w:eastAsia="es-ES"/>
        </w:rPr>
        <w:t>3</w:t>
      </w:r>
      <w:r>
        <w:rPr>
          <w:rFonts w:ascii="Verdana" w:hAnsi="Verdana" w:cs="Verdana"/>
          <w:vertAlign w:val="superscript"/>
          <w:lang w:val="en-US" w:eastAsia="es-ES"/>
        </w:rPr>
        <w:t xml:space="preserve"> </w:t>
      </w:r>
      <w:r>
        <w:rPr>
          <w:rFonts w:ascii="Verdana" w:hAnsi="Verdana" w:cs="Verdana"/>
        </w:rPr>
        <w:t>Especialista de Segundo Grado en Histología.</w:t>
      </w:r>
      <w:r w:rsidR="000734EB">
        <w:rPr>
          <w:rFonts w:ascii="Verdana" w:hAnsi="Verdana" w:cs="Verdana"/>
        </w:rPr>
        <w:t xml:space="preserve"> </w:t>
      </w:r>
      <w:r>
        <w:rPr>
          <w:rFonts w:ascii="Verdana" w:hAnsi="Verdana" w:cs="Verdana"/>
        </w:rPr>
        <w:t>Doctor en Ciencias de la Educación Médica,</w:t>
      </w:r>
      <w:r w:rsidR="000734EB">
        <w:rPr>
          <w:rFonts w:ascii="Verdana" w:hAnsi="Verdana" w:cs="Verdana"/>
        </w:rPr>
        <w:t xml:space="preserve"> </w:t>
      </w:r>
      <w:r>
        <w:rPr>
          <w:rFonts w:ascii="Verdana" w:hAnsi="Verdana" w:cs="Verdana"/>
        </w:rPr>
        <w:t>Departamento de Ciencias Básicas,</w:t>
      </w:r>
      <w:r>
        <w:rPr>
          <w:rFonts w:ascii="Verdana" w:eastAsia="Calibri" w:hAnsi="Verdana" w:cs="Verdana"/>
        </w:rPr>
        <w:t xml:space="preserve"> </w:t>
      </w:r>
      <w:r>
        <w:rPr>
          <w:rFonts w:ascii="Verdana" w:hAnsi="Verdana" w:cs="Verdana"/>
          <w:vertAlign w:val="superscript"/>
          <w:lang w:eastAsia="es-ES"/>
        </w:rPr>
        <w:t>4</w:t>
      </w:r>
      <w:r w:rsidR="000734EB">
        <w:rPr>
          <w:rFonts w:ascii="Verdana" w:hAnsi="Verdana" w:cs="Verdana"/>
          <w:vertAlign w:val="superscript"/>
          <w:lang w:val="en-US" w:eastAsia="es-ES"/>
        </w:rPr>
        <w:t xml:space="preserve"> </w:t>
      </w:r>
      <w:r>
        <w:rPr>
          <w:rFonts w:ascii="Verdana" w:hAnsi="Verdana" w:cs="Verdana"/>
        </w:rPr>
        <w:t>Licenciada en Lengua Inglesa,</w:t>
      </w:r>
      <w:r w:rsidR="007E3C41">
        <w:rPr>
          <w:rFonts w:ascii="Verdana" w:hAnsi="Verdana" w:cs="Verdana"/>
        </w:rPr>
        <w:t xml:space="preserve"> </w:t>
      </w:r>
      <w:r>
        <w:rPr>
          <w:rFonts w:ascii="Verdana" w:hAnsi="Verdana" w:cs="Verdana"/>
        </w:rPr>
        <w:t>Departamento de Inglés</w:t>
      </w:r>
      <w:r w:rsidR="000734EB">
        <w:rPr>
          <w:rFonts w:ascii="Verdana" w:hAnsi="Verdana" w:cs="Verdana"/>
        </w:rPr>
        <w:t>.</w:t>
      </w:r>
    </w:p>
    <w:p w:rsidR="00D71650" w:rsidRDefault="009503D6">
      <w:pPr>
        <w:spacing w:after="0" w:line="360" w:lineRule="auto"/>
        <w:jc w:val="both"/>
        <w:rPr>
          <w:rFonts w:ascii="Verdana" w:eastAsia="Times New Roman" w:hAnsi="Verdana" w:cs="Verdana"/>
          <w:bCs/>
          <w:lang w:eastAsia="es-ES"/>
        </w:rPr>
      </w:pPr>
      <w:r>
        <w:rPr>
          <w:rFonts w:ascii="Verdana" w:eastAsia="Times New Roman" w:hAnsi="Verdana" w:cs="Verdana"/>
          <w:lang w:eastAsia="es-ES"/>
        </w:rPr>
        <w:t>Facultad de ciencias médicas</w:t>
      </w:r>
      <w:r>
        <w:rPr>
          <w:rFonts w:ascii="Verdana" w:eastAsia="Calibri" w:hAnsi="Verdana" w:cs="Verdana"/>
          <w:b/>
        </w:rPr>
        <w:t xml:space="preserve"> </w:t>
      </w:r>
      <w:r w:rsidRPr="000734EB">
        <w:rPr>
          <w:rFonts w:ascii="Verdana" w:eastAsia="Calibri" w:hAnsi="Verdana" w:cs="Verdana"/>
        </w:rPr>
        <w:t>“</w:t>
      </w:r>
      <w:r w:rsidRPr="000734EB">
        <w:rPr>
          <w:rFonts w:ascii="Verdana" w:eastAsia="Times New Roman" w:hAnsi="Verdana" w:cs="Verdana"/>
          <w:lang w:eastAsia="es-ES"/>
        </w:rPr>
        <w:t>Mariana Grajales C</w:t>
      </w:r>
      <w:r w:rsidRPr="000734EB">
        <w:rPr>
          <w:rFonts w:ascii="Verdana" w:eastAsia="Times New Roman" w:hAnsi="Verdana" w:cs="Verdana"/>
          <w:lang w:val="en-US" w:eastAsia="es-ES"/>
        </w:rPr>
        <w:t>o</w:t>
      </w:r>
      <w:r w:rsidRPr="000734EB">
        <w:rPr>
          <w:rFonts w:ascii="Verdana" w:eastAsia="Times New Roman" w:hAnsi="Verdana" w:cs="Verdana"/>
          <w:lang w:eastAsia="es-ES"/>
        </w:rPr>
        <w:t>ello</w:t>
      </w:r>
      <w:r w:rsidRPr="000734EB">
        <w:rPr>
          <w:rFonts w:ascii="Verdana" w:eastAsia="Calibri" w:hAnsi="Verdana" w:cs="Verdana"/>
        </w:rPr>
        <w:t>”</w:t>
      </w:r>
      <w:r w:rsidRPr="000734EB">
        <w:rPr>
          <w:rFonts w:ascii="Verdana" w:eastAsia="Times New Roman" w:hAnsi="Verdana" w:cs="Verdana"/>
          <w:lang w:eastAsia="es-ES"/>
        </w:rPr>
        <w:t xml:space="preserve">. Universidad de ciencias médicas de Holguín, </w:t>
      </w:r>
      <w:r w:rsidRPr="000734EB">
        <w:rPr>
          <w:rFonts w:ascii="Verdana" w:eastAsia="Times New Roman" w:hAnsi="Verdana" w:cs="Verdana"/>
          <w:bCs/>
          <w:lang w:eastAsia="es-ES"/>
        </w:rPr>
        <w:t>provincia Holguín, municipio Holguín, Cuba</w:t>
      </w:r>
      <w:r w:rsidR="000734EB">
        <w:rPr>
          <w:rFonts w:ascii="Verdana" w:eastAsia="Times New Roman" w:hAnsi="Verdana" w:cs="Verdana"/>
          <w:bCs/>
          <w:lang w:eastAsia="es-ES"/>
        </w:rPr>
        <w:t>.</w:t>
      </w:r>
    </w:p>
    <w:p w:rsidR="00D71650" w:rsidRDefault="009503D6">
      <w:pPr>
        <w:spacing w:before="100" w:beforeAutospacing="1" w:after="100" w:afterAutospacing="1" w:line="360" w:lineRule="auto"/>
        <w:jc w:val="both"/>
        <w:rPr>
          <w:rFonts w:ascii="Verdana" w:eastAsia="Times New Roman" w:hAnsi="Verdana" w:cs="Verdana"/>
          <w:bCs/>
          <w:lang w:eastAsia="es-ES"/>
        </w:rPr>
      </w:pPr>
      <w:r>
        <w:rPr>
          <w:rFonts w:ascii="Verdana" w:eastAsia="Times New Roman" w:hAnsi="Verdana" w:cs="Verdana"/>
          <w:lang w:eastAsia="es-ES"/>
        </w:rPr>
        <w:t xml:space="preserve">email: oleydishlg@infomed.sld.cu </w:t>
      </w:r>
    </w:p>
    <w:p w:rsidR="00D71650" w:rsidRDefault="009503D6">
      <w:pPr>
        <w:spacing w:before="100" w:beforeAutospacing="1" w:after="100" w:afterAutospacing="1" w:line="360" w:lineRule="auto"/>
        <w:jc w:val="both"/>
        <w:rPr>
          <w:rFonts w:ascii="Verdana" w:eastAsia="Times New Roman" w:hAnsi="Verdana" w:cs="Verdana"/>
          <w:b/>
          <w:bCs/>
          <w:lang w:eastAsia="es-ES"/>
        </w:rPr>
      </w:pPr>
      <w:r>
        <w:rPr>
          <w:rFonts w:ascii="Verdana" w:eastAsia="Times New Roman" w:hAnsi="Verdana" w:cs="Verdana"/>
          <w:b/>
          <w:bCs/>
          <w:lang w:eastAsia="es-ES"/>
        </w:rPr>
        <w:t xml:space="preserve">RESUMEN </w:t>
      </w:r>
    </w:p>
    <w:p w:rsidR="00D71650" w:rsidRDefault="009503D6">
      <w:pPr>
        <w:spacing w:before="100" w:beforeAutospacing="1" w:after="100" w:afterAutospacing="1" w:line="360" w:lineRule="auto"/>
        <w:jc w:val="both"/>
        <w:rPr>
          <w:rFonts w:ascii="Verdana" w:eastAsia="Calibri" w:hAnsi="Verdana" w:cs="Verdana"/>
        </w:rPr>
      </w:pPr>
      <w:r>
        <w:rPr>
          <w:rFonts w:ascii="Verdana" w:eastAsia="Calibri" w:hAnsi="Verdana" w:cs="Verdana"/>
          <w:b/>
        </w:rPr>
        <w:t>Introducción</w:t>
      </w:r>
      <w:r>
        <w:rPr>
          <w:rFonts w:ascii="Verdana" w:eastAsia="Calibri" w:hAnsi="Verdana" w:cs="Verdana"/>
        </w:rPr>
        <w:t xml:space="preserve">: La cuantificación del desarrollo placentario en la </w:t>
      </w:r>
      <w:proofErr w:type="spellStart"/>
      <w:r>
        <w:rPr>
          <w:rFonts w:ascii="Verdana" w:eastAsia="Calibri" w:hAnsi="Verdana" w:cs="Verdana"/>
        </w:rPr>
        <w:t>preeclampsia</w:t>
      </w:r>
      <w:proofErr w:type="spellEnd"/>
      <w:r>
        <w:rPr>
          <w:rFonts w:ascii="Verdana" w:eastAsia="Calibri" w:hAnsi="Verdana" w:cs="Verdana"/>
        </w:rPr>
        <w:t xml:space="preserve"> es trascendental para el estudio de esta patología de la gestación. </w:t>
      </w:r>
      <w:r>
        <w:rPr>
          <w:rFonts w:ascii="Verdana" w:eastAsia="Calibri" w:hAnsi="Verdana" w:cs="Verdana"/>
          <w:b/>
        </w:rPr>
        <w:t>Objetivo</w:t>
      </w:r>
      <w:r>
        <w:rPr>
          <w:rFonts w:ascii="Verdana" w:eastAsia="Calibri" w:hAnsi="Verdana" w:cs="Verdana"/>
        </w:rPr>
        <w:t xml:space="preserve">: Caracterizar </w:t>
      </w:r>
      <w:proofErr w:type="spellStart"/>
      <w:r>
        <w:rPr>
          <w:rFonts w:ascii="Verdana" w:eastAsia="Calibri" w:hAnsi="Verdana" w:cs="Verdana"/>
        </w:rPr>
        <w:t>morfométricamente</w:t>
      </w:r>
      <w:proofErr w:type="spellEnd"/>
      <w:r>
        <w:rPr>
          <w:rFonts w:ascii="Verdana" w:eastAsia="Calibri" w:hAnsi="Verdana" w:cs="Verdana"/>
        </w:rPr>
        <w:t xml:space="preserve"> el crecimiento placentario en gestantes con </w:t>
      </w:r>
      <w:proofErr w:type="spellStart"/>
      <w:r>
        <w:rPr>
          <w:rFonts w:ascii="Verdana" w:eastAsia="Calibri" w:hAnsi="Verdana" w:cs="Verdana"/>
        </w:rPr>
        <w:t>preeclampsia</w:t>
      </w:r>
      <w:proofErr w:type="spellEnd"/>
      <w:r>
        <w:rPr>
          <w:rFonts w:ascii="Verdana" w:eastAsia="Calibri" w:hAnsi="Verdana" w:cs="Verdana"/>
        </w:rPr>
        <w:t xml:space="preserve">. </w:t>
      </w:r>
      <w:r>
        <w:rPr>
          <w:rFonts w:ascii="Verdana" w:eastAsia="Calibri" w:hAnsi="Verdana" w:cs="Verdana"/>
          <w:b/>
        </w:rPr>
        <w:t>Método</w:t>
      </w:r>
      <w:r>
        <w:rPr>
          <w:rFonts w:ascii="Verdana" w:eastAsia="Calibri" w:hAnsi="Verdana" w:cs="Verdana"/>
        </w:rPr>
        <w:t xml:space="preserve">: </w:t>
      </w:r>
      <w:r w:rsidR="006C64CD">
        <w:rPr>
          <w:rFonts w:ascii="Verdana" w:eastAsia="Calibri" w:hAnsi="Verdana" w:cs="Verdana"/>
        </w:rPr>
        <w:t>Estudio</w:t>
      </w:r>
      <w:r>
        <w:rPr>
          <w:rFonts w:ascii="Verdana" w:eastAsia="Calibri" w:hAnsi="Verdana" w:cs="Verdana"/>
        </w:rPr>
        <w:t xml:space="preserve"> de serie de casos que responde a un proyecto de investigación con enfoque mixto. El universo incluyó las placentas de gestantes con </w:t>
      </w:r>
      <w:proofErr w:type="spellStart"/>
      <w:r>
        <w:rPr>
          <w:rFonts w:ascii="Verdana" w:eastAsia="Calibri" w:hAnsi="Verdana" w:cs="Verdana"/>
        </w:rPr>
        <w:t>pr</w:t>
      </w:r>
      <w:r w:rsidR="00D44FDE">
        <w:rPr>
          <w:rFonts w:ascii="Verdana" w:eastAsia="Calibri" w:hAnsi="Verdana" w:cs="Verdana"/>
        </w:rPr>
        <w:t>eeclampsia</w:t>
      </w:r>
      <w:proofErr w:type="spellEnd"/>
      <w:r w:rsidR="00D44FDE">
        <w:rPr>
          <w:rFonts w:ascii="Verdana" w:eastAsia="Calibri" w:hAnsi="Verdana" w:cs="Verdana"/>
        </w:rPr>
        <w:t xml:space="preserve"> y parto por cesárea</w:t>
      </w:r>
      <w:r w:rsidR="0058197E">
        <w:rPr>
          <w:rFonts w:ascii="Verdana" w:eastAsia="Calibri" w:hAnsi="Verdana" w:cs="Verdana"/>
        </w:rPr>
        <w:t xml:space="preserve"> entre 2018 y 2020</w:t>
      </w:r>
      <w:r w:rsidR="006F15AF">
        <w:rPr>
          <w:rFonts w:ascii="Verdana" w:eastAsia="Calibri" w:hAnsi="Verdana" w:cs="Verdana"/>
        </w:rPr>
        <w:t xml:space="preserve"> en el hospital Vladimir Ilich Lenin</w:t>
      </w:r>
      <w:r w:rsidR="00D44FDE">
        <w:rPr>
          <w:rFonts w:ascii="Verdana" w:eastAsia="Calibri" w:hAnsi="Verdana" w:cs="Verdana"/>
        </w:rPr>
        <w:t>. L</w:t>
      </w:r>
      <w:r>
        <w:rPr>
          <w:rFonts w:ascii="Verdana" w:eastAsia="Calibri" w:hAnsi="Verdana" w:cs="Verdana"/>
        </w:rPr>
        <w:t>a muestra</w:t>
      </w:r>
      <w:r w:rsidR="006F15AF">
        <w:rPr>
          <w:rFonts w:ascii="Verdana" w:eastAsia="Calibri" w:hAnsi="Verdana" w:cs="Verdana"/>
        </w:rPr>
        <w:t xml:space="preserve"> </w:t>
      </w:r>
      <w:r>
        <w:rPr>
          <w:rFonts w:ascii="Verdana" w:eastAsia="Calibri" w:hAnsi="Verdana" w:cs="Verdana"/>
        </w:rPr>
        <w:t>intencionada</w:t>
      </w:r>
      <w:r w:rsidR="006C64CD">
        <w:rPr>
          <w:rFonts w:ascii="Verdana" w:eastAsia="Calibri" w:hAnsi="Verdana" w:cs="Verdana"/>
        </w:rPr>
        <w:t xml:space="preserve"> </w:t>
      </w:r>
      <w:r w:rsidR="007005AE">
        <w:rPr>
          <w:rFonts w:ascii="Verdana" w:eastAsia="Calibri" w:hAnsi="Verdana" w:cs="Verdana"/>
        </w:rPr>
        <w:t>quedó constituida por</w:t>
      </w:r>
      <w:r>
        <w:rPr>
          <w:rFonts w:ascii="Verdana" w:eastAsia="Calibri" w:hAnsi="Verdana" w:cs="Verdana"/>
        </w:rPr>
        <w:t xml:space="preserve"> 16 placentas. Se </w:t>
      </w:r>
      <w:r w:rsidR="00D44FDE">
        <w:rPr>
          <w:rFonts w:ascii="Verdana" w:eastAsia="Calibri" w:hAnsi="Verdana" w:cs="Verdana"/>
        </w:rPr>
        <w:t xml:space="preserve">realizó </w:t>
      </w:r>
      <w:proofErr w:type="spellStart"/>
      <w:r w:rsidR="00D44FDE">
        <w:rPr>
          <w:rFonts w:ascii="Verdana" w:eastAsia="Calibri" w:hAnsi="Verdana" w:cs="Verdana"/>
        </w:rPr>
        <w:t>morfometría</w:t>
      </w:r>
      <w:proofErr w:type="spellEnd"/>
      <w:r w:rsidR="00D44FDE">
        <w:rPr>
          <w:rFonts w:ascii="Verdana" w:eastAsia="Calibri" w:hAnsi="Verdana" w:cs="Verdana"/>
        </w:rPr>
        <w:t xml:space="preserve"> macrosc</w:t>
      </w:r>
      <w:r w:rsidR="007005AE">
        <w:rPr>
          <w:rFonts w:ascii="Verdana" w:eastAsia="Calibri" w:hAnsi="Verdana" w:cs="Verdana"/>
        </w:rPr>
        <w:t>ópica,</w:t>
      </w:r>
      <w:r w:rsidR="00D44FDE">
        <w:rPr>
          <w:rFonts w:ascii="Verdana" w:eastAsia="Calibri" w:hAnsi="Verdana" w:cs="Verdana"/>
        </w:rPr>
        <w:t xml:space="preserve"> </w:t>
      </w:r>
      <w:r w:rsidR="006C64CD">
        <w:rPr>
          <w:rFonts w:ascii="Verdana" w:eastAsia="Calibri" w:hAnsi="Verdana" w:cs="Verdana"/>
        </w:rPr>
        <w:t>procesamiento</w:t>
      </w:r>
      <w:r>
        <w:rPr>
          <w:rFonts w:ascii="Verdana" w:eastAsia="Calibri" w:hAnsi="Verdana" w:cs="Verdana"/>
        </w:rPr>
        <w:t xml:space="preserve"> por el mét</w:t>
      </w:r>
      <w:r w:rsidR="007005AE">
        <w:rPr>
          <w:rFonts w:ascii="Verdana" w:eastAsia="Calibri" w:hAnsi="Verdana" w:cs="Verdana"/>
        </w:rPr>
        <w:t xml:space="preserve">odo de inclusión en parafina y digitalización de los cortes. Se cuantificaron </w:t>
      </w:r>
      <w:r w:rsidR="000734EB">
        <w:rPr>
          <w:rFonts w:ascii="Verdana" w:eastAsia="Calibri" w:hAnsi="Verdana" w:cs="Verdana"/>
        </w:rPr>
        <w:t xml:space="preserve">las variables </w:t>
      </w:r>
      <w:r w:rsidR="000734EB">
        <w:rPr>
          <w:rFonts w:ascii="Verdana" w:eastAsia="Calibri" w:hAnsi="Verdana" w:cs="Verdana"/>
        </w:rPr>
        <w:lastRenderedPageBreak/>
        <w:t xml:space="preserve">microscópicas </w:t>
      </w:r>
      <w:r w:rsidR="007005AE">
        <w:rPr>
          <w:rFonts w:ascii="Verdana" w:eastAsia="Calibri" w:hAnsi="Verdana" w:cs="Verdana"/>
        </w:rPr>
        <w:t>utilizando</w:t>
      </w:r>
      <w:r w:rsidR="000734EB">
        <w:rPr>
          <w:rFonts w:ascii="Verdana" w:eastAsia="Calibri" w:hAnsi="Verdana" w:cs="Verdana"/>
        </w:rPr>
        <w:t xml:space="preserve"> el sistema </w:t>
      </w:r>
      <w:proofErr w:type="spellStart"/>
      <w:r w:rsidR="000734EB">
        <w:rPr>
          <w:rFonts w:ascii="Verdana" w:eastAsia="Calibri" w:hAnsi="Verdana" w:cs="Verdana"/>
        </w:rPr>
        <w:t>morfométrico</w:t>
      </w:r>
      <w:proofErr w:type="spellEnd"/>
      <w:r>
        <w:rPr>
          <w:rFonts w:ascii="Verdana" w:eastAsia="Calibri" w:hAnsi="Verdana" w:cs="Verdana"/>
        </w:rPr>
        <w:t xml:space="preserve"> </w:t>
      </w:r>
      <w:proofErr w:type="spellStart"/>
      <w:r>
        <w:rPr>
          <w:rFonts w:ascii="Verdana" w:eastAsia="Calibri" w:hAnsi="Verdana" w:cs="Verdana"/>
        </w:rPr>
        <w:t>ImageJ</w:t>
      </w:r>
      <w:proofErr w:type="spellEnd"/>
      <w:r>
        <w:rPr>
          <w:rFonts w:ascii="Verdana" w:eastAsia="Calibri" w:hAnsi="Verdana" w:cs="Verdana"/>
        </w:rPr>
        <w:t xml:space="preserve">. </w:t>
      </w:r>
      <w:r w:rsidR="00D44FDE">
        <w:rPr>
          <w:rFonts w:ascii="Verdana" w:eastAsia="Calibri" w:hAnsi="Verdana" w:cs="Verdana"/>
        </w:rPr>
        <w:t xml:space="preserve">Se </w:t>
      </w:r>
      <w:r w:rsidR="0058197E">
        <w:rPr>
          <w:rFonts w:ascii="Verdana" w:eastAsia="Calibri" w:hAnsi="Verdana" w:cs="Verdana"/>
        </w:rPr>
        <w:t>usaron</w:t>
      </w:r>
      <w:r>
        <w:rPr>
          <w:rFonts w:ascii="Verdana" w:eastAsia="Calibri" w:hAnsi="Verdana" w:cs="Verdana"/>
        </w:rPr>
        <w:t xml:space="preserve"> méto</w:t>
      </w:r>
      <w:r w:rsidR="0058197E">
        <w:rPr>
          <w:rFonts w:ascii="Verdana" w:eastAsia="Calibri" w:hAnsi="Verdana" w:cs="Verdana"/>
        </w:rPr>
        <w:t>dos de estadística descriptiva,</w:t>
      </w:r>
      <w:r>
        <w:rPr>
          <w:rFonts w:ascii="Verdana" w:eastAsia="Calibri" w:hAnsi="Verdana" w:cs="Verdana"/>
        </w:rPr>
        <w:t xml:space="preserve"> análisis de varianza y el Test de Newman </w:t>
      </w:r>
      <w:proofErr w:type="spellStart"/>
      <w:r>
        <w:rPr>
          <w:rFonts w:ascii="Verdana" w:eastAsia="Calibri" w:hAnsi="Verdana" w:cs="Verdana"/>
        </w:rPr>
        <w:t>Keuls</w:t>
      </w:r>
      <w:proofErr w:type="spellEnd"/>
      <w:r>
        <w:rPr>
          <w:rFonts w:ascii="Verdana" w:eastAsia="Calibri" w:hAnsi="Verdana" w:cs="Verdana"/>
        </w:rPr>
        <w:t xml:space="preserve">. </w:t>
      </w:r>
      <w:r>
        <w:rPr>
          <w:rFonts w:ascii="Verdana" w:eastAsia="Calibri" w:hAnsi="Verdana" w:cs="Verdana"/>
          <w:b/>
        </w:rPr>
        <w:t xml:space="preserve">Resultados: </w:t>
      </w:r>
      <w:r>
        <w:rPr>
          <w:rFonts w:ascii="Verdana" w:eastAsia="Calibri" w:hAnsi="Verdana" w:cs="Verdana"/>
        </w:rPr>
        <w:t xml:space="preserve">Se obtuvo el peso, grosor y diámetro placentario, así como el área </w:t>
      </w:r>
      <w:proofErr w:type="spellStart"/>
      <w:r>
        <w:rPr>
          <w:rFonts w:ascii="Verdana" w:eastAsia="Calibri" w:hAnsi="Verdana" w:cs="Verdana"/>
        </w:rPr>
        <w:t>vellositaria</w:t>
      </w:r>
      <w:proofErr w:type="spellEnd"/>
      <w:r>
        <w:rPr>
          <w:rFonts w:ascii="Verdana" w:eastAsia="Calibri" w:hAnsi="Verdana" w:cs="Verdana"/>
        </w:rPr>
        <w:t xml:space="preserve"> y densidad óptica de fibrina en la superficie de las vellosidades</w:t>
      </w:r>
      <w:r>
        <w:rPr>
          <w:rFonts w:ascii="Verdana" w:eastAsia="Calibri" w:hAnsi="Verdana" w:cs="Verdana"/>
          <w:b/>
        </w:rPr>
        <w:t>.  Conclusiones:</w:t>
      </w:r>
      <w:r>
        <w:rPr>
          <w:rFonts w:ascii="Verdana" w:eastAsia="Calibri" w:hAnsi="Verdana" w:cs="Verdana"/>
        </w:rPr>
        <w:t xml:space="preserve"> Las mensuraciones macroscópicas mostraron valores normales con una tendencia al límite inferior en el peso y el diámetro placentario. El área de la vellosidad y la densidad óptica de fibrina en la superficie de la vellosidad a nivel peri cordón; a 4 cm del cordón y en la p</w:t>
      </w:r>
      <w:r w:rsidR="00D44FDE">
        <w:rPr>
          <w:rFonts w:ascii="Verdana" w:eastAsia="Calibri" w:hAnsi="Verdana" w:cs="Verdana"/>
        </w:rPr>
        <w:t xml:space="preserve">eriferia del disco placentario </w:t>
      </w:r>
      <w:r>
        <w:rPr>
          <w:rFonts w:ascii="Verdana" w:eastAsia="Calibri" w:hAnsi="Verdana" w:cs="Verdana"/>
        </w:rPr>
        <w:t xml:space="preserve">mostraron diferencias significativas. </w:t>
      </w:r>
    </w:p>
    <w:p w:rsidR="00D71650" w:rsidRDefault="009503D6">
      <w:pPr>
        <w:spacing w:line="360" w:lineRule="auto"/>
        <w:jc w:val="both"/>
        <w:rPr>
          <w:rFonts w:ascii="Verdana" w:eastAsia="Times New Roman" w:hAnsi="Verdana" w:cs="Verdana"/>
          <w:b/>
          <w:bCs/>
          <w:lang w:eastAsia="es-ES"/>
        </w:rPr>
      </w:pPr>
      <w:r>
        <w:rPr>
          <w:rFonts w:ascii="Verdana" w:eastAsia="Times New Roman" w:hAnsi="Verdana" w:cs="Verdana"/>
          <w:b/>
          <w:bCs/>
          <w:lang w:eastAsia="es-ES"/>
        </w:rPr>
        <w:t xml:space="preserve">Palabras clave: </w:t>
      </w:r>
      <w:r>
        <w:rPr>
          <w:rFonts w:ascii="Verdana" w:eastAsia="Times New Roman" w:hAnsi="Verdana" w:cs="Verdana"/>
          <w:bCs/>
          <w:lang w:eastAsia="es-ES"/>
        </w:rPr>
        <w:t xml:space="preserve">Placenta, </w:t>
      </w:r>
      <w:proofErr w:type="spellStart"/>
      <w:r>
        <w:rPr>
          <w:rFonts w:ascii="Verdana" w:eastAsia="Times New Roman" w:hAnsi="Verdana" w:cs="Verdana"/>
          <w:bCs/>
          <w:lang w:eastAsia="es-ES"/>
        </w:rPr>
        <w:t>Preeclampsia</w:t>
      </w:r>
      <w:proofErr w:type="spellEnd"/>
      <w:r>
        <w:rPr>
          <w:rFonts w:ascii="Verdana" w:eastAsia="Times New Roman" w:hAnsi="Verdana" w:cs="Verdana"/>
          <w:bCs/>
          <w:lang w:eastAsia="es-ES"/>
        </w:rPr>
        <w:t>, desarrollo placentario</w:t>
      </w:r>
    </w:p>
    <w:p w:rsidR="00D71650" w:rsidRDefault="009503D6">
      <w:pPr>
        <w:spacing w:before="100" w:beforeAutospacing="1" w:after="100" w:afterAutospacing="1" w:line="360" w:lineRule="auto"/>
        <w:jc w:val="both"/>
        <w:rPr>
          <w:rFonts w:ascii="Verdana" w:eastAsia="Times New Roman" w:hAnsi="Verdana" w:cs="Verdana"/>
          <w:b/>
          <w:bCs/>
          <w:lang w:eastAsia="es-ES"/>
        </w:rPr>
      </w:pPr>
      <w:r>
        <w:rPr>
          <w:rFonts w:ascii="Verdana" w:eastAsia="Times New Roman" w:hAnsi="Verdana" w:cs="Verdana"/>
          <w:b/>
          <w:bCs/>
          <w:lang w:eastAsia="es-ES"/>
        </w:rPr>
        <w:t>INTRODUCCIÓN</w:t>
      </w:r>
    </w:p>
    <w:p w:rsidR="00D71650" w:rsidRDefault="009503D6">
      <w:pPr>
        <w:spacing w:after="0" w:line="360" w:lineRule="auto"/>
        <w:jc w:val="both"/>
        <w:rPr>
          <w:rFonts w:ascii="Verdana" w:eastAsia="Times New Roman" w:hAnsi="Verdana" w:cs="Verdana"/>
          <w:lang w:eastAsia="es-ES"/>
        </w:rPr>
      </w:pPr>
      <w:r>
        <w:rPr>
          <w:rFonts w:ascii="Verdana" w:eastAsia="Times New Roman" w:hAnsi="Verdana" w:cs="Verdana"/>
          <w:lang w:eastAsia="es-ES"/>
        </w:rPr>
        <w:t xml:space="preserve">La placenta es un órgano fundamental para el desarrollo embrionario y fetal. Su participación en el intercambio de nutrientes, su metabolismo y la producción de hormonas son funciones que garantizan el éxito de la gestación humana. </w:t>
      </w:r>
      <w:r>
        <w:rPr>
          <w:rFonts w:ascii="Verdana" w:eastAsia="Times New Roman" w:hAnsi="Verdana" w:cs="Verdana"/>
          <w:vertAlign w:val="superscript"/>
          <w:lang w:eastAsia="es-ES"/>
        </w:rPr>
        <w:t>1</w:t>
      </w:r>
      <w:r>
        <w:rPr>
          <w:rFonts w:ascii="Verdana" w:hAnsi="Verdana" w:cs="Verdana"/>
        </w:rPr>
        <w:t xml:space="preserve"> Sin embargo, el desarrollo placentario temprano crea un microambiente celular, molecular y bioquímico que es susceptible a diversos factores ambientales de su entorno celular, de tipo </w:t>
      </w:r>
      <w:proofErr w:type="spellStart"/>
      <w:proofErr w:type="gramStart"/>
      <w:r>
        <w:rPr>
          <w:rFonts w:ascii="Verdana" w:hAnsi="Verdana" w:cs="Verdana"/>
        </w:rPr>
        <w:t>maternos,fetales</w:t>
      </w:r>
      <w:proofErr w:type="spellEnd"/>
      <w:proofErr w:type="gramEnd"/>
      <w:r>
        <w:rPr>
          <w:rFonts w:ascii="Verdana" w:hAnsi="Verdana" w:cs="Verdana"/>
        </w:rPr>
        <w:t xml:space="preserve">, inmunológicos, genéticos y </w:t>
      </w:r>
      <w:proofErr w:type="spellStart"/>
      <w:r>
        <w:rPr>
          <w:rFonts w:ascii="Verdana" w:hAnsi="Verdana" w:cs="Verdana"/>
        </w:rPr>
        <w:t>epigenéticos</w:t>
      </w:r>
      <w:proofErr w:type="spellEnd"/>
      <w:r>
        <w:rPr>
          <w:rFonts w:ascii="Verdana" w:hAnsi="Verdana" w:cs="Verdana"/>
        </w:rPr>
        <w:t xml:space="preserve">, que son capaces de ocasionar significativos cambios fisiopatológicos en la medida que la gestación avanza. </w:t>
      </w:r>
      <w:r>
        <w:rPr>
          <w:rFonts w:ascii="Verdana" w:hAnsi="Verdana" w:cs="Verdana"/>
          <w:vertAlign w:val="superscript"/>
        </w:rPr>
        <w:t>2</w:t>
      </w:r>
    </w:p>
    <w:p w:rsidR="00D71650" w:rsidRDefault="009503D6">
      <w:pPr>
        <w:spacing w:line="360" w:lineRule="auto"/>
        <w:jc w:val="both"/>
        <w:rPr>
          <w:rFonts w:ascii="Verdana" w:hAnsi="Verdana" w:cs="Verdana"/>
          <w:vertAlign w:val="superscript"/>
        </w:rPr>
      </w:pPr>
      <w:r>
        <w:rPr>
          <w:rFonts w:ascii="Verdana" w:hAnsi="Verdana" w:cs="Verdana"/>
        </w:rPr>
        <w:t>Dentro de las anomalías causadas por defectos en la placentación se destaca la dilatación deficiente de las arterias espirales y su obstrucción por aterosclerosis aguda. Esta alterac</w:t>
      </w:r>
      <w:r w:rsidR="00CB1C67">
        <w:rPr>
          <w:rFonts w:ascii="Verdana" w:hAnsi="Verdana" w:cs="Verdana"/>
        </w:rPr>
        <w:t xml:space="preserve">ión, </w:t>
      </w:r>
      <w:r>
        <w:rPr>
          <w:rFonts w:ascii="Verdana" w:hAnsi="Verdana" w:cs="Verdana"/>
        </w:rPr>
        <w:t xml:space="preserve">descrita en el curso de la </w:t>
      </w:r>
      <w:proofErr w:type="spellStart"/>
      <w:r>
        <w:rPr>
          <w:rFonts w:ascii="Verdana" w:hAnsi="Verdana" w:cs="Verdana"/>
        </w:rPr>
        <w:t>preeclampsia</w:t>
      </w:r>
      <w:proofErr w:type="spellEnd"/>
      <w:r>
        <w:rPr>
          <w:rFonts w:ascii="Verdana" w:hAnsi="Verdana" w:cs="Verdana"/>
        </w:rPr>
        <w:t xml:space="preserve"> o enfermedad hipertensiva de la gestación (EHG), se caracteriza por la alteración en la diferenciación del trofoblasto, debido a una exposición a estrés oxidativo ante el inadecuado flujo sanguíneo placentario, por lo que también ha sido denominada como enfermedad </w:t>
      </w:r>
      <w:proofErr w:type="spellStart"/>
      <w:r>
        <w:rPr>
          <w:rFonts w:ascii="Verdana" w:hAnsi="Verdana" w:cs="Verdana"/>
        </w:rPr>
        <w:t>trofoblástica</w:t>
      </w:r>
      <w:proofErr w:type="spellEnd"/>
      <w:r>
        <w:rPr>
          <w:rFonts w:ascii="Verdana" w:hAnsi="Verdana" w:cs="Verdana"/>
        </w:rPr>
        <w:t xml:space="preserve">. </w:t>
      </w:r>
      <w:r>
        <w:rPr>
          <w:rFonts w:ascii="Verdana" w:hAnsi="Verdana" w:cs="Verdana"/>
          <w:vertAlign w:val="superscript"/>
        </w:rPr>
        <w:t>3</w:t>
      </w:r>
    </w:p>
    <w:p w:rsidR="00D71650" w:rsidRDefault="009503D6">
      <w:pPr>
        <w:spacing w:line="360" w:lineRule="auto"/>
        <w:jc w:val="both"/>
        <w:rPr>
          <w:rFonts w:ascii="Verdana" w:hAnsi="Verdana" w:cs="Verdana"/>
        </w:rPr>
      </w:pPr>
      <w:r>
        <w:rPr>
          <w:rFonts w:ascii="Verdana" w:hAnsi="Verdana" w:cs="Verdana"/>
        </w:rPr>
        <w:t xml:space="preserve">Las teorías que incluyen a la placenta en la patogenia de la </w:t>
      </w:r>
      <w:proofErr w:type="spellStart"/>
      <w:r>
        <w:rPr>
          <w:rFonts w:ascii="Verdana" w:hAnsi="Verdana" w:cs="Verdana"/>
        </w:rPr>
        <w:t>preeclampsia</w:t>
      </w:r>
      <w:proofErr w:type="spellEnd"/>
      <w:r>
        <w:rPr>
          <w:rFonts w:ascii="Verdana" w:hAnsi="Verdana" w:cs="Verdana"/>
        </w:rPr>
        <w:t xml:space="preserve"> comenzaron a principios del siglo XX, ante el descubrimiento de la deportación </w:t>
      </w:r>
      <w:proofErr w:type="spellStart"/>
      <w:r>
        <w:rPr>
          <w:rFonts w:ascii="Verdana" w:hAnsi="Verdana" w:cs="Verdana"/>
        </w:rPr>
        <w:t>trofoblástica</w:t>
      </w:r>
      <w:proofErr w:type="spellEnd"/>
      <w:r>
        <w:rPr>
          <w:rFonts w:ascii="Verdana" w:hAnsi="Verdana" w:cs="Verdana"/>
        </w:rPr>
        <w:t xml:space="preserve"> al interior de la circulación materna y más tarde al comprobarse la presencia de insuficiencia útero-placentaria como fenómeno distintivo en la </w:t>
      </w:r>
      <w:proofErr w:type="spellStart"/>
      <w:r>
        <w:rPr>
          <w:rFonts w:ascii="Verdana" w:hAnsi="Verdana" w:cs="Verdana"/>
        </w:rPr>
        <w:t>preeclampsia</w:t>
      </w:r>
      <w:proofErr w:type="spellEnd"/>
      <w:r>
        <w:rPr>
          <w:rFonts w:ascii="Verdana" w:hAnsi="Verdana" w:cs="Verdana"/>
        </w:rPr>
        <w:t xml:space="preserve">. </w:t>
      </w:r>
      <w:r>
        <w:rPr>
          <w:rFonts w:ascii="Verdana" w:hAnsi="Verdana" w:cs="Verdana"/>
          <w:vertAlign w:val="superscript"/>
        </w:rPr>
        <w:t xml:space="preserve">2,3 </w:t>
      </w:r>
      <w:r>
        <w:rPr>
          <w:rFonts w:ascii="Verdana" w:hAnsi="Verdana" w:cs="Verdana"/>
        </w:rPr>
        <w:t xml:space="preserve">Desde entonces son relevantes las investigaciones donde se estudian los cambios macro y microscópicos de la </w:t>
      </w:r>
      <w:proofErr w:type="spellStart"/>
      <w:r>
        <w:rPr>
          <w:rFonts w:ascii="Verdana" w:hAnsi="Verdana" w:cs="Verdana"/>
        </w:rPr>
        <w:t>morfologia</w:t>
      </w:r>
      <w:proofErr w:type="spellEnd"/>
      <w:r>
        <w:rPr>
          <w:rFonts w:ascii="Verdana" w:hAnsi="Verdana" w:cs="Verdana"/>
        </w:rPr>
        <w:t xml:space="preserve"> placentaria y sus vellosidades y en este sentido sobresalen los estudios donde </w:t>
      </w:r>
      <w:r>
        <w:rPr>
          <w:rFonts w:ascii="Verdana" w:hAnsi="Verdana" w:cs="Verdana"/>
        </w:rPr>
        <w:lastRenderedPageBreak/>
        <w:t xml:space="preserve">se cuantifica el desarrollo placentario mediante el uso del método </w:t>
      </w:r>
      <w:proofErr w:type="spellStart"/>
      <w:r>
        <w:rPr>
          <w:rFonts w:ascii="Verdana" w:hAnsi="Verdana" w:cs="Verdana"/>
        </w:rPr>
        <w:t>morfométrico</w:t>
      </w:r>
      <w:proofErr w:type="spellEnd"/>
      <w:r>
        <w:rPr>
          <w:rFonts w:ascii="Verdana" w:hAnsi="Verdana" w:cs="Verdana"/>
        </w:rPr>
        <w:t xml:space="preserve"> y el estereológico. </w:t>
      </w:r>
      <w:r>
        <w:rPr>
          <w:rFonts w:ascii="Verdana" w:hAnsi="Verdana" w:cs="Verdana"/>
          <w:vertAlign w:val="superscript"/>
        </w:rPr>
        <w:t>4,5</w:t>
      </w:r>
    </w:p>
    <w:p w:rsidR="00D71650" w:rsidRDefault="009503D6">
      <w:pPr>
        <w:spacing w:line="360" w:lineRule="auto"/>
        <w:jc w:val="both"/>
        <w:rPr>
          <w:rFonts w:ascii="Verdana" w:hAnsi="Verdana" w:cs="Verdana"/>
        </w:rPr>
      </w:pPr>
      <w:r>
        <w:rPr>
          <w:rFonts w:ascii="Verdana" w:hAnsi="Verdana" w:cs="Verdana"/>
        </w:rPr>
        <w:t xml:space="preserve">Se recogen importantes antecedentes en las investigaciones realizadas por </w:t>
      </w:r>
      <w:proofErr w:type="spellStart"/>
      <w:r>
        <w:rPr>
          <w:rFonts w:ascii="Verdana" w:hAnsi="Verdana" w:cs="Verdana"/>
        </w:rPr>
        <w:t>Charnock</w:t>
      </w:r>
      <w:proofErr w:type="spellEnd"/>
      <w:r>
        <w:rPr>
          <w:rFonts w:ascii="Verdana" w:hAnsi="Verdana" w:cs="Verdana"/>
        </w:rPr>
        <w:t xml:space="preserve">-Jones et al y </w:t>
      </w:r>
      <w:proofErr w:type="spellStart"/>
      <w:r>
        <w:rPr>
          <w:rFonts w:ascii="Verdana" w:hAnsi="Verdana" w:cs="Verdana"/>
        </w:rPr>
        <w:t>Kauffmann</w:t>
      </w:r>
      <w:proofErr w:type="spellEnd"/>
      <w:r>
        <w:rPr>
          <w:rFonts w:ascii="Verdana" w:hAnsi="Verdana" w:cs="Verdana"/>
        </w:rPr>
        <w:t xml:space="preserve"> et al, ambos citados por Prieto Gómez R.</w:t>
      </w:r>
      <w:r>
        <w:rPr>
          <w:rFonts w:ascii="Verdana" w:hAnsi="Verdana" w:cs="Verdana"/>
          <w:vertAlign w:val="superscript"/>
        </w:rPr>
        <w:t xml:space="preserve"> 6</w:t>
      </w:r>
      <w:r>
        <w:rPr>
          <w:rFonts w:ascii="Verdana" w:hAnsi="Verdana" w:cs="Verdana"/>
        </w:rPr>
        <w:t xml:space="preserve"> Este último autor realizó un estudio donde se cuantificaron las áreas de las vellosidades y las áreas de los vasos sanguíneos en placentas de recién nacidos con bajo peso al nacer en comparación con las placentas de neonatos con peso adecuado.</w:t>
      </w:r>
    </w:p>
    <w:p w:rsidR="00D71650" w:rsidRDefault="009503D6">
      <w:pPr>
        <w:spacing w:line="360" w:lineRule="auto"/>
        <w:jc w:val="both"/>
        <w:rPr>
          <w:rFonts w:ascii="Verdana" w:hAnsi="Verdana" w:cs="Verdana"/>
        </w:rPr>
      </w:pPr>
      <w:r>
        <w:rPr>
          <w:rFonts w:ascii="Verdana" w:hAnsi="Verdana" w:cs="Verdana"/>
        </w:rPr>
        <w:t>En países donde la EHG cobra un importante número de vidas maternas anualmente, son numero</w:t>
      </w:r>
      <w:r w:rsidR="00CB1C67">
        <w:rPr>
          <w:rFonts w:ascii="Verdana" w:hAnsi="Verdana" w:cs="Verdana"/>
        </w:rPr>
        <w:t xml:space="preserve">sas las publicaciones sobre el </w:t>
      </w:r>
      <w:r>
        <w:rPr>
          <w:rFonts w:ascii="Verdana" w:hAnsi="Verdana" w:cs="Verdana"/>
        </w:rPr>
        <w:t xml:space="preserve">estudio </w:t>
      </w:r>
      <w:proofErr w:type="spellStart"/>
      <w:r>
        <w:rPr>
          <w:rFonts w:ascii="Verdana" w:hAnsi="Verdana" w:cs="Verdana"/>
        </w:rPr>
        <w:t>morfométrico</w:t>
      </w:r>
      <w:proofErr w:type="spellEnd"/>
      <w:r>
        <w:rPr>
          <w:rFonts w:ascii="Verdana" w:hAnsi="Verdana" w:cs="Verdana"/>
        </w:rPr>
        <w:t xml:space="preserve"> de la placenta </w:t>
      </w:r>
      <w:proofErr w:type="spellStart"/>
      <w:r>
        <w:rPr>
          <w:rFonts w:ascii="Verdana" w:hAnsi="Verdana" w:cs="Verdana"/>
        </w:rPr>
        <w:t>preeclámptica</w:t>
      </w:r>
      <w:proofErr w:type="spellEnd"/>
      <w:r>
        <w:rPr>
          <w:rFonts w:ascii="Verdana" w:hAnsi="Verdana" w:cs="Verdana"/>
        </w:rPr>
        <w:t xml:space="preserve">; sobresalen investigaciones realizados en Malasia, la India, Chile y España. De manera similar, y con la utilización de la técnica de inclusión en parafina, estudios realizados en Cuba en 2016 permitieron determinar el diámetro y grosor placentario en gestantes con EHG. Los resultados mostraron que la mayoría tenía valores por debajo de los normales establecidos, así como un número de vellosidades y área </w:t>
      </w:r>
      <w:proofErr w:type="spellStart"/>
      <w:r>
        <w:rPr>
          <w:rFonts w:ascii="Verdana" w:hAnsi="Verdana" w:cs="Verdana"/>
        </w:rPr>
        <w:t>vellositaria</w:t>
      </w:r>
      <w:proofErr w:type="spellEnd"/>
      <w:r>
        <w:rPr>
          <w:rFonts w:ascii="Verdana" w:hAnsi="Verdana" w:cs="Verdana"/>
        </w:rPr>
        <w:t xml:space="preserve"> inferior a lo normal.</w:t>
      </w:r>
      <w:r>
        <w:rPr>
          <w:rFonts w:ascii="Verdana" w:hAnsi="Verdana" w:cs="Verdana"/>
          <w:vertAlign w:val="superscript"/>
        </w:rPr>
        <w:t>7</w:t>
      </w:r>
    </w:p>
    <w:p w:rsidR="00D71650" w:rsidRDefault="009503D6">
      <w:pPr>
        <w:spacing w:line="360" w:lineRule="auto"/>
        <w:jc w:val="both"/>
        <w:rPr>
          <w:rFonts w:ascii="Verdana" w:hAnsi="Verdana" w:cs="Verdana"/>
        </w:rPr>
      </w:pPr>
      <w:r>
        <w:rPr>
          <w:rFonts w:ascii="Verdana" w:hAnsi="Verdana" w:cs="Verdana"/>
        </w:rPr>
        <w:t xml:space="preserve"> En Cuba, la EHG está entre las cinco primeras causas de muerte materna. Los estudios en el ámbito nacional destacan que esta entidad provoca complicaciones en el embarazo en un 2 a un 15 % en su forma aguda y entre un 15 a un 30 % en las formas crónicas. </w:t>
      </w:r>
      <w:r>
        <w:rPr>
          <w:rFonts w:ascii="Verdana" w:hAnsi="Verdana" w:cs="Verdana"/>
          <w:vertAlign w:val="superscript"/>
        </w:rPr>
        <w:t>7</w:t>
      </w:r>
      <w:r>
        <w:rPr>
          <w:rFonts w:ascii="Verdana" w:hAnsi="Verdana" w:cs="Verdana"/>
        </w:rPr>
        <w:t xml:space="preserve"> Estas estadísticas justifican la realización de investigaciones en este campo.</w:t>
      </w:r>
    </w:p>
    <w:p w:rsidR="00D71650" w:rsidRDefault="009503D6">
      <w:pPr>
        <w:spacing w:line="360" w:lineRule="auto"/>
        <w:jc w:val="both"/>
        <w:rPr>
          <w:rFonts w:ascii="Verdana" w:hAnsi="Verdana" w:cs="Verdana"/>
        </w:rPr>
      </w:pPr>
      <w:r>
        <w:rPr>
          <w:rFonts w:ascii="Verdana" w:hAnsi="Verdana" w:cs="Verdana"/>
        </w:rPr>
        <w:t xml:space="preserve">La demostración de las características </w:t>
      </w:r>
      <w:proofErr w:type="spellStart"/>
      <w:r>
        <w:rPr>
          <w:rFonts w:ascii="Verdana" w:hAnsi="Verdana" w:cs="Verdana"/>
        </w:rPr>
        <w:t>morfométricas</w:t>
      </w:r>
      <w:proofErr w:type="spellEnd"/>
      <w:r>
        <w:rPr>
          <w:rFonts w:ascii="Verdana" w:hAnsi="Verdana" w:cs="Verdana"/>
        </w:rPr>
        <w:t xml:space="preserve"> que provoca la hipertensión arterial en las placentas y su repercusión negativa en el producto de la concepción constit</w:t>
      </w:r>
      <w:r w:rsidR="00CB1C67">
        <w:rPr>
          <w:rFonts w:ascii="Verdana" w:hAnsi="Verdana" w:cs="Verdana"/>
        </w:rPr>
        <w:t xml:space="preserve">uye un nuevo aporte científico </w:t>
      </w:r>
      <w:r>
        <w:rPr>
          <w:rFonts w:ascii="Verdana" w:hAnsi="Verdana" w:cs="Verdana"/>
        </w:rPr>
        <w:t>que posibilita</w:t>
      </w:r>
      <w:r w:rsidR="00CB1C67">
        <w:rPr>
          <w:rFonts w:ascii="Verdana" w:hAnsi="Verdana" w:cs="Verdana"/>
        </w:rPr>
        <w:t>,</w:t>
      </w:r>
      <w:r>
        <w:rPr>
          <w:rFonts w:ascii="Verdana" w:hAnsi="Verdana" w:cs="Verdana"/>
        </w:rPr>
        <w:t xml:space="preserve"> además, incrementar los conocimientos necesarios para el profesional de salud. Sin embargo, las investigaciones sobre </w:t>
      </w:r>
      <w:proofErr w:type="spellStart"/>
      <w:r>
        <w:rPr>
          <w:rFonts w:ascii="Verdana" w:hAnsi="Verdana" w:cs="Verdana"/>
        </w:rPr>
        <w:t>morfometría</w:t>
      </w:r>
      <w:proofErr w:type="spellEnd"/>
      <w:r>
        <w:rPr>
          <w:rFonts w:ascii="Verdana" w:hAnsi="Verdana" w:cs="Verdana"/>
        </w:rPr>
        <w:t xml:space="preserve"> placentaria en la EHG son aún insuficientes en el contexto nacional y local, e igualmente son escasas las publicaciones al respecto.</w:t>
      </w:r>
    </w:p>
    <w:p w:rsidR="00D71650" w:rsidRDefault="009503D6">
      <w:pPr>
        <w:spacing w:line="360" w:lineRule="auto"/>
        <w:jc w:val="both"/>
        <w:rPr>
          <w:rFonts w:ascii="Verdana" w:hAnsi="Verdana" w:cs="Verdana"/>
        </w:rPr>
      </w:pPr>
      <w:r>
        <w:rPr>
          <w:rFonts w:ascii="Verdana" w:hAnsi="Verdana" w:cs="Verdana"/>
        </w:rPr>
        <w:t xml:space="preserve">Profundizar en los conocimientos acerca de las características </w:t>
      </w:r>
      <w:proofErr w:type="spellStart"/>
      <w:r>
        <w:rPr>
          <w:rFonts w:ascii="Verdana" w:hAnsi="Verdana" w:cs="Verdana"/>
        </w:rPr>
        <w:t>morfométricas</w:t>
      </w:r>
      <w:proofErr w:type="spellEnd"/>
      <w:r>
        <w:rPr>
          <w:rFonts w:ascii="Verdana" w:hAnsi="Verdana" w:cs="Verdana"/>
        </w:rPr>
        <w:t xml:space="preserve"> de la placenta en gestantes hipertensas permite establecer pautas para un mejor manejo de las mismas y consecuentemente modificar los pronósticos y resultados. Desde el punto de vista práctico el presente estudio aporta información de utilidad que facilita los estudios comparativos y hace énfasis, con una perspectiva </w:t>
      </w:r>
      <w:proofErr w:type="spellStart"/>
      <w:r>
        <w:rPr>
          <w:rFonts w:ascii="Verdana" w:hAnsi="Verdana" w:cs="Verdana"/>
        </w:rPr>
        <w:t>morfométrica</w:t>
      </w:r>
      <w:proofErr w:type="spellEnd"/>
      <w:r>
        <w:rPr>
          <w:rFonts w:ascii="Verdana" w:hAnsi="Verdana" w:cs="Verdana"/>
        </w:rPr>
        <w:t xml:space="preserve">, en aspectos relacionados </w:t>
      </w:r>
      <w:r>
        <w:rPr>
          <w:rFonts w:ascii="Verdana" w:hAnsi="Verdana" w:cs="Verdana"/>
        </w:rPr>
        <w:lastRenderedPageBreak/>
        <w:t xml:space="preserve">con el desarrollo de la placenta y sus desviaciones ante enfermedades como la </w:t>
      </w:r>
      <w:proofErr w:type="spellStart"/>
      <w:r>
        <w:rPr>
          <w:rFonts w:ascii="Verdana" w:hAnsi="Verdana" w:cs="Verdana"/>
        </w:rPr>
        <w:t>preeclampsia</w:t>
      </w:r>
      <w:proofErr w:type="spellEnd"/>
      <w:r>
        <w:rPr>
          <w:rFonts w:ascii="Verdana" w:hAnsi="Verdana" w:cs="Verdana"/>
        </w:rPr>
        <w:t xml:space="preserve">.  </w:t>
      </w:r>
    </w:p>
    <w:p w:rsidR="00D71650" w:rsidRDefault="009503D6">
      <w:pPr>
        <w:spacing w:line="360" w:lineRule="auto"/>
        <w:jc w:val="both"/>
        <w:rPr>
          <w:rFonts w:ascii="Verdana" w:hAnsi="Verdana" w:cs="Verdana"/>
        </w:rPr>
      </w:pPr>
      <w:r>
        <w:rPr>
          <w:rFonts w:ascii="Verdana" w:hAnsi="Verdana" w:cs="Verdana"/>
        </w:rPr>
        <w:t xml:space="preserve">Los argumentos anteriores permiten definir </w:t>
      </w:r>
      <w:r w:rsidR="006F15AF">
        <w:rPr>
          <w:rFonts w:ascii="Verdana" w:hAnsi="Verdana" w:cs="Verdana"/>
        </w:rPr>
        <w:t>como</w:t>
      </w:r>
      <w:r>
        <w:rPr>
          <w:rFonts w:ascii="Verdana" w:hAnsi="Verdana" w:cs="Verdana"/>
        </w:rPr>
        <w:t xml:space="preserve"> </w:t>
      </w:r>
      <w:r>
        <w:rPr>
          <w:rFonts w:ascii="Verdana" w:hAnsi="Verdana" w:cs="Verdana"/>
          <w:b/>
          <w:bCs/>
        </w:rPr>
        <w:t>objetivo</w:t>
      </w:r>
      <w:r>
        <w:rPr>
          <w:rFonts w:ascii="Verdana" w:hAnsi="Verdana" w:cs="Verdana"/>
        </w:rPr>
        <w:t xml:space="preserve"> de esta investigación: Caracterizar </w:t>
      </w:r>
      <w:proofErr w:type="spellStart"/>
      <w:r>
        <w:rPr>
          <w:rFonts w:ascii="Verdana" w:hAnsi="Verdana" w:cs="Verdana"/>
        </w:rPr>
        <w:t>morfométricamente</w:t>
      </w:r>
      <w:proofErr w:type="spellEnd"/>
      <w:r>
        <w:rPr>
          <w:rFonts w:ascii="Verdana" w:hAnsi="Verdana" w:cs="Verdana"/>
        </w:rPr>
        <w:t xml:space="preserve"> el crecimiento placentario en gestantes con </w:t>
      </w:r>
      <w:proofErr w:type="spellStart"/>
      <w:r>
        <w:rPr>
          <w:rFonts w:ascii="Verdana" w:hAnsi="Verdana" w:cs="Verdana"/>
        </w:rPr>
        <w:t>preeclampsia</w:t>
      </w:r>
      <w:proofErr w:type="spellEnd"/>
      <w:r>
        <w:rPr>
          <w:rFonts w:ascii="Verdana" w:hAnsi="Verdana" w:cs="Verdana"/>
        </w:rPr>
        <w:t>, atendidas en el hospital Vladimir Ilich Lenin durante el período mayo de 2018 a mayo de 2020.</w:t>
      </w:r>
    </w:p>
    <w:p w:rsidR="00D71650" w:rsidRDefault="006F15AF">
      <w:pPr>
        <w:spacing w:line="360" w:lineRule="auto"/>
        <w:jc w:val="both"/>
        <w:rPr>
          <w:rFonts w:ascii="Verdana" w:eastAsia="Times New Roman" w:hAnsi="Verdana" w:cs="Verdana"/>
          <w:b/>
          <w:bCs/>
          <w:lang w:eastAsia="es-ES"/>
        </w:rPr>
      </w:pPr>
      <w:r>
        <w:rPr>
          <w:rFonts w:ascii="Verdana" w:eastAsia="Times New Roman" w:hAnsi="Verdana" w:cs="Verdana"/>
          <w:b/>
          <w:bCs/>
          <w:lang w:eastAsia="es-ES"/>
        </w:rPr>
        <w:t>Materiales y métodos</w:t>
      </w:r>
    </w:p>
    <w:p w:rsidR="00D71650" w:rsidRDefault="009503D6">
      <w:pPr>
        <w:spacing w:line="360" w:lineRule="auto"/>
        <w:jc w:val="both"/>
        <w:rPr>
          <w:rFonts w:ascii="Verdana" w:hAnsi="Verdana" w:cs="Verdana"/>
        </w:rPr>
      </w:pPr>
      <w:r>
        <w:rPr>
          <w:rFonts w:ascii="Verdana" w:hAnsi="Verdana" w:cs="Verdana"/>
        </w:rPr>
        <w:t xml:space="preserve">Se realizó un estudio de serie de casos que responde a un proyecto de investigación con enfoque mixto, en la Facultad de medicina Mariana Grajales Coello de Holguín, durante el período comprendido entre mayo de 2018 a mayo de 2020. Se consideró un universo de 102 placentas procedentes de gestantes con diagnóstico de </w:t>
      </w:r>
      <w:proofErr w:type="spellStart"/>
      <w:r>
        <w:rPr>
          <w:rFonts w:ascii="Verdana" w:hAnsi="Verdana" w:cs="Verdana"/>
        </w:rPr>
        <w:t>preeclampsia</w:t>
      </w:r>
      <w:proofErr w:type="spellEnd"/>
      <w:r>
        <w:rPr>
          <w:rFonts w:ascii="Verdana" w:hAnsi="Verdana" w:cs="Verdana"/>
        </w:rPr>
        <w:t xml:space="preserve"> que tuvieron parto por cesárea durante los meses señalados, en el servicio de ginecobstetricia del hospital Vladimir Ilich Lenin de esta provincia. </w:t>
      </w:r>
    </w:p>
    <w:p w:rsidR="00D71650" w:rsidRDefault="009503D6">
      <w:pPr>
        <w:spacing w:line="360" w:lineRule="auto"/>
        <w:jc w:val="both"/>
        <w:rPr>
          <w:rFonts w:ascii="Verdana" w:hAnsi="Verdana" w:cs="Verdana"/>
        </w:rPr>
      </w:pPr>
      <w:r>
        <w:rPr>
          <w:rFonts w:ascii="Verdana" w:hAnsi="Verdana" w:cs="Verdana"/>
        </w:rPr>
        <w:t xml:space="preserve">La muestra se obtuvo por muestreo no probabilístico y fue de tipo intencionada. La misma quedó constituida por 16 placentas con integridad morfológica en su aspecto externo y ausencia de malformaciones; procedentes todas de gestantes a término con embarazo único, que brindaron su consentimiento para participar en el estudio y con ausencia de antecedentes maternos de hipertensión arterial crónica, diabetes mellitus, </w:t>
      </w:r>
      <w:proofErr w:type="spellStart"/>
      <w:r>
        <w:rPr>
          <w:rFonts w:ascii="Verdana" w:hAnsi="Verdana" w:cs="Verdana"/>
        </w:rPr>
        <w:t>corioamnioitis</w:t>
      </w:r>
      <w:proofErr w:type="spellEnd"/>
      <w:r>
        <w:rPr>
          <w:rFonts w:ascii="Verdana" w:hAnsi="Verdana" w:cs="Verdana"/>
        </w:rPr>
        <w:t xml:space="preserve"> y otras infecciones placentarias demostradas.  </w:t>
      </w:r>
    </w:p>
    <w:p w:rsidR="00D71650" w:rsidRDefault="009503D6">
      <w:pPr>
        <w:spacing w:line="360" w:lineRule="auto"/>
        <w:jc w:val="both"/>
        <w:rPr>
          <w:rFonts w:ascii="Verdana" w:hAnsi="Verdana" w:cs="Verdana"/>
        </w:rPr>
      </w:pPr>
      <w:r>
        <w:rPr>
          <w:rFonts w:ascii="Verdana" w:hAnsi="Verdana" w:cs="Verdana"/>
        </w:rPr>
        <w:t>Se excluyeron del estudio aquellas donde se produjeron errores en el procesamiento técnico dando como resultado mala calidad de la imagen en el examen microscópico de la serie histológica obtenida.</w:t>
      </w:r>
    </w:p>
    <w:p w:rsidR="00D71650" w:rsidRDefault="0095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Verdana"/>
        </w:rPr>
      </w:pPr>
      <w:r>
        <w:rPr>
          <w:rFonts w:ascii="Verdana" w:hAnsi="Verdana" w:cs="Verdana"/>
        </w:rPr>
        <w:t xml:space="preserve">El procesamiento técnico, así como los estudios </w:t>
      </w:r>
      <w:proofErr w:type="spellStart"/>
      <w:r>
        <w:rPr>
          <w:rFonts w:ascii="Verdana" w:hAnsi="Verdana" w:cs="Verdana"/>
        </w:rPr>
        <w:t>morfométricos</w:t>
      </w:r>
      <w:proofErr w:type="spellEnd"/>
      <w:r>
        <w:rPr>
          <w:rFonts w:ascii="Verdana" w:hAnsi="Verdana" w:cs="Verdana"/>
        </w:rPr>
        <w:t xml:space="preserve"> macro y microscópico, fueron realizados por los autores, en los laboratorios de procesamiento tisular y tratamiento de imágenes, pertenecientes a la universidad de ciencias médicas de Holguín. Para evitar posibles sesgos en la investigación se trabajó con una temperatura estable, a 20 grados Celsius. </w:t>
      </w:r>
    </w:p>
    <w:p w:rsidR="007D58E1" w:rsidRDefault="007D5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Verdana"/>
          <w:u w:val="single"/>
        </w:rPr>
      </w:pPr>
    </w:p>
    <w:p w:rsidR="007D58E1" w:rsidRDefault="007D5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Verdana"/>
          <w:u w:val="single"/>
        </w:rPr>
      </w:pPr>
    </w:p>
    <w:p w:rsidR="00D71650" w:rsidRDefault="0095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Verdana"/>
          <w:u w:val="single"/>
        </w:rPr>
      </w:pPr>
      <w:r>
        <w:rPr>
          <w:rFonts w:ascii="Verdana" w:hAnsi="Verdana" w:cs="Verdana"/>
          <w:u w:val="single"/>
        </w:rPr>
        <w:lastRenderedPageBreak/>
        <w:t>Los procedimientos generales y procesamiento de la muestra se describen a continuación:</w:t>
      </w:r>
    </w:p>
    <w:p w:rsidR="00D71650" w:rsidRDefault="0095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Verdana"/>
        </w:rPr>
      </w:pPr>
      <w:r>
        <w:rPr>
          <w:rFonts w:ascii="Verdana" w:hAnsi="Verdana" w:cs="Verdana"/>
        </w:rPr>
        <w:t xml:space="preserve">Inmediatamente después de cada alumbramiento se procedió a recoger cada placenta en una bandeja luego de seccionar el cordón umbilical a 2 centímetros de su inserción. Posteriormente las muestras fueron trasladadas al laboratorio de procesamiento tisular de la universidad de ciencias médicas de Holguín donde se comprimieron suavemente y se lavaron con abundante agua corriente para eliminar el exceso de sangre. Por último, se dejaron escurrir durante 30 minutos y se realizó el examen macroscópico de las mismas.  </w:t>
      </w:r>
    </w:p>
    <w:p w:rsidR="00D71650" w:rsidRDefault="009503D6">
      <w:pPr>
        <w:spacing w:line="360" w:lineRule="auto"/>
        <w:jc w:val="both"/>
        <w:rPr>
          <w:rFonts w:ascii="Verdana" w:hAnsi="Verdana" w:cs="Verdana"/>
        </w:rPr>
      </w:pPr>
      <w:r>
        <w:rPr>
          <w:rFonts w:ascii="Verdana" w:hAnsi="Verdana" w:cs="Verdana"/>
          <w:u w:val="single"/>
        </w:rPr>
        <w:t>Evaluación externa</w:t>
      </w:r>
      <w:r>
        <w:rPr>
          <w:rFonts w:ascii="Verdana" w:hAnsi="Verdana" w:cs="Verdana"/>
        </w:rPr>
        <w:t xml:space="preserve">: Cada placenta fue examinada cuidadosamente por sus dos caras para establecer criterios de normalidad morfológica, a continuación, se colocaron en una superficie plana y se mensuraron el diámetro, el grosor placentario y el peso; utilizando respectivamente cinta métrica, aguja milimetrada y balanza digital. </w:t>
      </w:r>
    </w:p>
    <w:p w:rsidR="00D71650" w:rsidRDefault="009503D6">
      <w:pPr>
        <w:spacing w:line="360" w:lineRule="auto"/>
        <w:jc w:val="both"/>
        <w:rPr>
          <w:rFonts w:ascii="Verdana" w:hAnsi="Verdana" w:cs="Verdana"/>
        </w:rPr>
      </w:pPr>
      <w:r>
        <w:rPr>
          <w:rFonts w:ascii="Verdana" w:hAnsi="Verdana" w:cs="Verdana"/>
          <w:u w:val="single"/>
        </w:rPr>
        <w:t>Disección y toma de muestra para procesamiento</w:t>
      </w:r>
      <w:r>
        <w:rPr>
          <w:rFonts w:ascii="Verdana" w:hAnsi="Verdana" w:cs="Verdana"/>
        </w:rPr>
        <w:t xml:space="preserve">: Para el análisis de las variables microscópicas se realizó una incisión en la cara materna del disco coriónico, a las 6 del reloj, abarcando todo el espesor de la placenta. Luego se cortaron bloques de tejidos en tres zonas diferentes: en la periferia del disco placentario, a 4 cm de la inserción del cordón y </w:t>
      </w:r>
      <w:proofErr w:type="spellStart"/>
      <w:r>
        <w:rPr>
          <w:rFonts w:ascii="Verdana" w:hAnsi="Verdana" w:cs="Verdana"/>
        </w:rPr>
        <w:t>pericordón</w:t>
      </w:r>
      <w:proofErr w:type="spellEnd"/>
      <w:r>
        <w:rPr>
          <w:rFonts w:ascii="Verdana" w:hAnsi="Verdana" w:cs="Verdana"/>
        </w:rPr>
        <w:t>. Para ello se empleó material de disección, fuente de luz y lentes de aumento.</w:t>
      </w:r>
    </w:p>
    <w:p w:rsidR="00D71650" w:rsidRDefault="009503D6">
      <w:pPr>
        <w:spacing w:line="360" w:lineRule="auto"/>
        <w:jc w:val="both"/>
        <w:rPr>
          <w:rFonts w:ascii="Verdana" w:hAnsi="Verdana" w:cs="Verdana"/>
        </w:rPr>
      </w:pPr>
      <w:r>
        <w:rPr>
          <w:rFonts w:ascii="Verdana" w:hAnsi="Verdana" w:cs="Verdana"/>
          <w:u w:val="single"/>
        </w:rPr>
        <w:t>Procesamiento de la muestra</w:t>
      </w:r>
      <w:r>
        <w:rPr>
          <w:rFonts w:ascii="Verdana" w:hAnsi="Verdana" w:cs="Verdana"/>
        </w:rPr>
        <w:t xml:space="preserve">: </w:t>
      </w:r>
    </w:p>
    <w:p w:rsidR="00D71650" w:rsidRDefault="009503D6">
      <w:pPr>
        <w:spacing w:after="160" w:line="360" w:lineRule="auto"/>
        <w:jc w:val="both"/>
        <w:rPr>
          <w:rFonts w:ascii="Verdana" w:hAnsi="Verdana" w:cs="Verdana"/>
        </w:rPr>
      </w:pPr>
      <w:r>
        <w:rPr>
          <w:rFonts w:ascii="Verdana" w:hAnsi="Verdana" w:cs="Verdana"/>
        </w:rPr>
        <w:t xml:space="preserve">Fijación con formol neutro a los 10 % de cada muestra de tejido, sumergidos en frascos independientes durante 48 horas. Deshidratación en alcoholes de concentraciones crecientes. Aclaración en </w:t>
      </w:r>
      <w:proofErr w:type="spellStart"/>
      <w:r>
        <w:rPr>
          <w:rFonts w:ascii="Verdana" w:hAnsi="Verdana" w:cs="Verdana"/>
        </w:rPr>
        <w:t>Xilol</w:t>
      </w:r>
      <w:proofErr w:type="spellEnd"/>
      <w:r>
        <w:rPr>
          <w:rFonts w:ascii="Verdana" w:hAnsi="Verdana" w:cs="Verdana"/>
        </w:rPr>
        <w:t xml:space="preserve">. Inclusión en parafina fundida a 56 grados Celsius. Cortes seriados en micrótomo vertical con </w:t>
      </w:r>
      <w:proofErr w:type="spellStart"/>
      <w:r>
        <w:rPr>
          <w:rFonts w:ascii="Verdana" w:hAnsi="Verdana" w:cs="Verdana"/>
        </w:rPr>
        <w:t>micraje</w:t>
      </w:r>
      <w:proofErr w:type="spellEnd"/>
      <w:r>
        <w:rPr>
          <w:rFonts w:ascii="Verdana" w:hAnsi="Verdana" w:cs="Verdana"/>
        </w:rPr>
        <w:t xml:space="preserve"> de 10 micras, en plano transversal. Colocación de los cortes en láminas y tinción con Hematoxilina y Eosina o Hematoxilina </w:t>
      </w:r>
      <w:proofErr w:type="spellStart"/>
      <w:r>
        <w:rPr>
          <w:rFonts w:ascii="Verdana" w:hAnsi="Verdana" w:cs="Verdana"/>
        </w:rPr>
        <w:t>fosfotúnsgtica</w:t>
      </w:r>
      <w:proofErr w:type="spellEnd"/>
      <w:r>
        <w:rPr>
          <w:rFonts w:ascii="Verdana" w:hAnsi="Verdana" w:cs="Verdana"/>
        </w:rPr>
        <w:t xml:space="preserve"> según la variable a estudiar.</w:t>
      </w:r>
    </w:p>
    <w:p w:rsidR="00D71650" w:rsidRDefault="009503D6">
      <w:pPr>
        <w:spacing w:line="360" w:lineRule="auto"/>
        <w:jc w:val="both"/>
        <w:rPr>
          <w:rFonts w:ascii="Verdana" w:hAnsi="Verdana" w:cs="Verdana"/>
        </w:rPr>
      </w:pPr>
      <w:r>
        <w:rPr>
          <w:rFonts w:ascii="Verdana" w:hAnsi="Verdana" w:cs="Verdana"/>
          <w:u w:val="single"/>
        </w:rPr>
        <w:t>Digitalización de imágenes</w:t>
      </w:r>
      <w:r>
        <w:rPr>
          <w:rFonts w:ascii="Verdana" w:hAnsi="Verdana" w:cs="Verdana"/>
        </w:rPr>
        <w:t xml:space="preserve">: Para ello se utilizó cámara digital </w:t>
      </w:r>
      <w:proofErr w:type="spellStart"/>
      <w:r>
        <w:rPr>
          <w:rFonts w:ascii="Verdana" w:hAnsi="Verdana" w:cs="Verdana"/>
        </w:rPr>
        <w:t>Motic</w:t>
      </w:r>
      <w:proofErr w:type="spellEnd"/>
      <w:r>
        <w:rPr>
          <w:rFonts w:ascii="Verdana" w:hAnsi="Verdana" w:cs="Verdana"/>
        </w:rPr>
        <w:t xml:space="preserve"> acoplada a microscopio estereoscópico </w:t>
      </w:r>
      <w:proofErr w:type="spellStart"/>
      <w:r>
        <w:rPr>
          <w:rFonts w:ascii="Verdana" w:hAnsi="Verdana" w:cs="Verdana"/>
        </w:rPr>
        <w:t>Panoramic</w:t>
      </w:r>
      <w:proofErr w:type="spellEnd"/>
      <w:r>
        <w:rPr>
          <w:rFonts w:ascii="Verdana" w:hAnsi="Verdana" w:cs="Verdana"/>
        </w:rPr>
        <w:t xml:space="preserve"> (objetivos 4x, 10x y 40x). Se obtuvo un total de 1355 imágenes.</w:t>
      </w:r>
    </w:p>
    <w:p w:rsidR="00D71650" w:rsidRDefault="009503D6">
      <w:pPr>
        <w:spacing w:line="360" w:lineRule="auto"/>
        <w:jc w:val="both"/>
        <w:rPr>
          <w:rFonts w:ascii="Verdana" w:hAnsi="Verdana" w:cs="Verdana"/>
        </w:rPr>
      </w:pPr>
      <w:r>
        <w:rPr>
          <w:rFonts w:ascii="Verdana" w:hAnsi="Verdana" w:cs="Verdana"/>
          <w:u w:val="single"/>
        </w:rPr>
        <w:t xml:space="preserve">Estudio </w:t>
      </w:r>
      <w:proofErr w:type="spellStart"/>
      <w:r>
        <w:rPr>
          <w:rFonts w:ascii="Verdana" w:hAnsi="Verdana" w:cs="Verdana"/>
          <w:u w:val="single"/>
        </w:rPr>
        <w:t>morfométrico</w:t>
      </w:r>
      <w:proofErr w:type="spellEnd"/>
      <w:r>
        <w:rPr>
          <w:rFonts w:ascii="Verdana" w:hAnsi="Verdana" w:cs="Verdana"/>
        </w:rPr>
        <w:t xml:space="preserve">: Las mediciones se realizaron utilizando los sistemas </w:t>
      </w:r>
      <w:proofErr w:type="spellStart"/>
      <w:r>
        <w:rPr>
          <w:rFonts w:ascii="Verdana" w:hAnsi="Verdana" w:cs="Verdana"/>
        </w:rPr>
        <w:t>morfométricos</w:t>
      </w:r>
      <w:proofErr w:type="spellEnd"/>
      <w:r>
        <w:rPr>
          <w:rFonts w:ascii="Verdana" w:hAnsi="Verdana" w:cs="Verdana"/>
        </w:rPr>
        <w:t xml:space="preserve"> </w:t>
      </w:r>
      <w:proofErr w:type="spellStart"/>
      <w:r>
        <w:rPr>
          <w:rFonts w:ascii="Verdana" w:hAnsi="Verdana" w:cs="Verdana"/>
        </w:rPr>
        <w:t>ImageJ</w:t>
      </w:r>
      <w:proofErr w:type="spellEnd"/>
      <w:r>
        <w:rPr>
          <w:rFonts w:ascii="Verdana" w:hAnsi="Verdana" w:cs="Verdana"/>
        </w:rPr>
        <w:t xml:space="preserve"> y </w:t>
      </w:r>
      <w:proofErr w:type="spellStart"/>
      <w:r>
        <w:rPr>
          <w:rFonts w:ascii="Verdana" w:hAnsi="Verdana" w:cs="Verdana"/>
        </w:rPr>
        <w:t>Motic</w:t>
      </w:r>
      <w:proofErr w:type="spellEnd"/>
      <w:r>
        <w:rPr>
          <w:rFonts w:ascii="Verdana" w:hAnsi="Verdana" w:cs="Verdana"/>
        </w:rPr>
        <w:t xml:space="preserve"> </w:t>
      </w:r>
      <w:proofErr w:type="spellStart"/>
      <w:r>
        <w:rPr>
          <w:rFonts w:ascii="Verdana" w:hAnsi="Verdana" w:cs="Verdana"/>
        </w:rPr>
        <w:t>Images</w:t>
      </w:r>
      <w:proofErr w:type="spellEnd"/>
      <w:r>
        <w:rPr>
          <w:rFonts w:ascii="Verdana" w:hAnsi="Verdana" w:cs="Verdana"/>
        </w:rPr>
        <w:t xml:space="preserve"> plus 3.0. Para el estudio se utilizaron las variables: densidad óptica de fibrina en la superficie de la vellosidad y área </w:t>
      </w:r>
      <w:proofErr w:type="spellStart"/>
      <w:r>
        <w:rPr>
          <w:rFonts w:ascii="Verdana" w:hAnsi="Verdana" w:cs="Verdana"/>
        </w:rPr>
        <w:t>vellositaria</w:t>
      </w:r>
      <w:proofErr w:type="spellEnd"/>
      <w:r>
        <w:rPr>
          <w:rFonts w:ascii="Verdana" w:hAnsi="Verdana" w:cs="Verdana"/>
        </w:rPr>
        <w:t xml:space="preserve">. Se realizaron 10 lecturas de cada variable </w:t>
      </w:r>
      <w:proofErr w:type="spellStart"/>
      <w:r>
        <w:rPr>
          <w:rFonts w:ascii="Verdana" w:hAnsi="Verdana" w:cs="Verdana"/>
        </w:rPr>
        <w:t>morfométrica</w:t>
      </w:r>
      <w:proofErr w:type="spellEnd"/>
      <w:r>
        <w:rPr>
          <w:rFonts w:ascii="Verdana" w:hAnsi="Verdana" w:cs="Verdana"/>
        </w:rPr>
        <w:t xml:space="preserve"> en cada una de las imágenes y se obtuvo el promedio de las mismas por imagen. </w:t>
      </w:r>
    </w:p>
    <w:p w:rsidR="00D71650" w:rsidRDefault="009503D6">
      <w:pPr>
        <w:spacing w:line="360" w:lineRule="auto"/>
        <w:jc w:val="both"/>
        <w:rPr>
          <w:rFonts w:ascii="Verdana" w:hAnsi="Verdana" w:cs="Verdana"/>
          <w:b/>
        </w:rPr>
      </w:pPr>
      <w:proofErr w:type="spellStart"/>
      <w:r>
        <w:rPr>
          <w:rFonts w:ascii="Verdana" w:hAnsi="Verdana" w:cs="Verdana"/>
          <w:b/>
        </w:rPr>
        <w:lastRenderedPageBreak/>
        <w:t>Operacionalización</w:t>
      </w:r>
      <w:proofErr w:type="spellEnd"/>
      <w:r>
        <w:rPr>
          <w:rFonts w:ascii="Verdana" w:hAnsi="Verdana" w:cs="Verdana"/>
          <w:b/>
        </w:rPr>
        <w:t xml:space="preserve"> de las variables</w:t>
      </w:r>
    </w:p>
    <w:p w:rsidR="00D71650" w:rsidRDefault="009503D6">
      <w:pPr>
        <w:spacing w:line="360" w:lineRule="auto"/>
        <w:jc w:val="both"/>
        <w:rPr>
          <w:rFonts w:ascii="Verdana" w:hAnsi="Verdana" w:cs="Verdana"/>
        </w:rPr>
      </w:pPr>
      <w:r>
        <w:rPr>
          <w:rFonts w:ascii="Verdana" w:hAnsi="Verdana" w:cs="Verdana"/>
        </w:rPr>
        <w:t xml:space="preserve">La evaluación </w:t>
      </w:r>
      <w:proofErr w:type="spellStart"/>
      <w:r>
        <w:rPr>
          <w:rFonts w:ascii="Verdana" w:hAnsi="Verdana" w:cs="Verdana"/>
        </w:rPr>
        <w:t>morfométrica</w:t>
      </w:r>
      <w:proofErr w:type="spellEnd"/>
      <w:r>
        <w:rPr>
          <w:rFonts w:ascii="Verdana" w:hAnsi="Verdana" w:cs="Verdana"/>
        </w:rPr>
        <w:t xml:space="preserve"> macroscópica incluyó las siguientes variables: </w:t>
      </w:r>
    </w:p>
    <w:p w:rsidR="00D71650" w:rsidRDefault="009503D6">
      <w:pPr>
        <w:numPr>
          <w:ilvl w:val="0"/>
          <w:numId w:val="1"/>
        </w:numPr>
        <w:spacing w:after="160" w:line="360" w:lineRule="auto"/>
        <w:jc w:val="both"/>
        <w:rPr>
          <w:rFonts w:ascii="Verdana" w:hAnsi="Verdana" w:cs="Verdana"/>
        </w:rPr>
      </w:pPr>
      <w:r>
        <w:rPr>
          <w:rFonts w:ascii="Verdana" w:hAnsi="Verdana" w:cs="Verdana"/>
        </w:rPr>
        <w:t xml:space="preserve">Diámetro placentario: Variable cuantitativa continua, definida como la distancia máxima entre los extremos opuestos de los bordes de la placenta en su cara materna. Se expresó en centímetros (cm). </w:t>
      </w:r>
    </w:p>
    <w:p w:rsidR="00D71650" w:rsidRDefault="009503D6">
      <w:pPr>
        <w:numPr>
          <w:ilvl w:val="0"/>
          <w:numId w:val="1"/>
        </w:numPr>
        <w:spacing w:after="160" w:line="360" w:lineRule="auto"/>
        <w:jc w:val="both"/>
        <w:rPr>
          <w:rFonts w:ascii="Verdana" w:hAnsi="Verdana" w:cs="Verdana"/>
        </w:rPr>
      </w:pPr>
      <w:r>
        <w:rPr>
          <w:rFonts w:ascii="Verdana" w:hAnsi="Verdana" w:cs="Verdana"/>
        </w:rPr>
        <w:t xml:space="preserve">Grosor placentario: Variable cuantitativa continua, definida como la distancia máxima entre la cara materna y la cara fetal, medida en el centro del disco coriónico y expresada en cm. </w:t>
      </w:r>
    </w:p>
    <w:p w:rsidR="00D71650" w:rsidRDefault="009503D6">
      <w:pPr>
        <w:numPr>
          <w:ilvl w:val="0"/>
          <w:numId w:val="1"/>
        </w:numPr>
        <w:spacing w:after="160" w:line="360" w:lineRule="auto"/>
        <w:jc w:val="both"/>
        <w:rPr>
          <w:rFonts w:ascii="Verdana" w:hAnsi="Verdana" w:cs="Verdana"/>
        </w:rPr>
      </w:pPr>
      <w:r>
        <w:rPr>
          <w:rFonts w:ascii="Verdana" w:hAnsi="Verdana" w:cs="Verdana"/>
        </w:rPr>
        <w:t>Peso placentario: Magnitud obtenida en gramos con la utilización de balanza digital.</w:t>
      </w:r>
    </w:p>
    <w:p w:rsidR="00D71650" w:rsidRDefault="006F15AF">
      <w:pPr>
        <w:spacing w:line="360" w:lineRule="auto"/>
        <w:jc w:val="both"/>
        <w:rPr>
          <w:rFonts w:ascii="Verdana" w:hAnsi="Verdana" w:cs="Verdana"/>
        </w:rPr>
      </w:pPr>
      <w:r>
        <w:rPr>
          <w:rFonts w:ascii="Verdana" w:hAnsi="Verdana" w:cs="Verdana"/>
        </w:rPr>
        <w:t>La</w:t>
      </w:r>
      <w:r w:rsidR="009503D6">
        <w:rPr>
          <w:rFonts w:ascii="Verdana" w:hAnsi="Verdana" w:cs="Verdana"/>
        </w:rPr>
        <w:t xml:space="preserve"> </w:t>
      </w:r>
      <w:proofErr w:type="spellStart"/>
      <w:r w:rsidR="009503D6">
        <w:rPr>
          <w:rFonts w:ascii="Verdana" w:hAnsi="Verdana" w:cs="Verdana"/>
        </w:rPr>
        <w:t>morfometría</w:t>
      </w:r>
      <w:proofErr w:type="spellEnd"/>
      <w:r w:rsidR="009503D6">
        <w:rPr>
          <w:rFonts w:ascii="Verdana" w:hAnsi="Verdana" w:cs="Verdana"/>
        </w:rPr>
        <w:t xml:space="preserve"> microscópica se </w:t>
      </w:r>
      <w:r w:rsidR="007162B7">
        <w:rPr>
          <w:rFonts w:ascii="Verdana" w:hAnsi="Verdana" w:cs="Verdana"/>
        </w:rPr>
        <w:t>realizó en</w:t>
      </w:r>
      <w:r w:rsidR="009503D6">
        <w:rPr>
          <w:rFonts w:ascii="Verdana" w:hAnsi="Verdana" w:cs="Verdana"/>
        </w:rPr>
        <w:t xml:space="preserve"> las variables</w:t>
      </w:r>
      <w:r w:rsidR="007162B7">
        <w:rPr>
          <w:rFonts w:ascii="Verdana" w:hAnsi="Verdana" w:cs="Verdana"/>
        </w:rPr>
        <w:t xml:space="preserve"> que a continuación se </w:t>
      </w:r>
      <w:proofErr w:type="spellStart"/>
      <w:r w:rsidR="007162B7">
        <w:rPr>
          <w:rFonts w:ascii="Verdana" w:hAnsi="Verdana" w:cs="Verdana"/>
        </w:rPr>
        <w:t>realcionan</w:t>
      </w:r>
      <w:proofErr w:type="spellEnd"/>
      <w:r w:rsidR="009503D6">
        <w:rPr>
          <w:rFonts w:ascii="Verdana" w:hAnsi="Verdana" w:cs="Verdana"/>
        </w:rPr>
        <w:t xml:space="preserve">: </w:t>
      </w:r>
    </w:p>
    <w:p w:rsidR="00D71650" w:rsidRDefault="009503D6">
      <w:pPr>
        <w:numPr>
          <w:ilvl w:val="0"/>
          <w:numId w:val="2"/>
        </w:numPr>
        <w:spacing w:after="160" w:line="360" w:lineRule="auto"/>
        <w:jc w:val="both"/>
        <w:rPr>
          <w:rFonts w:ascii="Verdana" w:hAnsi="Verdana" w:cs="Verdana"/>
        </w:rPr>
      </w:pPr>
      <w:r>
        <w:rPr>
          <w:rFonts w:ascii="Verdana" w:hAnsi="Verdana" w:cs="Verdana"/>
        </w:rPr>
        <w:t xml:space="preserve">Área </w:t>
      </w:r>
      <w:proofErr w:type="spellStart"/>
      <w:r>
        <w:rPr>
          <w:rFonts w:ascii="Verdana" w:hAnsi="Verdana" w:cs="Verdana"/>
        </w:rPr>
        <w:t>vellositaria</w:t>
      </w:r>
      <w:proofErr w:type="spellEnd"/>
      <w:r w:rsidR="00DA7EC1">
        <w:rPr>
          <w:rFonts w:ascii="Verdana" w:hAnsi="Verdana" w:cs="Verdana"/>
        </w:rPr>
        <w:t xml:space="preserve"> (Anexo I)</w:t>
      </w:r>
      <w:r>
        <w:rPr>
          <w:rFonts w:ascii="Verdana" w:hAnsi="Verdana" w:cs="Verdana"/>
        </w:rPr>
        <w:t xml:space="preserve">: Área ocupada por la vellosidad libre en la superficie observada. Se obtuvo mediante la opción a mano alzada en la barra de herramientas del software </w:t>
      </w:r>
      <w:proofErr w:type="spellStart"/>
      <w:r>
        <w:rPr>
          <w:rFonts w:ascii="Verdana" w:hAnsi="Verdana" w:cs="Verdana"/>
        </w:rPr>
        <w:t>ImageJ</w:t>
      </w:r>
      <w:proofErr w:type="spellEnd"/>
      <w:r>
        <w:rPr>
          <w:rFonts w:ascii="Verdana" w:hAnsi="Verdana" w:cs="Verdana"/>
        </w:rPr>
        <w:t xml:space="preserve">. Se expresó en micras cuadradas (µc) </w:t>
      </w:r>
      <w:r>
        <w:rPr>
          <w:rFonts w:ascii="Verdana" w:hAnsi="Verdana" w:cs="Verdana"/>
          <w:vertAlign w:val="superscript"/>
        </w:rPr>
        <w:t>2</w:t>
      </w:r>
      <w:r>
        <w:rPr>
          <w:rFonts w:ascii="Verdana" w:hAnsi="Verdana" w:cs="Verdana"/>
        </w:rPr>
        <w:t>.</w:t>
      </w:r>
    </w:p>
    <w:p w:rsidR="00D71650" w:rsidRDefault="009503D6">
      <w:pPr>
        <w:numPr>
          <w:ilvl w:val="0"/>
          <w:numId w:val="2"/>
        </w:numPr>
        <w:spacing w:after="160" w:line="360" w:lineRule="auto"/>
        <w:jc w:val="both"/>
        <w:rPr>
          <w:rFonts w:ascii="Verdana" w:hAnsi="Verdana" w:cs="Verdana"/>
        </w:rPr>
      </w:pPr>
      <w:r>
        <w:rPr>
          <w:rFonts w:ascii="Verdana" w:hAnsi="Verdana" w:cs="Verdana"/>
        </w:rPr>
        <w:t>Densidad óptica de fibrina en la superficie de la vellosidad</w:t>
      </w:r>
      <w:r w:rsidR="00DA7EC1">
        <w:rPr>
          <w:rFonts w:ascii="Verdana" w:hAnsi="Verdana" w:cs="Verdana"/>
        </w:rPr>
        <w:t xml:space="preserve"> (Anexo II)</w:t>
      </w:r>
      <w:r>
        <w:rPr>
          <w:rFonts w:ascii="Verdana" w:hAnsi="Verdana" w:cs="Verdana"/>
        </w:rPr>
        <w:t xml:space="preserve">: Variable cuantitativa discreta. Cantidad de tejido fibrinoide depositado en la superficie de la vellosidad con capacidad para la absorción luminosa que se determina indirectamente, llevando la imagen a tonos de grises de 8bit; </w:t>
      </w:r>
      <w:r w:rsidR="00CB1C67">
        <w:rPr>
          <w:rFonts w:ascii="Verdana" w:hAnsi="Verdana" w:cs="Verdana"/>
        </w:rPr>
        <w:t>Mediante el</w:t>
      </w:r>
      <w:r>
        <w:rPr>
          <w:rFonts w:ascii="Verdana" w:hAnsi="Verdana" w:cs="Verdana"/>
        </w:rPr>
        <w:t xml:space="preserve"> software densidad se realizó la calibración </w:t>
      </w:r>
      <w:r w:rsidR="00CB1C67">
        <w:rPr>
          <w:rFonts w:ascii="Verdana" w:hAnsi="Verdana" w:cs="Verdana"/>
        </w:rPr>
        <w:t xml:space="preserve">con el uso de la función y= </w:t>
      </w:r>
      <w:proofErr w:type="spellStart"/>
      <w:r w:rsidR="00CB1C67">
        <w:rPr>
          <w:rFonts w:ascii="Verdana" w:hAnsi="Verdana" w:cs="Verdana"/>
        </w:rPr>
        <w:t>a+b</w:t>
      </w:r>
      <w:proofErr w:type="spellEnd"/>
      <w:r w:rsidR="00CB1C67">
        <w:rPr>
          <w:rFonts w:ascii="Verdana" w:hAnsi="Verdana" w:cs="Verdana"/>
        </w:rPr>
        <w:t>*</w:t>
      </w:r>
      <w:proofErr w:type="spellStart"/>
      <w:r w:rsidR="00CB1C67">
        <w:rPr>
          <w:rFonts w:ascii="Verdana" w:hAnsi="Verdana" w:cs="Verdana"/>
        </w:rPr>
        <w:t>Ln</w:t>
      </w:r>
      <w:proofErr w:type="spellEnd"/>
      <w:r w:rsidR="00CB1C67">
        <w:rPr>
          <w:rFonts w:ascii="Verdana" w:hAnsi="Verdana" w:cs="Verdana"/>
        </w:rPr>
        <w:t>(</w:t>
      </w:r>
      <w:proofErr w:type="spellStart"/>
      <w:r w:rsidR="00CB1C67">
        <w:rPr>
          <w:rFonts w:ascii="Verdana" w:hAnsi="Verdana" w:cs="Verdana"/>
        </w:rPr>
        <w:t>x_c</w:t>
      </w:r>
      <w:proofErr w:type="spellEnd"/>
      <w:r w:rsidR="00CB1C67">
        <w:rPr>
          <w:rFonts w:ascii="Verdana" w:hAnsi="Verdana" w:cs="Verdana"/>
        </w:rPr>
        <w:t>)</w:t>
      </w:r>
      <w:r>
        <w:rPr>
          <w:rFonts w:ascii="Verdana" w:hAnsi="Verdana" w:cs="Verdana"/>
        </w:rPr>
        <w:t>,</w:t>
      </w:r>
      <w:r w:rsidR="00CB1C67">
        <w:rPr>
          <w:rFonts w:ascii="Verdana" w:hAnsi="Verdana" w:cs="Verdana"/>
        </w:rPr>
        <w:t xml:space="preserve"> </w:t>
      </w:r>
      <w:r>
        <w:rPr>
          <w:rFonts w:ascii="Verdana" w:hAnsi="Verdana" w:cs="Verdana"/>
        </w:rPr>
        <w:t xml:space="preserve">luego </w:t>
      </w:r>
      <w:r w:rsidR="00CB1C67">
        <w:rPr>
          <w:rFonts w:ascii="Verdana" w:hAnsi="Verdana" w:cs="Verdana"/>
        </w:rPr>
        <w:t>de lo cual se midió</w:t>
      </w:r>
      <w:r>
        <w:rPr>
          <w:rFonts w:ascii="Verdana" w:hAnsi="Verdana" w:cs="Verdana"/>
        </w:rPr>
        <w:t xml:space="preserve"> utilizando la opción rectangular de la barra de herramientas del software </w:t>
      </w:r>
      <w:proofErr w:type="spellStart"/>
      <w:r>
        <w:rPr>
          <w:rFonts w:ascii="Verdana" w:hAnsi="Verdana" w:cs="Verdana"/>
        </w:rPr>
        <w:t>ImageJ</w:t>
      </w:r>
      <w:proofErr w:type="spellEnd"/>
      <w:r>
        <w:rPr>
          <w:rFonts w:ascii="Verdana" w:hAnsi="Verdana" w:cs="Verdana"/>
        </w:rPr>
        <w:t>.</w:t>
      </w:r>
    </w:p>
    <w:p w:rsidR="00D71650" w:rsidRDefault="009503D6">
      <w:pPr>
        <w:spacing w:line="360" w:lineRule="auto"/>
        <w:jc w:val="both"/>
        <w:rPr>
          <w:rFonts w:ascii="Verdana" w:hAnsi="Verdana" w:cs="Verdana"/>
        </w:rPr>
      </w:pPr>
      <w:r>
        <w:rPr>
          <w:rFonts w:ascii="Verdana" w:hAnsi="Verdana" w:cs="Verdana"/>
        </w:rPr>
        <w:t xml:space="preserve">Estas variables se cuantificaron en las tres zonas morfológicas de corte, descritas anteriormente, por lo que quedaron </w:t>
      </w:r>
      <w:proofErr w:type="spellStart"/>
      <w:r>
        <w:rPr>
          <w:rFonts w:ascii="Verdana" w:hAnsi="Verdana" w:cs="Verdana"/>
        </w:rPr>
        <w:t>operacionalizadas</w:t>
      </w:r>
      <w:proofErr w:type="spellEnd"/>
      <w:r>
        <w:rPr>
          <w:rFonts w:ascii="Verdana" w:hAnsi="Verdana" w:cs="Verdana"/>
        </w:rPr>
        <w:t xml:space="preserve"> en las siguientes dimensiones: Placenta en la región periférica del disco placentario (PP); Placenta a 4 cm del cordón umbilical (P4C); Placenta en la región peri cordón (PPC)</w:t>
      </w:r>
    </w:p>
    <w:p w:rsidR="00D71650" w:rsidRDefault="009503D6">
      <w:pPr>
        <w:spacing w:line="360" w:lineRule="auto"/>
        <w:jc w:val="both"/>
        <w:rPr>
          <w:rFonts w:ascii="Verdana" w:hAnsi="Verdana" w:cs="Verdana"/>
        </w:rPr>
      </w:pPr>
      <w:r>
        <w:rPr>
          <w:rFonts w:ascii="Verdana" w:hAnsi="Verdana" w:cs="Verdana"/>
          <w:b/>
        </w:rPr>
        <w:t>Procedimientos estadísticos</w:t>
      </w:r>
      <w:r>
        <w:rPr>
          <w:rFonts w:ascii="Verdana" w:hAnsi="Verdana" w:cs="Verdana"/>
        </w:rPr>
        <w:t xml:space="preserve"> </w:t>
      </w:r>
    </w:p>
    <w:p w:rsidR="00D71650" w:rsidRDefault="009503D6">
      <w:pPr>
        <w:spacing w:line="360" w:lineRule="auto"/>
        <w:jc w:val="both"/>
        <w:rPr>
          <w:rFonts w:ascii="Verdana" w:hAnsi="Verdana" w:cs="Verdana"/>
        </w:rPr>
      </w:pPr>
      <w:r>
        <w:rPr>
          <w:rFonts w:ascii="Verdana" w:hAnsi="Verdana" w:cs="Verdana"/>
        </w:rPr>
        <w:t xml:space="preserve">Los datos primarios fueron procesados en una computadora Pentium 4 con ambiente Windows XP profesional. Se creó un fichero de datos utilizando la aplicación Microsoft Excel </w:t>
      </w:r>
      <w:r>
        <w:rPr>
          <w:rFonts w:ascii="Verdana" w:hAnsi="Verdana" w:cs="Verdana"/>
        </w:rPr>
        <w:lastRenderedPageBreak/>
        <w:t xml:space="preserve">que posteriormente fue importado al paquete de programas estadístico SPSS versión 15.0 para Windows. </w:t>
      </w:r>
    </w:p>
    <w:p w:rsidR="00D71650" w:rsidRDefault="007162B7">
      <w:pPr>
        <w:spacing w:line="360" w:lineRule="auto"/>
        <w:jc w:val="both"/>
        <w:rPr>
          <w:rFonts w:ascii="Verdana" w:hAnsi="Verdana" w:cs="Verdana"/>
        </w:rPr>
      </w:pPr>
      <w:r>
        <w:rPr>
          <w:rFonts w:ascii="Verdana" w:hAnsi="Verdana" w:cs="Verdana"/>
        </w:rPr>
        <w:t>Se</w:t>
      </w:r>
      <w:r w:rsidR="009503D6">
        <w:rPr>
          <w:rFonts w:ascii="Verdana" w:hAnsi="Verdana" w:cs="Verdana"/>
        </w:rPr>
        <w:t xml:space="preserve"> realizó análisis descriptivo de las variables mensuradas </w:t>
      </w:r>
      <w:r>
        <w:rPr>
          <w:rFonts w:ascii="Verdana" w:hAnsi="Verdana" w:cs="Verdana"/>
        </w:rPr>
        <w:t>tanto macroscópica como microscópicamente</w:t>
      </w:r>
      <w:r w:rsidR="009503D6">
        <w:rPr>
          <w:rFonts w:ascii="Verdana" w:hAnsi="Verdana" w:cs="Verdana"/>
        </w:rPr>
        <w:t xml:space="preserve">. </w:t>
      </w:r>
      <w:r>
        <w:rPr>
          <w:rFonts w:ascii="Verdana" w:hAnsi="Verdana" w:cs="Verdana"/>
        </w:rPr>
        <w:t xml:space="preserve">Se calculó la media (X), desviación estándar (ST), máximo (Max), mínimo (Min) y coeficiente de variación (CV); con </w:t>
      </w:r>
      <w:r w:rsidR="009503D6">
        <w:rPr>
          <w:rFonts w:ascii="Verdana" w:hAnsi="Verdana" w:cs="Verdana"/>
        </w:rPr>
        <w:t>un intervalo de confianza del 95 %</w:t>
      </w:r>
      <w:r>
        <w:rPr>
          <w:rFonts w:ascii="Verdana" w:hAnsi="Verdana" w:cs="Verdana"/>
        </w:rPr>
        <w:t xml:space="preserve"> en cada caso</w:t>
      </w:r>
      <w:r w:rsidR="009503D6">
        <w:rPr>
          <w:rFonts w:ascii="Verdana" w:hAnsi="Verdana" w:cs="Verdana"/>
        </w:rPr>
        <w:t xml:space="preserve">. </w:t>
      </w:r>
    </w:p>
    <w:p w:rsidR="00D71650" w:rsidRDefault="007162B7">
      <w:pPr>
        <w:spacing w:line="360" w:lineRule="auto"/>
        <w:jc w:val="both"/>
        <w:rPr>
          <w:rFonts w:ascii="Verdana" w:eastAsia="Times New Roman" w:hAnsi="Verdana" w:cs="Verdana"/>
          <w:bCs/>
          <w:lang w:eastAsia="es-ES"/>
        </w:rPr>
      </w:pPr>
      <w:r>
        <w:rPr>
          <w:rFonts w:ascii="Verdana" w:hAnsi="Verdana" w:cs="Verdana"/>
        </w:rPr>
        <w:t>El</w:t>
      </w:r>
      <w:r w:rsidR="009503D6">
        <w:rPr>
          <w:rFonts w:ascii="Verdana" w:hAnsi="Verdana" w:cs="Verdana"/>
        </w:rPr>
        <w:t xml:space="preserve"> análisis de varianza </w:t>
      </w:r>
      <w:r>
        <w:rPr>
          <w:rFonts w:ascii="Verdana" w:hAnsi="Verdana" w:cs="Verdana"/>
        </w:rPr>
        <w:t>facilitó</w:t>
      </w:r>
      <w:r w:rsidR="009503D6">
        <w:rPr>
          <w:rFonts w:ascii="Verdana" w:hAnsi="Verdana" w:cs="Verdana"/>
        </w:rPr>
        <w:t xml:space="preserve"> la comparación entre las medias obtenidas en cada una de las tres dimensiones de la variable y se aplicó el test de Newman </w:t>
      </w:r>
      <w:proofErr w:type="spellStart"/>
      <w:r w:rsidR="009503D6">
        <w:rPr>
          <w:rFonts w:ascii="Verdana" w:hAnsi="Verdana" w:cs="Verdana"/>
        </w:rPr>
        <w:t>Keuls</w:t>
      </w:r>
      <w:proofErr w:type="spellEnd"/>
      <w:r w:rsidR="009503D6">
        <w:rPr>
          <w:rFonts w:ascii="Verdana" w:hAnsi="Verdana" w:cs="Verdana"/>
        </w:rPr>
        <w:t xml:space="preserve"> para identificar entre cuales dimensiones se encontraban las diferencias significativas.  </w:t>
      </w:r>
      <w:r>
        <w:rPr>
          <w:rFonts w:ascii="Verdana" w:hAnsi="Verdana" w:cs="Verdana"/>
        </w:rPr>
        <w:t>Fue utilizado</w:t>
      </w:r>
      <w:r w:rsidR="009503D6">
        <w:rPr>
          <w:rFonts w:ascii="Verdana" w:hAnsi="Verdana" w:cs="Verdana"/>
        </w:rPr>
        <w:t xml:space="preserve"> el programa estadístico </w:t>
      </w:r>
      <w:proofErr w:type="spellStart"/>
      <w:r w:rsidR="009503D6">
        <w:rPr>
          <w:rFonts w:ascii="Verdana" w:hAnsi="Verdana" w:cs="Verdana"/>
        </w:rPr>
        <w:t>MyStat</w:t>
      </w:r>
      <w:proofErr w:type="spellEnd"/>
      <w:r w:rsidR="009503D6">
        <w:rPr>
          <w:rFonts w:ascii="Verdana" w:hAnsi="Verdana" w:cs="Verdana"/>
        </w:rPr>
        <w:t xml:space="preserve">.  </w:t>
      </w:r>
      <w:r w:rsidR="009503D6">
        <w:rPr>
          <w:rFonts w:ascii="Verdana" w:eastAsia="Times New Roman" w:hAnsi="Verdana" w:cs="Verdana"/>
          <w:lang w:eastAsia="es-ES"/>
        </w:rPr>
        <w:t xml:space="preserve">El informe final fue redactado </w:t>
      </w:r>
      <w:r w:rsidR="009503D6">
        <w:rPr>
          <w:rFonts w:ascii="Verdana" w:hAnsi="Verdana" w:cs="Verdana"/>
        </w:rPr>
        <w:t>con la ayuda de la aplicación Microsoft Office</w:t>
      </w:r>
      <w:r w:rsidR="009503D6">
        <w:rPr>
          <w:rFonts w:ascii="Verdana" w:eastAsia="Times New Roman" w:hAnsi="Verdana" w:cs="Verdana"/>
          <w:lang w:eastAsia="es-ES"/>
        </w:rPr>
        <w:t>. Los resultados</w:t>
      </w:r>
      <w:r w:rsidR="00CB1C67">
        <w:rPr>
          <w:rFonts w:ascii="Verdana" w:eastAsia="Times New Roman" w:hAnsi="Verdana" w:cs="Verdana"/>
          <w:lang w:eastAsia="es-ES"/>
        </w:rPr>
        <w:t xml:space="preserve"> fueron representados en tablas</w:t>
      </w:r>
      <w:r w:rsidR="009503D6">
        <w:rPr>
          <w:rFonts w:ascii="Verdana" w:eastAsia="Times New Roman" w:hAnsi="Verdana" w:cs="Verdana"/>
          <w:lang w:eastAsia="es-ES"/>
        </w:rPr>
        <w:t>.</w:t>
      </w:r>
      <w:r w:rsidR="00CB1C67">
        <w:rPr>
          <w:rFonts w:ascii="Verdana" w:eastAsia="Times New Roman" w:hAnsi="Verdana" w:cs="Verdana"/>
          <w:lang w:eastAsia="es-ES"/>
        </w:rPr>
        <w:t xml:space="preserve"> </w:t>
      </w:r>
      <w:r w:rsidR="009503D6">
        <w:rPr>
          <w:rFonts w:ascii="Verdana" w:eastAsia="Times New Roman" w:hAnsi="Verdana" w:cs="Verdana"/>
          <w:lang w:eastAsia="es-ES"/>
        </w:rPr>
        <w:t xml:space="preserve">En todos los casos se fijaron los niveles de significación con un margen de error de </w:t>
      </w:r>
      <w:r w:rsidR="009503D6">
        <w:rPr>
          <w:rFonts w:ascii="Verdana" w:eastAsia="Times New Roman" w:hAnsi="Verdana" w:cs="Verdana"/>
          <w:bCs/>
          <w:lang w:eastAsia="es-ES"/>
        </w:rPr>
        <w:t>1% (p≤ 0,01)   altamente significativo</w:t>
      </w:r>
    </w:p>
    <w:p w:rsidR="00D71650" w:rsidRDefault="009503D6">
      <w:pPr>
        <w:spacing w:line="360" w:lineRule="auto"/>
        <w:jc w:val="both"/>
        <w:rPr>
          <w:rFonts w:ascii="Verdana" w:eastAsia="Times New Roman" w:hAnsi="Verdana" w:cs="Verdana"/>
          <w:b/>
          <w:bCs/>
          <w:lang w:eastAsia="es-ES"/>
        </w:rPr>
      </w:pPr>
      <w:r>
        <w:rPr>
          <w:rFonts w:ascii="Verdana" w:hAnsi="Verdana" w:cs="Verdana"/>
          <w:b/>
        </w:rPr>
        <w:t xml:space="preserve">Aspectos éticos: </w:t>
      </w:r>
      <w:r>
        <w:rPr>
          <w:rFonts w:ascii="Verdana" w:hAnsi="Verdana" w:cs="Verdana"/>
        </w:rPr>
        <w:t>Se obtuvo la autorización legal del servicio de Ginecobstetricia del Hospital Vladimir Ilich Lenin y el consentimiento informado de las gestantes cuyas placentas fueron incluidas en el estudio. El estudio contó con el aval del Comité de Ética de Investigación de la Facultad de Medicina de la Universidad de ciencias médicas de Holguín y la aprobación del Comité de Ética de Investigación de la Unidad de Investigaciones Biomédicas de esta propia Universidad.</w:t>
      </w:r>
    </w:p>
    <w:p w:rsidR="00D71650" w:rsidRDefault="009503D6">
      <w:pPr>
        <w:spacing w:line="360" w:lineRule="auto"/>
        <w:jc w:val="both"/>
        <w:rPr>
          <w:rFonts w:ascii="Verdana" w:eastAsia="Times New Roman" w:hAnsi="Verdana" w:cs="Verdana"/>
          <w:b/>
          <w:bCs/>
          <w:lang w:eastAsia="es-ES"/>
        </w:rPr>
      </w:pPr>
      <w:r>
        <w:rPr>
          <w:rFonts w:ascii="Verdana" w:eastAsia="Times New Roman" w:hAnsi="Verdana" w:cs="Verdana"/>
          <w:b/>
          <w:bCs/>
          <w:lang w:eastAsia="es-ES"/>
        </w:rPr>
        <w:t>RESULTADOS Y DISCUSIÓN</w:t>
      </w:r>
    </w:p>
    <w:p w:rsidR="00D71650" w:rsidRDefault="009503D6">
      <w:pPr>
        <w:spacing w:line="360" w:lineRule="auto"/>
        <w:jc w:val="both"/>
        <w:rPr>
          <w:rFonts w:ascii="Verdana" w:hAnsi="Verdana" w:cs="Verdana"/>
          <w:color w:val="231F20"/>
        </w:rPr>
      </w:pPr>
      <w:r>
        <w:rPr>
          <w:rFonts w:ascii="Verdana" w:hAnsi="Verdana" w:cs="Verdana"/>
          <w:color w:val="231F20"/>
        </w:rPr>
        <w:t xml:space="preserve">Tabla 1. Características macroscópicas de la placenta en gestantes con </w:t>
      </w:r>
      <w:proofErr w:type="spellStart"/>
      <w:r>
        <w:rPr>
          <w:rFonts w:ascii="Verdana" w:hAnsi="Verdana" w:cs="Verdana"/>
          <w:color w:val="231F20"/>
        </w:rPr>
        <w:t>preeclampsia</w:t>
      </w:r>
      <w:proofErr w:type="spellEnd"/>
      <w:r>
        <w:rPr>
          <w:rFonts w:ascii="Verdana" w:hAnsi="Verdana" w:cs="Verdana"/>
          <w:color w:val="231F2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769"/>
        <w:gridCol w:w="1395"/>
        <w:gridCol w:w="1275"/>
        <w:gridCol w:w="1276"/>
        <w:gridCol w:w="1276"/>
        <w:gridCol w:w="1134"/>
      </w:tblGrid>
      <w:tr w:rsidR="00D71650">
        <w:tc>
          <w:tcPr>
            <w:tcW w:w="1798" w:type="dxa"/>
            <w:vMerge w:val="restart"/>
            <w:shd w:val="clear" w:color="auto" w:fill="auto"/>
            <w:vAlign w:val="center"/>
          </w:tcPr>
          <w:p w:rsidR="00D71650" w:rsidRDefault="00D71650">
            <w:pPr>
              <w:spacing w:line="240" w:lineRule="auto"/>
              <w:jc w:val="both"/>
              <w:rPr>
                <w:rFonts w:ascii="Verdana" w:hAnsi="Verdana" w:cs="Verdana"/>
                <w:color w:val="231F20"/>
              </w:rPr>
            </w:pPr>
          </w:p>
          <w:p w:rsidR="00D71650" w:rsidRDefault="009503D6">
            <w:pPr>
              <w:spacing w:line="240" w:lineRule="auto"/>
              <w:jc w:val="both"/>
              <w:rPr>
                <w:rFonts w:ascii="Verdana" w:hAnsi="Verdana" w:cs="Verdana"/>
                <w:color w:val="231F20"/>
              </w:rPr>
            </w:pPr>
            <w:r>
              <w:rPr>
                <w:rFonts w:ascii="Verdana" w:hAnsi="Verdana" w:cs="Verdana"/>
                <w:color w:val="231F20"/>
              </w:rPr>
              <w:t>Variables</w:t>
            </w:r>
          </w:p>
        </w:tc>
        <w:tc>
          <w:tcPr>
            <w:tcW w:w="8125" w:type="dxa"/>
            <w:gridSpan w:val="6"/>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Estadística descriptiva</w:t>
            </w:r>
          </w:p>
        </w:tc>
      </w:tr>
      <w:tr w:rsidR="00D71650">
        <w:tc>
          <w:tcPr>
            <w:tcW w:w="1798" w:type="dxa"/>
            <w:vMerge/>
            <w:shd w:val="clear" w:color="auto" w:fill="auto"/>
            <w:vAlign w:val="center"/>
          </w:tcPr>
          <w:p w:rsidR="00D71650" w:rsidRDefault="00D71650">
            <w:pPr>
              <w:spacing w:line="240" w:lineRule="auto"/>
              <w:jc w:val="both"/>
              <w:rPr>
                <w:rFonts w:ascii="Verdana" w:hAnsi="Verdana" w:cs="Verdana"/>
                <w:color w:val="231F20"/>
              </w:rPr>
            </w:pPr>
          </w:p>
        </w:tc>
        <w:tc>
          <w:tcPr>
            <w:tcW w:w="1769" w:type="dxa"/>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X±ST</w:t>
            </w:r>
          </w:p>
        </w:tc>
        <w:tc>
          <w:tcPr>
            <w:tcW w:w="1395"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MAX</w:t>
            </w:r>
          </w:p>
        </w:tc>
        <w:tc>
          <w:tcPr>
            <w:tcW w:w="1275"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MIN</w:t>
            </w:r>
          </w:p>
        </w:tc>
        <w:tc>
          <w:tcPr>
            <w:tcW w:w="1276"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CV</w:t>
            </w:r>
          </w:p>
        </w:tc>
        <w:tc>
          <w:tcPr>
            <w:tcW w:w="1276"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IC +</w:t>
            </w:r>
          </w:p>
        </w:tc>
        <w:tc>
          <w:tcPr>
            <w:tcW w:w="1134"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IC-</w:t>
            </w:r>
          </w:p>
        </w:tc>
      </w:tr>
      <w:tr w:rsidR="00D71650">
        <w:tc>
          <w:tcPr>
            <w:tcW w:w="179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Diámetro (cm)</w:t>
            </w:r>
          </w:p>
        </w:tc>
        <w:tc>
          <w:tcPr>
            <w:tcW w:w="1769" w:type="dxa"/>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17,8 ± 2,3</w:t>
            </w:r>
          </w:p>
        </w:tc>
        <w:tc>
          <w:tcPr>
            <w:tcW w:w="139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22</w:t>
            </w:r>
          </w:p>
        </w:tc>
        <w:tc>
          <w:tcPr>
            <w:tcW w:w="127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15</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1,5</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19</w:t>
            </w:r>
          </w:p>
        </w:tc>
        <w:tc>
          <w:tcPr>
            <w:tcW w:w="1134"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16</w:t>
            </w:r>
          </w:p>
        </w:tc>
      </w:tr>
      <w:tr w:rsidR="00D71650">
        <w:tc>
          <w:tcPr>
            <w:tcW w:w="179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Grosor (cm)</w:t>
            </w:r>
          </w:p>
        </w:tc>
        <w:tc>
          <w:tcPr>
            <w:tcW w:w="1769" w:type="dxa"/>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2,6 ± 0,6</w:t>
            </w:r>
          </w:p>
        </w:tc>
        <w:tc>
          <w:tcPr>
            <w:tcW w:w="139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3,2</w:t>
            </w:r>
          </w:p>
        </w:tc>
        <w:tc>
          <w:tcPr>
            <w:tcW w:w="127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2,4</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0,5</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27,1</w:t>
            </w:r>
          </w:p>
        </w:tc>
        <w:tc>
          <w:tcPr>
            <w:tcW w:w="1134"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24,6</w:t>
            </w:r>
          </w:p>
        </w:tc>
      </w:tr>
      <w:tr w:rsidR="00D71650">
        <w:tc>
          <w:tcPr>
            <w:tcW w:w="179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Peso (g)</w:t>
            </w:r>
          </w:p>
        </w:tc>
        <w:tc>
          <w:tcPr>
            <w:tcW w:w="1769"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 xml:space="preserve">489,9 </w:t>
            </w:r>
            <w:r>
              <w:rPr>
                <w:rFonts w:ascii="Verdana" w:eastAsia="Times New Roman" w:hAnsi="Verdana" w:cs="Verdana"/>
                <w:color w:val="000000"/>
              </w:rPr>
              <w:t>± 68,7</w:t>
            </w:r>
          </w:p>
        </w:tc>
        <w:tc>
          <w:tcPr>
            <w:tcW w:w="139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690</w:t>
            </w:r>
          </w:p>
        </w:tc>
        <w:tc>
          <w:tcPr>
            <w:tcW w:w="1275"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400</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4,1</w:t>
            </w:r>
          </w:p>
        </w:tc>
        <w:tc>
          <w:tcPr>
            <w:tcW w:w="127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526</w:t>
            </w:r>
          </w:p>
        </w:tc>
        <w:tc>
          <w:tcPr>
            <w:tcW w:w="1134"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453</w:t>
            </w:r>
          </w:p>
        </w:tc>
      </w:tr>
    </w:tbl>
    <w:p w:rsidR="00D71650" w:rsidRDefault="009503D6">
      <w:pPr>
        <w:spacing w:line="240" w:lineRule="auto"/>
        <w:jc w:val="both"/>
        <w:rPr>
          <w:rFonts w:ascii="Verdana" w:hAnsi="Verdana" w:cs="Verdana"/>
          <w:color w:val="231F20"/>
        </w:rPr>
      </w:pPr>
      <w:r>
        <w:rPr>
          <w:rFonts w:ascii="Verdana" w:hAnsi="Verdana" w:cs="Verdana"/>
        </w:rPr>
        <w:t xml:space="preserve">Fuente: Base de datos  </w:t>
      </w:r>
      <w:r>
        <w:rPr>
          <w:rFonts w:ascii="Verdana" w:hAnsi="Verdana" w:cs="Verdana"/>
          <w:color w:val="231F20"/>
        </w:rPr>
        <w:t xml:space="preserve">          N=16    </w:t>
      </w:r>
    </w:p>
    <w:p w:rsidR="00D71650" w:rsidRDefault="009503D6">
      <w:pPr>
        <w:spacing w:line="360" w:lineRule="auto"/>
        <w:jc w:val="both"/>
        <w:rPr>
          <w:rFonts w:ascii="Verdana" w:hAnsi="Verdana" w:cs="Verdana"/>
          <w:color w:val="231F20"/>
        </w:rPr>
      </w:pPr>
      <w:r>
        <w:rPr>
          <w:rFonts w:ascii="Verdana" w:hAnsi="Verdana" w:cs="Verdana"/>
          <w:color w:val="231F20"/>
        </w:rPr>
        <w:lastRenderedPageBreak/>
        <w:t>Los resultados mostrados en la tabla 1 reflejan la cuantificación macroscópica del crecimiento placentario con un intervalo de confianza del 95%. Se aprecia un valor medio de 17,8 cm para el diámetro placentario, con una desviación estándar de 2,3 cm y un rango entre 15 cm y 22 cm. El coeficiente de variación calculado fue de 1,5; demostrándose dispersión ligera alrededor de la media. El grosor muestra un promedio de 2,6 cm con una desviación estándar de 0,6 cm. El valor máximo en este parámetro fue de 3,2 cm y el mínimo de 2,4 cm, con un coeficiente de variación de 0,5. El valor promedio del peso fue de 489,9 g con una desviación estándar de 68,7 cm que refleja la variabilidad encontrada en este parámetro y confirma los valores extremos de 690 g y 400 g. Un coeficiente de variación de 4,1 justifica la dispersión en la media.</w:t>
      </w:r>
    </w:p>
    <w:p w:rsidR="00201E40" w:rsidRDefault="009503D6">
      <w:pPr>
        <w:spacing w:line="360" w:lineRule="auto"/>
        <w:jc w:val="both"/>
        <w:rPr>
          <w:rFonts w:ascii="Verdana" w:hAnsi="Verdana" w:cs="Verdana"/>
          <w:color w:val="231F20"/>
        </w:rPr>
      </w:pPr>
      <w:r>
        <w:rPr>
          <w:rFonts w:ascii="Verdana" w:hAnsi="Verdana" w:cs="Verdana"/>
          <w:color w:val="231F20"/>
        </w:rPr>
        <w:t xml:space="preserve"> De forma general puede observarse que los promedios en las mensuraciones obtenidas se mantienen dentro de los límites de normalidad definidos por la literatura, pero con una tendencia al límite inferior.</w:t>
      </w:r>
      <w:r w:rsidR="007162B7">
        <w:rPr>
          <w:rFonts w:ascii="Verdana" w:hAnsi="Verdana" w:cs="Verdana"/>
          <w:color w:val="231F20"/>
        </w:rPr>
        <w:t xml:space="preserve"> </w:t>
      </w:r>
      <w:r>
        <w:rPr>
          <w:rFonts w:ascii="Verdana" w:hAnsi="Verdana" w:cs="Verdana"/>
          <w:color w:val="231F20"/>
        </w:rPr>
        <w:t xml:space="preserve">Este hallazgo está en correspondencia con diferencias de la muestra en relación al inicio de la </w:t>
      </w:r>
      <w:proofErr w:type="spellStart"/>
      <w:r>
        <w:rPr>
          <w:rFonts w:ascii="Verdana" w:hAnsi="Verdana" w:cs="Verdana"/>
          <w:color w:val="231F20"/>
        </w:rPr>
        <w:t>preeclampsia</w:t>
      </w:r>
      <w:proofErr w:type="spellEnd"/>
      <w:r>
        <w:rPr>
          <w:rFonts w:ascii="Verdana" w:hAnsi="Verdana" w:cs="Verdana"/>
          <w:color w:val="231F20"/>
        </w:rPr>
        <w:t xml:space="preserve"> y su repercusión e</w:t>
      </w:r>
      <w:r w:rsidR="007162B7">
        <w:rPr>
          <w:rFonts w:ascii="Verdana" w:hAnsi="Verdana" w:cs="Verdana"/>
          <w:color w:val="231F20"/>
        </w:rPr>
        <w:t>n el desarrollo placentario, así</w:t>
      </w:r>
      <w:r>
        <w:rPr>
          <w:rFonts w:ascii="Verdana" w:hAnsi="Verdana" w:cs="Verdana"/>
          <w:color w:val="231F20"/>
        </w:rPr>
        <w:t xml:space="preserve"> como su asociación a</w:t>
      </w:r>
      <w:r w:rsidR="00201E40">
        <w:rPr>
          <w:rFonts w:ascii="Verdana" w:hAnsi="Verdana" w:cs="Verdana"/>
          <w:color w:val="231F20"/>
        </w:rPr>
        <w:t xml:space="preserve"> la restricción del crecimiento intrauterino (</w:t>
      </w:r>
      <w:r>
        <w:rPr>
          <w:rFonts w:ascii="Verdana" w:hAnsi="Verdana" w:cs="Verdana"/>
          <w:color w:val="231F20"/>
        </w:rPr>
        <w:t>RCIU</w:t>
      </w:r>
      <w:r w:rsidR="00201E40">
        <w:rPr>
          <w:rFonts w:ascii="Verdana" w:hAnsi="Verdana" w:cs="Verdana"/>
          <w:color w:val="231F20"/>
        </w:rPr>
        <w:t>)</w:t>
      </w:r>
      <w:r>
        <w:rPr>
          <w:rFonts w:ascii="Verdana" w:hAnsi="Verdana" w:cs="Verdana"/>
          <w:color w:val="231F20"/>
        </w:rPr>
        <w:t>.</w:t>
      </w:r>
      <w:r w:rsidR="007162B7">
        <w:rPr>
          <w:rFonts w:ascii="Verdana" w:hAnsi="Verdana" w:cs="Verdana"/>
          <w:color w:val="231F20"/>
        </w:rPr>
        <w:t xml:space="preserve"> </w:t>
      </w:r>
      <w:r w:rsidR="00201E40">
        <w:rPr>
          <w:rFonts w:ascii="Verdana" w:hAnsi="Verdana" w:cs="Verdana"/>
          <w:color w:val="231F20"/>
        </w:rPr>
        <w:t>Los autores</w:t>
      </w:r>
      <w:r w:rsidR="00201E40" w:rsidRPr="00201E40">
        <w:rPr>
          <w:rFonts w:ascii="Verdana" w:hAnsi="Verdana" w:cs="Verdana"/>
          <w:color w:val="231F20"/>
        </w:rPr>
        <w:t xml:space="preserve"> destaca</w:t>
      </w:r>
      <w:r w:rsidR="00201E40">
        <w:rPr>
          <w:rFonts w:ascii="Verdana" w:hAnsi="Verdana" w:cs="Verdana"/>
          <w:color w:val="231F20"/>
        </w:rPr>
        <w:t>n</w:t>
      </w:r>
      <w:r w:rsidR="00201E40" w:rsidRPr="00201E40">
        <w:rPr>
          <w:rFonts w:ascii="Verdana" w:hAnsi="Verdana" w:cs="Verdana"/>
          <w:color w:val="231F20"/>
        </w:rPr>
        <w:t xml:space="preserve"> que en la investigación realizada la mayor parte de las placentas estudiadas proceden de gestantes con inicio precoz de la enfermedad. </w:t>
      </w:r>
    </w:p>
    <w:p w:rsidR="00201E40" w:rsidRPr="00676B53" w:rsidRDefault="00201E40" w:rsidP="00201E40">
      <w:pPr>
        <w:spacing w:line="360" w:lineRule="auto"/>
        <w:jc w:val="both"/>
        <w:rPr>
          <w:rFonts w:ascii="Verdana" w:hAnsi="Verdana" w:cs="Arial"/>
          <w:color w:val="231F20"/>
        </w:rPr>
      </w:pPr>
      <w:r w:rsidRPr="00676B53">
        <w:rPr>
          <w:rFonts w:ascii="Verdana" w:hAnsi="Verdana" w:cs="Arial"/>
          <w:color w:val="231F20"/>
        </w:rPr>
        <w:t xml:space="preserve">Estos resultados son consistentes con la investigación de Prieto Gómez R, </w:t>
      </w:r>
      <w:r w:rsidRPr="00676B53">
        <w:rPr>
          <w:rFonts w:ascii="Verdana" w:hAnsi="Verdana" w:cs="Arial"/>
          <w:color w:val="231F20"/>
          <w:vertAlign w:val="superscript"/>
        </w:rPr>
        <w:t xml:space="preserve">8 </w:t>
      </w:r>
      <w:r w:rsidRPr="00676B53">
        <w:rPr>
          <w:rFonts w:ascii="Verdana" w:hAnsi="Verdana" w:cs="Arial"/>
          <w:color w:val="231F20"/>
        </w:rPr>
        <w:t>este autor obtuvo promedios de diámetro y peso cercanos a los mostrados, en placentas con similares características a la muestra estudiada. De igual manera, en su estudio se comprobó, que de forma general el tamaño de la placenta se modifica en relación directa al tiempo de iniciada la hipertensión.</w:t>
      </w:r>
    </w:p>
    <w:p w:rsidR="00201E40" w:rsidRPr="00676B53" w:rsidRDefault="00201E40" w:rsidP="00201E40">
      <w:pPr>
        <w:spacing w:line="360" w:lineRule="auto"/>
        <w:jc w:val="both"/>
        <w:rPr>
          <w:rFonts w:ascii="Verdana" w:hAnsi="Verdana" w:cs="Verdana"/>
          <w:color w:val="231F20"/>
        </w:rPr>
      </w:pPr>
      <w:r w:rsidRPr="00676B53">
        <w:rPr>
          <w:rFonts w:ascii="Verdana" w:hAnsi="Verdana" w:cs="Arial"/>
          <w:color w:val="231F20"/>
        </w:rPr>
        <w:t xml:space="preserve">En consonancia con lo analizado, </w:t>
      </w:r>
      <w:proofErr w:type="spellStart"/>
      <w:r w:rsidRPr="00676B53">
        <w:rPr>
          <w:rFonts w:ascii="Verdana" w:hAnsi="Verdana" w:cs="Arial"/>
          <w:color w:val="231F20"/>
        </w:rPr>
        <w:t>Salafi</w:t>
      </w:r>
      <w:proofErr w:type="spellEnd"/>
      <w:r w:rsidRPr="00676B53">
        <w:rPr>
          <w:rFonts w:ascii="Verdana" w:hAnsi="Verdana" w:cs="Arial"/>
          <w:color w:val="231F20"/>
        </w:rPr>
        <w:t xml:space="preserve"> C y colaboradores </w:t>
      </w:r>
      <w:r w:rsidRPr="00676B53">
        <w:rPr>
          <w:rFonts w:ascii="Verdana" w:hAnsi="Verdana" w:cs="Arial"/>
          <w:color w:val="231F20"/>
          <w:vertAlign w:val="superscript"/>
        </w:rPr>
        <w:t>9</w:t>
      </w:r>
      <w:r w:rsidRPr="00676B53">
        <w:rPr>
          <w:rFonts w:ascii="Verdana" w:hAnsi="Verdana" w:cs="Arial"/>
          <w:color w:val="231F20"/>
        </w:rPr>
        <w:t xml:space="preserve"> obtuvieron diámetros que oscilaron entre 19 y 21 cm en un estudio que consideró placentas de gestantes diagnosticadas después de las 34 semanas y dimensiones muy inferiores con un promedio de 14 cm en aquellas gestantes con </w:t>
      </w:r>
      <w:proofErr w:type="spellStart"/>
      <w:r w:rsidRPr="00676B53">
        <w:rPr>
          <w:rFonts w:ascii="Verdana" w:hAnsi="Verdana" w:cs="Arial"/>
          <w:color w:val="231F20"/>
        </w:rPr>
        <w:t>preeclampsia</w:t>
      </w:r>
      <w:proofErr w:type="spellEnd"/>
      <w:r w:rsidRPr="00676B53">
        <w:rPr>
          <w:rFonts w:ascii="Verdana" w:hAnsi="Verdana" w:cs="Arial"/>
          <w:color w:val="231F20"/>
        </w:rPr>
        <w:t xml:space="preserve"> de instalación temprana.</w:t>
      </w:r>
    </w:p>
    <w:p w:rsidR="00D71650" w:rsidRDefault="009503D6">
      <w:pPr>
        <w:spacing w:line="360" w:lineRule="auto"/>
        <w:jc w:val="both"/>
        <w:rPr>
          <w:rFonts w:ascii="Verdana" w:hAnsi="Verdana" w:cs="Verdana"/>
          <w:color w:val="231F20"/>
        </w:rPr>
      </w:pPr>
      <w:r>
        <w:rPr>
          <w:rFonts w:ascii="Verdana" w:hAnsi="Verdana" w:cs="Verdana"/>
          <w:color w:val="231F20"/>
        </w:rPr>
        <w:t xml:space="preserve">En relación al grosor placentario y los resultados presentados, llama la atención que es la dimensión con menor variabilidad y dispersión alrededor de su valor promedio. </w:t>
      </w:r>
      <w:r w:rsidR="00676B53">
        <w:rPr>
          <w:rFonts w:ascii="Verdana" w:hAnsi="Verdana" w:cs="Verdana"/>
          <w:color w:val="231F20"/>
        </w:rPr>
        <w:t>E</w:t>
      </w:r>
      <w:r w:rsidR="00676B53" w:rsidRPr="00676B53">
        <w:rPr>
          <w:rFonts w:ascii="Verdana" w:hAnsi="Verdana" w:cs="Verdana"/>
          <w:color w:val="231F20"/>
        </w:rPr>
        <w:t xml:space="preserve">n este caso no existen diferencias con otros estudios publicados, aunque al compararse con el grosor de placentas de gestaciones normales resultan ligeramente superiores. Así lo </w:t>
      </w:r>
      <w:r w:rsidR="00676B53" w:rsidRPr="00676B53">
        <w:rPr>
          <w:rFonts w:ascii="Verdana" w:hAnsi="Verdana" w:cs="Verdana"/>
          <w:color w:val="231F20"/>
        </w:rPr>
        <w:lastRenderedPageBreak/>
        <w:t xml:space="preserve">confirma la investigación de Cardoso V y colaboradores, </w:t>
      </w:r>
      <w:r w:rsidR="00F177BB">
        <w:rPr>
          <w:rFonts w:ascii="Verdana" w:hAnsi="Verdana" w:cs="Verdana"/>
          <w:color w:val="231F20"/>
          <w:vertAlign w:val="superscript"/>
        </w:rPr>
        <w:t>4</w:t>
      </w:r>
      <w:r w:rsidR="00676B53" w:rsidRPr="00676B53">
        <w:rPr>
          <w:rFonts w:ascii="Verdana" w:hAnsi="Verdana" w:cs="Verdana"/>
          <w:color w:val="231F20"/>
        </w:rPr>
        <w:t xml:space="preserve"> en esta se demuestra que el grosor placentario en gestaciones normales oscila entre 2,2 cm y 2,3 cm, presentando la mayor correlación con el peso al nacer en comparación con otras mensuraciones.</w:t>
      </w:r>
    </w:p>
    <w:p w:rsidR="00D71650" w:rsidRDefault="009503D6">
      <w:pPr>
        <w:spacing w:line="360" w:lineRule="auto"/>
        <w:jc w:val="both"/>
        <w:rPr>
          <w:rFonts w:ascii="Verdana" w:hAnsi="Verdana" w:cs="Verdana"/>
          <w:color w:val="231F20"/>
        </w:rPr>
      </w:pPr>
      <w:r>
        <w:rPr>
          <w:rFonts w:ascii="Verdana" w:hAnsi="Verdana" w:cs="Verdana"/>
          <w:color w:val="231F20"/>
        </w:rPr>
        <w:t>La capacidad de la placenta para la transferencia de nutrientes desde la madre se ve reflejada en su tamaño, que es a su vez la suma de muchas dimensiones del crecimiento, como la superficie y su espesor. Por lo que las alteraciones y adaptaciones de estas dimensiones ante diferentes situaciones patológicas constituyen una medida de como éste órgano determina el crecimiento y desarrollo fetal.</w:t>
      </w:r>
    </w:p>
    <w:p w:rsidR="00D71650" w:rsidRDefault="009503D6">
      <w:pPr>
        <w:spacing w:line="360" w:lineRule="auto"/>
        <w:jc w:val="both"/>
        <w:rPr>
          <w:rFonts w:ascii="Verdana" w:hAnsi="Verdana" w:cs="Verdana"/>
          <w:color w:val="231F20"/>
        </w:rPr>
      </w:pPr>
      <w:r>
        <w:rPr>
          <w:rFonts w:ascii="Verdana" w:hAnsi="Verdana" w:cs="Verdana"/>
          <w:color w:val="231F20"/>
        </w:rPr>
        <w:t xml:space="preserve">Tabla 2. Área de la vellosidad placentaria en la </w:t>
      </w:r>
      <w:proofErr w:type="spellStart"/>
      <w:r>
        <w:rPr>
          <w:rFonts w:ascii="Verdana" w:hAnsi="Verdana" w:cs="Verdana"/>
          <w:color w:val="231F20"/>
        </w:rPr>
        <w:t>preeclampsia</w:t>
      </w:r>
      <w:proofErr w:type="spellEnd"/>
      <w:r>
        <w:rPr>
          <w:rFonts w:ascii="Verdana" w:hAnsi="Verdana" w:cs="Verdana"/>
          <w:color w:val="231F20"/>
        </w:rPr>
        <w:t xml:space="preserve"> según regiones topográficas.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877"/>
        <w:gridCol w:w="2410"/>
        <w:gridCol w:w="2268"/>
      </w:tblGrid>
      <w:tr w:rsidR="00D71650">
        <w:trPr>
          <w:trHeight w:val="303"/>
        </w:trPr>
        <w:tc>
          <w:tcPr>
            <w:tcW w:w="2226" w:type="dxa"/>
            <w:vMerge w:val="restart"/>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Regiones topográficas</w:t>
            </w:r>
          </w:p>
        </w:tc>
        <w:tc>
          <w:tcPr>
            <w:tcW w:w="7555" w:type="dxa"/>
            <w:gridSpan w:val="3"/>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Estadística descriptiva</w:t>
            </w:r>
          </w:p>
        </w:tc>
      </w:tr>
      <w:tr w:rsidR="00D71650">
        <w:tc>
          <w:tcPr>
            <w:tcW w:w="2226" w:type="dxa"/>
            <w:vMerge/>
            <w:shd w:val="clear" w:color="auto" w:fill="auto"/>
            <w:vAlign w:val="center"/>
          </w:tcPr>
          <w:p w:rsidR="00D71650" w:rsidRDefault="00D71650">
            <w:pPr>
              <w:spacing w:line="240" w:lineRule="auto"/>
              <w:jc w:val="both"/>
              <w:rPr>
                <w:rFonts w:ascii="Verdana" w:hAnsi="Verdana" w:cs="Verdana"/>
                <w:color w:val="231F20"/>
              </w:rPr>
            </w:pPr>
          </w:p>
        </w:tc>
        <w:tc>
          <w:tcPr>
            <w:tcW w:w="2877" w:type="dxa"/>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X±ST</w:t>
            </w:r>
          </w:p>
        </w:tc>
        <w:tc>
          <w:tcPr>
            <w:tcW w:w="2410"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CV</w:t>
            </w:r>
          </w:p>
        </w:tc>
        <w:tc>
          <w:tcPr>
            <w:tcW w:w="2268" w:type="dxa"/>
            <w:shd w:val="clear" w:color="auto" w:fill="auto"/>
            <w:vAlign w:val="center"/>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N</w:t>
            </w:r>
          </w:p>
        </w:tc>
      </w:tr>
      <w:tr w:rsidR="00D71650">
        <w:tc>
          <w:tcPr>
            <w:tcW w:w="222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PPC</w:t>
            </w:r>
          </w:p>
        </w:tc>
        <w:tc>
          <w:tcPr>
            <w:tcW w:w="2877"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34936,7</w:t>
            </w:r>
            <w:r>
              <w:rPr>
                <w:rFonts w:ascii="Verdana" w:eastAsia="Times New Roman" w:hAnsi="Verdana" w:cs="Verdana"/>
                <w:color w:val="000000"/>
              </w:rPr>
              <w:t>± 24042,6</w:t>
            </w:r>
          </w:p>
        </w:tc>
        <w:tc>
          <w:tcPr>
            <w:tcW w:w="2410"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0,77</w:t>
            </w:r>
          </w:p>
        </w:tc>
        <w:tc>
          <w:tcPr>
            <w:tcW w:w="226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328</w:t>
            </w:r>
          </w:p>
        </w:tc>
      </w:tr>
      <w:tr w:rsidR="00D71650">
        <w:tc>
          <w:tcPr>
            <w:tcW w:w="222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P4C</w:t>
            </w:r>
          </w:p>
        </w:tc>
        <w:tc>
          <w:tcPr>
            <w:tcW w:w="2877" w:type="dxa"/>
            <w:shd w:val="clear" w:color="auto" w:fill="auto"/>
            <w:vAlign w:val="center"/>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38073,4± 20885,7</w:t>
            </w:r>
          </w:p>
        </w:tc>
        <w:tc>
          <w:tcPr>
            <w:tcW w:w="2410"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0,54</w:t>
            </w:r>
          </w:p>
        </w:tc>
        <w:tc>
          <w:tcPr>
            <w:tcW w:w="226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230</w:t>
            </w:r>
          </w:p>
        </w:tc>
      </w:tr>
      <w:tr w:rsidR="00D71650">
        <w:tc>
          <w:tcPr>
            <w:tcW w:w="2226"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PP</w:t>
            </w:r>
          </w:p>
        </w:tc>
        <w:tc>
          <w:tcPr>
            <w:tcW w:w="2877"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51900,8</w:t>
            </w:r>
            <w:r>
              <w:rPr>
                <w:rFonts w:ascii="Verdana" w:eastAsia="Times New Roman" w:hAnsi="Verdana" w:cs="Verdana"/>
                <w:color w:val="000000"/>
              </w:rPr>
              <w:t>± 36214,2</w:t>
            </w:r>
          </w:p>
        </w:tc>
        <w:tc>
          <w:tcPr>
            <w:tcW w:w="2410"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0,23</w:t>
            </w:r>
          </w:p>
        </w:tc>
        <w:tc>
          <w:tcPr>
            <w:tcW w:w="2268" w:type="dxa"/>
            <w:shd w:val="clear" w:color="auto" w:fill="auto"/>
            <w:vAlign w:val="center"/>
          </w:tcPr>
          <w:p w:rsidR="00D71650" w:rsidRDefault="009503D6">
            <w:pPr>
              <w:spacing w:line="240" w:lineRule="auto"/>
              <w:jc w:val="both"/>
              <w:rPr>
                <w:rFonts w:ascii="Verdana" w:hAnsi="Verdana" w:cs="Verdana"/>
                <w:color w:val="231F20"/>
              </w:rPr>
            </w:pPr>
            <w:r>
              <w:rPr>
                <w:rFonts w:ascii="Verdana" w:hAnsi="Verdana" w:cs="Verdana"/>
                <w:color w:val="231F20"/>
              </w:rPr>
              <w:t>511</w:t>
            </w:r>
          </w:p>
        </w:tc>
      </w:tr>
    </w:tbl>
    <w:p w:rsidR="00D71650" w:rsidRDefault="009503D6">
      <w:pPr>
        <w:spacing w:line="360" w:lineRule="auto"/>
        <w:jc w:val="both"/>
        <w:rPr>
          <w:rFonts w:ascii="Verdana" w:hAnsi="Verdana" w:cs="Verdana"/>
        </w:rPr>
      </w:pPr>
      <w:r>
        <w:rPr>
          <w:rFonts w:ascii="Verdana" w:hAnsi="Verdana" w:cs="Verdana"/>
        </w:rPr>
        <w:t>Fuente: Base de datos   N: núm</w:t>
      </w:r>
      <w:r w:rsidR="001905D4">
        <w:rPr>
          <w:rFonts w:ascii="Verdana" w:hAnsi="Verdana" w:cs="Verdana"/>
        </w:rPr>
        <w:t xml:space="preserve">ero de imágenes digitalizadas </w:t>
      </w:r>
      <w:r>
        <w:rPr>
          <w:rFonts w:ascii="Verdana" w:hAnsi="Verdana" w:cs="Verdana"/>
        </w:rPr>
        <w:t>UM: micras al cuadrado (µc)</w:t>
      </w:r>
      <w:r>
        <w:rPr>
          <w:rFonts w:ascii="Verdana" w:hAnsi="Verdana" w:cs="Verdana"/>
          <w:vertAlign w:val="superscript"/>
        </w:rPr>
        <w:t>2</w:t>
      </w:r>
      <w:r w:rsidR="00CB1C67">
        <w:rPr>
          <w:rFonts w:ascii="Verdana" w:hAnsi="Verdana" w:cs="Verdana"/>
          <w:vertAlign w:val="superscript"/>
        </w:rPr>
        <w:t xml:space="preserve">     </w:t>
      </w:r>
      <w:r>
        <w:rPr>
          <w:rFonts w:ascii="Verdana" w:hAnsi="Verdana" w:cs="Verdana"/>
        </w:rPr>
        <w:t>F= 6,94    p≤0,01</w:t>
      </w:r>
    </w:p>
    <w:p w:rsidR="00D71650" w:rsidRDefault="009503D6">
      <w:pPr>
        <w:spacing w:line="360" w:lineRule="auto"/>
        <w:jc w:val="both"/>
        <w:rPr>
          <w:rFonts w:ascii="Verdana" w:hAnsi="Verdana" w:cs="Verdana"/>
        </w:rPr>
      </w:pPr>
      <w:r>
        <w:rPr>
          <w:rFonts w:ascii="Verdana" w:hAnsi="Verdana" w:cs="Verdana"/>
        </w:rPr>
        <w:t xml:space="preserve">En la Tabla 2 puede observarse que el área </w:t>
      </w:r>
      <w:proofErr w:type="spellStart"/>
      <w:r>
        <w:rPr>
          <w:rFonts w:ascii="Verdana" w:hAnsi="Verdana" w:cs="Verdana"/>
        </w:rPr>
        <w:t>vellositaria</w:t>
      </w:r>
      <w:proofErr w:type="spellEnd"/>
      <w:r w:rsidR="00A54625">
        <w:rPr>
          <w:rFonts w:ascii="Verdana" w:hAnsi="Verdana" w:cs="Verdana"/>
        </w:rPr>
        <w:t xml:space="preserve"> </w:t>
      </w:r>
      <w:bookmarkStart w:id="0" w:name="_GoBack"/>
      <w:bookmarkEnd w:id="0"/>
      <w:r>
        <w:rPr>
          <w:rFonts w:ascii="Verdana" w:hAnsi="Verdana" w:cs="Verdana"/>
        </w:rPr>
        <w:t>se incrementa desde el centro de la placenta hacia la periferia, aunque no proporcionalmente. En la región periférica al cordón umbilical (CU) el promedio del área cuantificada fue de 34936,7 (µc)</w:t>
      </w:r>
      <w:r>
        <w:rPr>
          <w:rFonts w:ascii="Verdana" w:hAnsi="Verdana" w:cs="Verdana"/>
          <w:vertAlign w:val="superscript"/>
        </w:rPr>
        <w:t>2</w:t>
      </w:r>
      <w:r>
        <w:rPr>
          <w:rFonts w:ascii="Verdana" w:hAnsi="Verdana" w:cs="Verdana"/>
        </w:rPr>
        <w:t xml:space="preserve"> con una desviación estándar de 24042,6 (µc)</w:t>
      </w:r>
      <w:r>
        <w:rPr>
          <w:rFonts w:ascii="Verdana" w:hAnsi="Verdana" w:cs="Verdana"/>
          <w:vertAlign w:val="superscript"/>
        </w:rPr>
        <w:t>2</w:t>
      </w:r>
      <w:r>
        <w:rPr>
          <w:rFonts w:ascii="Verdana" w:hAnsi="Verdana" w:cs="Verdana"/>
        </w:rPr>
        <w:t>. Se constató un CV de 0,77 que muestra baja dispersión y fueron analizadas 328 imágenes digitalizadas.</w:t>
      </w:r>
      <w:r w:rsidR="00A54625">
        <w:rPr>
          <w:rFonts w:ascii="Verdana" w:hAnsi="Verdana" w:cs="Verdana"/>
        </w:rPr>
        <w:t xml:space="preserve"> </w:t>
      </w:r>
    </w:p>
    <w:p w:rsidR="00D71650" w:rsidRDefault="009503D6">
      <w:pPr>
        <w:spacing w:line="360" w:lineRule="auto"/>
        <w:jc w:val="both"/>
        <w:rPr>
          <w:rFonts w:ascii="Verdana" w:hAnsi="Verdana" w:cs="Verdana"/>
        </w:rPr>
      </w:pPr>
      <w:r>
        <w:rPr>
          <w:rFonts w:ascii="Verdana" w:hAnsi="Verdana" w:cs="Verdana"/>
        </w:rPr>
        <w:t xml:space="preserve">Con valores cercanos a los anteriores se aprecia el área de las vellosidades mensuradas a 4cm del CU; en esta región el promedio fue de </w:t>
      </w:r>
      <w:r>
        <w:rPr>
          <w:rFonts w:ascii="Verdana" w:eastAsia="Times New Roman" w:hAnsi="Verdana" w:cs="Verdana"/>
          <w:color w:val="000000"/>
        </w:rPr>
        <w:t xml:space="preserve">38073,4 </w:t>
      </w:r>
      <w:r>
        <w:rPr>
          <w:rFonts w:ascii="Verdana" w:hAnsi="Verdana" w:cs="Verdana"/>
        </w:rPr>
        <w:t>(µc)</w:t>
      </w:r>
      <w:r>
        <w:rPr>
          <w:rFonts w:ascii="Verdana" w:hAnsi="Verdana" w:cs="Verdana"/>
          <w:vertAlign w:val="superscript"/>
        </w:rPr>
        <w:t>2</w:t>
      </w:r>
      <w:r>
        <w:rPr>
          <w:rFonts w:ascii="Verdana" w:eastAsia="Times New Roman" w:hAnsi="Verdana" w:cs="Verdana"/>
          <w:color w:val="000000"/>
        </w:rPr>
        <w:t xml:space="preserve"> y la desviación estándar de 20885,7</w:t>
      </w:r>
      <w:r>
        <w:rPr>
          <w:rFonts w:ascii="Verdana" w:hAnsi="Verdana" w:cs="Verdana"/>
        </w:rPr>
        <w:t xml:space="preserve"> (µc)</w:t>
      </w:r>
      <w:r>
        <w:rPr>
          <w:rFonts w:ascii="Verdana" w:hAnsi="Verdana" w:cs="Verdana"/>
          <w:vertAlign w:val="superscript"/>
        </w:rPr>
        <w:t>2</w:t>
      </w:r>
      <w:r>
        <w:rPr>
          <w:rFonts w:ascii="Verdana" w:hAnsi="Verdana" w:cs="Verdana"/>
        </w:rPr>
        <w:t xml:space="preserve">. El CV muestra un valor de 0,54 en un total de 230 imágenes digitalizadas. </w:t>
      </w:r>
    </w:p>
    <w:p w:rsidR="00D71650" w:rsidRDefault="009503D6">
      <w:pPr>
        <w:spacing w:line="360" w:lineRule="auto"/>
        <w:jc w:val="both"/>
        <w:rPr>
          <w:rFonts w:ascii="Verdana" w:hAnsi="Verdana" w:cs="Verdana"/>
          <w:vertAlign w:val="superscript"/>
        </w:rPr>
      </w:pPr>
      <w:r>
        <w:rPr>
          <w:rFonts w:ascii="Verdana" w:hAnsi="Verdana" w:cs="Verdana"/>
        </w:rPr>
        <w:t xml:space="preserve">Con un resultado que se aleja considerablemente de los ya expuestos, puede observarse el área de las vellosidades más periféricas, su promedio muestra un valor de </w:t>
      </w:r>
      <w:r>
        <w:rPr>
          <w:rFonts w:ascii="Verdana" w:hAnsi="Verdana" w:cs="Verdana"/>
          <w:color w:val="231F20"/>
        </w:rPr>
        <w:t xml:space="preserve">51900,8 </w:t>
      </w:r>
      <w:r>
        <w:rPr>
          <w:rFonts w:ascii="Verdana" w:hAnsi="Verdana" w:cs="Verdana"/>
        </w:rPr>
        <w:t>(µc)</w:t>
      </w:r>
      <w:r>
        <w:rPr>
          <w:rFonts w:ascii="Verdana" w:hAnsi="Verdana" w:cs="Verdana"/>
          <w:vertAlign w:val="superscript"/>
        </w:rPr>
        <w:t>2</w:t>
      </w:r>
      <w:r>
        <w:rPr>
          <w:rFonts w:ascii="Verdana" w:hAnsi="Verdana" w:cs="Verdana"/>
        </w:rPr>
        <w:t xml:space="preserve">. El coeficiente de variación en 0,23 fue el menor de todos, a pesar de que la muestra fue </w:t>
      </w:r>
      <w:r>
        <w:rPr>
          <w:rFonts w:ascii="Verdana" w:hAnsi="Verdana" w:cs="Verdana"/>
        </w:rPr>
        <w:lastRenderedPageBreak/>
        <w:t xml:space="preserve">ostensiblemente mayor con 511 imágenes, sin embargo, la variabilidad es acentuada al mostrar una </w:t>
      </w:r>
      <w:r>
        <w:rPr>
          <w:rFonts w:ascii="Verdana" w:eastAsia="Times New Roman" w:hAnsi="Verdana" w:cs="Verdana"/>
          <w:color w:val="000000"/>
        </w:rPr>
        <w:t>desviación estándar de</w:t>
      </w:r>
      <w:r>
        <w:rPr>
          <w:rFonts w:ascii="Verdana" w:hAnsi="Verdana" w:cs="Verdana"/>
          <w:color w:val="231F20"/>
        </w:rPr>
        <w:t xml:space="preserve"> </w:t>
      </w:r>
      <w:r>
        <w:rPr>
          <w:rFonts w:ascii="Verdana" w:eastAsia="Times New Roman" w:hAnsi="Verdana" w:cs="Verdana"/>
          <w:color w:val="000000"/>
        </w:rPr>
        <w:t>36214,2</w:t>
      </w:r>
      <w:r>
        <w:rPr>
          <w:rFonts w:ascii="Verdana" w:hAnsi="Verdana" w:cs="Verdana"/>
        </w:rPr>
        <w:t xml:space="preserve"> (µc)</w:t>
      </w:r>
      <w:r>
        <w:rPr>
          <w:rFonts w:ascii="Verdana" w:hAnsi="Verdana" w:cs="Verdana"/>
          <w:vertAlign w:val="superscript"/>
        </w:rPr>
        <w:t>2</w:t>
      </w:r>
    </w:p>
    <w:p w:rsidR="00D71650" w:rsidRDefault="009503D6">
      <w:pPr>
        <w:spacing w:line="360" w:lineRule="auto"/>
        <w:jc w:val="both"/>
        <w:rPr>
          <w:rFonts w:ascii="Verdana" w:hAnsi="Verdana" w:cs="Verdana"/>
          <w:color w:val="0D0D0D"/>
        </w:rPr>
      </w:pPr>
      <w:r>
        <w:rPr>
          <w:rFonts w:ascii="Verdana" w:hAnsi="Verdana" w:cs="Verdana"/>
          <w:color w:val="0D0D0D"/>
        </w:rPr>
        <w:t xml:space="preserve">El análisis de varianza identificó diferencias significativas entre las regiones en estudio al mostrar un valor de p≤ 0,01 para F= 29,56. De forma complementaria el test de </w:t>
      </w:r>
      <w:proofErr w:type="spellStart"/>
      <w:r>
        <w:rPr>
          <w:rFonts w:ascii="Verdana" w:hAnsi="Verdana" w:cs="Verdana"/>
          <w:color w:val="0D0D0D"/>
        </w:rPr>
        <w:t>Student</w:t>
      </w:r>
      <w:proofErr w:type="spellEnd"/>
      <w:r>
        <w:rPr>
          <w:rFonts w:ascii="Verdana" w:hAnsi="Verdana" w:cs="Verdana"/>
          <w:color w:val="0D0D0D"/>
        </w:rPr>
        <w:t xml:space="preserve"> Newman </w:t>
      </w:r>
      <w:proofErr w:type="spellStart"/>
      <w:r>
        <w:rPr>
          <w:rFonts w:ascii="Verdana" w:hAnsi="Verdana" w:cs="Verdana"/>
          <w:color w:val="0D0D0D"/>
        </w:rPr>
        <w:t>Keuls</w:t>
      </w:r>
      <w:proofErr w:type="spellEnd"/>
      <w:r>
        <w:rPr>
          <w:rFonts w:ascii="Verdana" w:hAnsi="Verdana" w:cs="Verdana"/>
          <w:color w:val="0D0D0D"/>
        </w:rPr>
        <w:t xml:space="preserve"> arrojó que las diferencias fueron altamente significativas solo entre el área de la vellosidad en la periferia del disco placentario y el resto de las regiones, las otras dos regiones entre sí, no presentaron diferencias con significación estadística. </w:t>
      </w:r>
    </w:p>
    <w:p w:rsidR="00D71650" w:rsidRDefault="009503D6">
      <w:pPr>
        <w:spacing w:line="360" w:lineRule="auto"/>
        <w:jc w:val="both"/>
        <w:rPr>
          <w:rFonts w:ascii="Verdana" w:hAnsi="Verdana" w:cs="Verdana"/>
          <w:color w:val="231F20"/>
        </w:rPr>
      </w:pPr>
      <w:r>
        <w:rPr>
          <w:rFonts w:ascii="Verdana" w:hAnsi="Verdana" w:cs="Verdana"/>
          <w:color w:val="231F20"/>
        </w:rPr>
        <w:t xml:space="preserve">Al realizar un análisis de estos resultados tomando en cuenta las características de la fisiología placentaria, los autores consideran que la diferencia encontrada en el área de la vellosidad periférica en relación al resto, se explica a partir de los mecanismos adaptativos en la morfología de las vellosidades terminales, las cuales tienden a hacerse </w:t>
      </w:r>
      <w:proofErr w:type="spellStart"/>
      <w:r>
        <w:rPr>
          <w:rFonts w:ascii="Verdana" w:hAnsi="Verdana" w:cs="Verdana"/>
          <w:color w:val="231F20"/>
        </w:rPr>
        <w:t>hiperplásicas</w:t>
      </w:r>
      <w:proofErr w:type="spellEnd"/>
      <w:r>
        <w:rPr>
          <w:rFonts w:ascii="Verdana" w:hAnsi="Verdana" w:cs="Verdana"/>
          <w:color w:val="231F20"/>
        </w:rPr>
        <w:t xml:space="preserve"> para mejorar la circulación ante la isquemia útero placentaria que caracteriza a la </w:t>
      </w:r>
      <w:proofErr w:type="spellStart"/>
      <w:r>
        <w:rPr>
          <w:rFonts w:ascii="Verdana" w:hAnsi="Verdana" w:cs="Verdana"/>
          <w:color w:val="231F20"/>
        </w:rPr>
        <w:t>preeclampsia</w:t>
      </w:r>
      <w:proofErr w:type="spellEnd"/>
      <w:r>
        <w:rPr>
          <w:rFonts w:ascii="Verdana" w:hAnsi="Verdana" w:cs="Verdana"/>
          <w:color w:val="231F20"/>
        </w:rPr>
        <w:t>.</w:t>
      </w:r>
      <w:r w:rsidR="001905D4">
        <w:rPr>
          <w:rFonts w:ascii="Verdana" w:hAnsi="Verdana" w:cs="Verdana"/>
          <w:color w:val="231F20"/>
        </w:rPr>
        <w:t xml:space="preserve"> </w:t>
      </w:r>
      <w:r>
        <w:rPr>
          <w:rFonts w:ascii="Verdana" w:hAnsi="Verdana" w:cs="Verdana"/>
          <w:color w:val="231F20"/>
        </w:rPr>
        <w:t xml:space="preserve">Un incremento del </w:t>
      </w:r>
      <w:proofErr w:type="spellStart"/>
      <w:r>
        <w:rPr>
          <w:rFonts w:ascii="Verdana" w:hAnsi="Verdana" w:cs="Verdana"/>
          <w:color w:val="231F20"/>
        </w:rPr>
        <w:t>sincitiotrofoblasto</w:t>
      </w:r>
      <w:proofErr w:type="spellEnd"/>
      <w:r>
        <w:rPr>
          <w:rFonts w:ascii="Verdana" w:hAnsi="Verdana" w:cs="Verdana"/>
          <w:color w:val="231F20"/>
        </w:rPr>
        <w:t xml:space="preserve"> constituye una modificación que no solo aumenta el área de la vellosidad, sino que también favorece el intercambio entre la sangre materna y el capilar fetal de la vellosidad. </w:t>
      </w:r>
    </w:p>
    <w:p w:rsidR="00D71650" w:rsidRDefault="009503D6">
      <w:pPr>
        <w:spacing w:line="360" w:lineRule="auto"/>
        <w:jc w:val="both"/>
        <w:rPr>
          <w:rFonts w:ascii="Verdana" w:hAnsi="Verdana" w:cs="Verdana"/>
          <w:color w:val="231F20"/>
        </w:rPr>
      </w:pPr>
      <w:r>
        <w:rPr>
          <w:rFonts w:ascii="Verdana" w:hAnsi="Verdana" w:cs="Verdana"/>
          <w:color w:val="231F20"/>
        </w:rPr>
        <w:t xml:space="preserve">De forma coincidente, investigadores como </w:t>
      </w:r>
      <w:r>
        <w:rPr>
          <w:rFonts w:ascii="Verdana" w:hAnsi="Verdana" w:cs="Verdana"/>
          <w:color w:val="000000"/>
        </w:rPr>
        <w:t>Prieto GR</w:t>
      </w:r>
      <w:r>
        <w:rPr>
          <w:rFonts w:ascii="Verdana" w:hAnsi="Verdana" w:cs="Verdana"/>
          <w:color w:val="231F20"/>
          <w:vertAlign w:val="superscript"/>
        </w:rPr>
        <w:t xml:space="preserve"> </w:t>
      </w:r>
      <w:r>
        <w:rPr>
          <w:rFonts w:ascii="Verdana" w:hAnsi="Verdana" w:cs="Verdana"/>
          <w:vertAlign w:val="superscript"/>
        </w:rPr>
        <w:t>6</w:t>
      </w:r>
      <w:r>
        <w:rPr>
          <w:rFonts w:ascii="Verdana" w:hAnsi="Verdana" w:cs="Verdana"/>
          <w:color w:val="231F20"/>
        </w:rPr>
        <w:t xml:space="preserve"> y </w:t>
      </w:r>
      <w:proofErr w:type="spellStart"/>
      <w:r>
        <w:rPr>
          <w:rFonts w:ascii="Verdana" w:hAnsi="Verdana" w:cs="Verdana"/>
          <w:color w:val="000000"/>
        </w:rPr>
        <w:t>Cindrova</w:t>
      </w:r>
      <w:proofErr w:type="spellEnd"/>
      <w:r>
        <w:rPr>
          <w:rFonts w:ascii="Verdana" w:hAnsi="Verdana" w:cs="Verdana"/>
          <w:color w:val="000000"/>
        </w:rPr>
        <w:t xml:space="preserve"> </w:t>
      </w:r>
      <w:proofErr w:type="spellStart"/>
      <w:r>
        <w:rPr>
          <w:rFonts w:ascii="Verdana" w:hAnsi="Verdana" w:cs="Verdana"/>
          <w:color w:val="000000"/>
        </w:rPr>
        <w:t>Daviesa</w:t>
      </w:r>
      <w:proofErr w:type="spellEnd"/>
      <w:r>
        <w:rPr>
          <w:rFonts w:ascii="Verdana" w:hAnsi="Verdana" w:cs="Verdana"/>
          <w:color w:val="000000"/>
        </w:rPr>
        <w:t xml:space="preserve"> T</w:t>
      </w:r>
      <w:r>
        <w:rPr>
          <w:rFonts w:ascii="Verdana" w:hAnsi="Verdana" w:cs="Verdana"/>
          <w:color w:val="231F20"/>
        </w:rPr>
        <w:t xml:space="preserve"> </w:t>
      </w:r>
      <w:r>
        <w:rPr>
          <w:rFonts w:ascii="Verdana" w:hAnsi="Verdana" w:cs="Verdana"/>
          <w:color w:val="231F20"/>
          <w:vertAlign w:val="superscript"/>
        </w:rPr>
        <w:t>1</w:t>
      </w:r>
      <w:r w:rsidR="00F177BB">
        <w:rPr>
          <w:rFonts w:ascii="Verdana" w:hAnsi="Verdana" w:cs="Verdana"/>
          <w:color w:val="231F20"/>
          <w:vertAlign w:val="superscript"/>
        </w:rPr>
        <w:t>0</w:t>
      </w:r>
      <w:r>
        <w:rPr>
          <w:rFonts w:ascii="Verdana" w:hAnsi="Verdana" w:cs="Verdana"/>
          <w:color w:val="231F20"/>
        </w:rPr>
        <w:t xml:space="preserve"> cuantificaron el área de las vellosidades más periféricas en gestantes hipertensas, con valores muy cercanos a los expuestos en la tabla. Estos autores demostraron que no solo se aprecian valores superiores en el área de las vellosidades más periféricas en la enfermedad hipertensiva del embarazo, sino que además esta medición también resulta superior a la de placentas normales en esta misma región topográfica. </w:t>
      </w:r>
    </w:p>
    <w:p w:rsidR="001905D4" w:rsidRDefault="001905D4">
      <w:pPr>
        <w:spacing w:line="360" w:lineRule="auto"/>
        <w:jc w:val="both"/>
        <w:rPr>
          <w:rFonts w:ascii="Verdana" w:hAnsi="Verdana" w:cs="Verdana"/>
          <w:color w:val="231F20"/>
        </w:rPr>
      </w:pPr>
      <w:r w:rsidRPr="001905D4">
        <w:rPr>
          <w:rFonts w:ascii="Verdana" w:hAnsi="Verdana" w:cs="Verdana"/>
          <w:color w:val="231F20"/>
        </w:rPr>
        <w:t xml:space="preserve">Según </w:t>
      </w:r>
      <w:proofErr w:type="spellStart"/>
      <w:r w:rsidRPr="001905D4">
        <w:rPr>
          <w:rFonts w:ascii="Verdana" w:hAnsi="Verdana" w:cs="Verdana"/>
          <w:color w:val="231F20"/>
        </w:rPr>
        <w:t>Alpaza</w:t>
      </w:r>
      <w:proofErr w:type="spellEnd"/>
      <w:r w:rsidRPr="001905D4">
        <w:rPr>
          <w:rFonts w:ascii="Verdana" w:hAnsi="Verdana" w:cs="Verdana"/>
          <w:color w:val="231F20"/>
        </w:rPr>
        <w:t xml:space="preserve"> Valencia J </w:t>
      </w:r>
      <w:r w:rsidRPr="001905D4">
        <w:rPr>
          <w:rFonts w:ascii="Verdana" w:hAnsi="Verdana" w:cs="Verdana"/>
          <w:color w:val="231F20"/>
          <w:vertAlign w:val="superscript"/>
        </w:rPr>
        <w:t>2</w:t>
      </w:r>
      <w:r w:rsidRPr="001905D4">
        <w:rPr>
          <w:rFonts w:ascii="Verdana" w:hAnsi="Verdana" w:cs="Verdana"/>
          <w:color w:val="231F20"/>
        </w:rPr>
        <w:t xml:space="preserve"> la superficie de la vellosidad en esta región depende del área que ocupan los vasos y del área del </w:t>
      </w:r>
      <w:proofErr w:type="spellStart"/>
      <w:r w:rsidRPr="001905D4">
        <w:rPr>
          <w:rFonts w:ascii="Verdana" w:hAnsi="Verdana" w:cs="Verdana"/>
          <w:color w:val="231F20"/>
        </w:rPr>
        <w:t>sinciciotrofoblasto</w:t>
      </w:r>
      <w:proofErr w:type="spellEnd"/>
      <w:r w:rsidRPr="001905D4">
        <w:rPr>
          <w:rFonts w:ascii="Verdana" w:hAnsi="Verdana" w:cs="Verdana"/>
          <w:color w:val="231F20"/>
        </w:rPr>
        <w:t xml:space="preserve">. En este mismo sentido Roberts RM y colaboradores, </w:t>
      </w:r>
      <w:r w:rsidRPr="001905D4">
        <w:rPr>
          <w:rFonts w:ascii="Verdana" w:hAnsi="Verdana" w:cs="Verdana"/>
          <w:color w:val="231F20"/>
          <w:vertAlign w:val="superscript"/>
        </w:rPr>
        <w:t>1</w:t>
      </w:r>
      <w:r w:rsidRPr="001905D4">
        <w:rPr>
          <w:rFonts w:ascii="Verdana" w:hAnsi="Verdana" w:cs="Verdana"/>
          <w:color w:val="231F20"/>
        </w:rPr>
        <w:t xml:space="preserve"> en un estudio similar, señalaron que un tercio del área de la vellosidad corresponde en promedio al área del </w:t>
      </w:r>
      <w:proofErr w:type="spellStart"/>
      <w:r w:rsidRPr="001905D4">
        <w:rPr>
          <w:rFonts w:ascii="Verdana" w:hAnsi="Verdana" w:cs="Verdana"/>
          <w:color w:val="231F20"/>
        </w:rPr>
        <w:t>sinciciotrofoblasto</w:t>
      </w:r>
      <w:proofErr w:type="spellEnd"/>
      <w:r w:rsidRPr="001905D4">
        <w:rPr>
          <w:rFonts w:ascii="Verdana" w:hAnsi="Verdana" w:cs="Verdana"/>
          <w:color w:val="231F20"/>
        </w:rPr>
        <w:t xml:space="preserve"> y describieron por área libre de la vellosidad, el tejido donde el </w:t>
      </w:r>
      <w:proofErr w:type="spellStart"/>
      <w:r w:rsidRPr="001905D4">
        <w:rPr>
          <w:rFonts w:ascii="Verdana" w:hAnsi="Verdana" w:cs="Verdana"/>
          <w:color w:val="231F20"/>
        </w:rPr>
        <w:t>sinciciotrofoblasto</w:t>
      </w:r>
      <w:proofErr w:type="spellEnd"/>
      <w:r w:rsidRPr="001905D4">
        <w:rPr>
          <w:rFonts w:ascii="Verdana" w:hAnsi="Verdana" w:cs="Verdana"/>
          <w:color w:val="231F20"/>
        </w:rPr>
        <w:t xml:space="preserve"> y los vasos sanguíneos están ausentes.</w:t>
      </w:r>
    </w:p>
    <w:p w:rsidR="00F177BB" w:rsidRDefault="00F177BB" w:rsidP="00F177BB">
      <w:pPr>
        <w:spacing w:line="360" w:lineRule="auto"/>
        <w:jc w:val="both"/>
        <w:rPr>
          <w:rFonts w:ascii="Arial" w:hAnsi="Arial" w:cs="Arial"/>
          <w:color w:val="231F20"/>
          <w:sz w:val="24"/>
          <w:szCs w:val="24"/>
        </w:rPr>
      </w:pPr>
      <w:r w:rsidRPr="00261F51">
        <w:rPr>
          <w:rFonts w:ascii="Arial" w:hAnsi="Arial" w:cs="Arial"/>
          <w:color w:val="231F20"/>
          <w:sz w:val="24"/>
          <w:szCs w:val="24"/>
        </w:rPr>
        <w:t xml:space="preserve">Aunque la descripción cualitativa de la vellosidad no constituyó objetivo de esta investigación, la autora considera oportuno señalar que </w:t>
      </w:r>
      <w:r>
        <w:rPr>
          <w:rFonts w:ascii="Arial" w:hAnsi="Arial" w:cs="Arial"/>
          <w:color w:val="231F20"/>
          <w:sz w:val="24"/>
          <w:szCs w:val="24"/>
        </w:rPr>
        <w:t>en la mayor parte de</w:t>
      </w:r>
      <w:r w:rsidRPr="00261F51">
        <w:rPr>
          <w:rFonts w:ascii="Arial" w:hAnsi="Arial" w:cs="Arial"/>
          <w:color w:val="231F20"/>
          <w:sz w:val="24"/>
          <w:szCs w:val="24"/>
        </w:rPr>
        <w:t xml:space="preserve"> los casos la morfología de la vellosidad se cara</w:t>
      </w:r>
      <w:r>
        <w:rPr>
          <w:rFonts w:ascii="Arial" w:hAnsi="Arial" w:cs="Arial"/>
          <w:color w:val="231F20"/>
          <w:sz w:val="24"/>
          <w:szCs w:val="24"/>
        </w:rPr>
        <w:t>cterizó</w:t>
      </w:r>
      <w:r w:rsidRPr="00261F51">
        <w:rPr>
          <w:rFonts w:ascii="Arial" w:hAnsi="Arial" w:cs="Arial"/>
          <w:color w:val="231F20"/>
          <w:sz w:val="24"/>
          <w:szCs w:val="24"/>
        </w:rPr>
        <w:t xml:space="preserve"> por poseer un estroma más indiferenciado que el que se describe en </w:t>
      </w:r>
      <w:r w:rsidRPr="00261F51">
        <w:rPr>
          <w:rFonts w:ascii="Arial" w:hAnsi="Arial" w:cs="Arial"/>
          <w:color w:val="231F20"/>
          <w:sz w:val="24"/>
          <w:szCs w:val="24"/>
        </w:rPr>
        <w:lastRenderedPageBreak/>
        <w:t>la literatura para placentas normales</w:t>
      </w:r>
      <w:r>
        <w:rPr>
          <w:rFonts w:ascii="Arial" w:hAnsi="Arial" w:cs="Arial"/>
          <w:color w:val="231F20"/>
          <w:sz w:val="24"/>
          <w:szCs w:val="24"/>
        </w:rPr>
        <w:t xml:space="preserve">. Un estudio realizado por </w:t>
      </w:r>
      <w:proofErr w:type="spellStart"/>
      <w:r>
        <w:rPr>
          <w:rFonts w:ascii="Arial" w:hAnsi="Arial" w:cs="Arial"/>
          <w:color w:val="231F20"/>
          <w:sz w:val="24"/>
          <w:szCs w:val="24"/>
        </w:rPr>
        <w:t>Motawea</w:t>
      </w:r>
      <w:proofErr w:type="spellEnd"/>
      <w:r>
        <w:rPr>
          <w:rFonts w:ascii="Arial" w:hAnsi="Arial" w:cs="Arial"/>
          <w:color w:val="231F20"/>
          <w:sz w:val="24"/>
          <w:szCs w:val="24"/>
        </w:rPr>
        <w:t xml:space="preserve"> </w:t>
      </w:r>
      <w:r w:rsidRPr="00820538">
        <w:rPr>
          <w:rFonts w:ascii="Arial" w:hAnsi="Arial" w:cs="Arial"/>
          <w:color w:val="231F20"/>
          <w:sz w:val="24"/>
          <w:szCs w:val="24"/>
        </w:rPr>
        <w:t>KB</w:t>
      </w:r>
      <w:r>
        <w:rPr>
          <w:rFonts w:ascii="Arial" w:hAnsi="Arial" w:cs="Arial"/>
          <w:color w:val="231F20"/>
          <w:sz w:val="24"/>
          <w:szCs w:val="24"/>
        </w:rPr>
        <w:t xml:space="preserve"> </w:t>
      </w:r>
      <w:r>
        <w:rPr>
          <w:rFonts w:ascii="Arial" w:hAnsi="Arial" w:cs="Arial"/>
          <w:color w:val="231F20"/>
          <w:sz w:val="24"/>
          <w:szCs w:val="24"/>
          <w:vertAlign w:val="superscript"/>
        </w:rPr>
        <w:t>11</w:t>
      </w:r>
      <w:r>
        <w:rPr>
          <w:rFonts w:ascii="Arial" w:hAnsi="Arial" w:cs="Arial"/>
          <w:color w:val="231F20"/>
          <w:sz w:val="24"/>
          <w:szCs w:val="24"/>
        </w:rPr>
        <w:t xml:space="preserve"> en placentas de neonatos con bajo peso al nacer también mostró esta característica. </w:t>
      </w:r>
    </w:p>
    <w:p w:rsidR="00D71650" w:rsidRDefault="009503D6">
      <w:pPr>
        <w:spacing w:line="360" w:lineRule="auto"/>
        <w:jc w:val="both"/>
        <w:rPr>
          <w:rFonts w:ascii="Verdana" w:hAnsi="Verdana" w:cs="Verdana"/>
          <w:color w:val="231F20"/>
        </w:rPr>
      </w:pPr>
      <w:r>
        <w:rPr>
          <w:rFonts w:ascii="Verdana" w:hAnsi="Verdana" w:cs="Verdana"/>
          <w:color w:val="231F20"/>
        </w:rPr>
        <w:t xml:space="preserve">Tabla 3. Densidad óptica de fibrina en la superficie de las vellosidades placentarias en la </w:t>
      </w:r>
      <w:proofErr w:type="spellStart"/>
      <w:r>
        <w:rPr>
          <w:rFonts w:ascii="Verdana" w:hAnsi="Verdana" w:cs="Verdana"/>
          <w:color w:val="231F20"/>
        </w:rPr>
        <w:t>preeclampsia</w:t>
      </w:r>
      <w:proofErr w:type="spellEnd"/>
      <w:r>
        <w:rPr>
          <w:rFonts w:ascii="Verdana" w:hAnsi="Verdana" w:cs="Verdana"/>
          <w:color w:val="231F20"/>
        </w:rPr>
        <w:t xml:space="preserve"> según r</w:t>
      </w:r>
      <w:r w:rsidR="00345006">
        <w:rPr>
          <w:rFonts w:ascii="Verdana" w:hAnsi="Verdana" w:cs="Verdana"/>
          <w:color w:val="231F20"/>
        </w:rPr>
        <w:t xml:space="preserve">egiones topográficas.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452"/>
        <w:gridCol w:w="2552"/>
        <w:gridCol w:w="2693"/>
      </w:tblGrid>
      <w:tr w:rsidR="00D71650">
        <w:trPr>
          <w:trHeight w:val="303"/>
        </w:trPr>
        <w:tc>
          <w:tcPr>
            <w:tcW w:w="2226" w:type="dxa"/>
            <w:vMerge w:val="restart"/>
            <w:shd w:val="clear" w:color="auto" w:fill="auto"/>
          </w:tcPr>
          <w:p w:rsidR="00D71650" w:rsidRDefault="00D71650">
            <w:pPr>
              <w:spacing w:line="240" w:lineRule="auto"/>
              <w:jc w:val="both"/>
              <w:rPr>
                <w:rFonts w:ascii="Verdana" w:hAnsi="Verdana" w:cs="Verdana"/>
                <w:color w:val="231F20"/>
              </w:rPr>
            </w:pPr>
          </w:p>
          <w:p w:rsidR="00D71650" w:rsidRDefault="009503D6">
            <w:pPr>
              <w:spacing w:line="240" w:lineRule="auto"/>
              <w:jc w:val="both"/>
              <w:rPr>
                <w:rFonts w:ascii="Verdana" w:hAnsi="Verdana" w:cs="Verdana"/>
                <w:color w:val="231F20"/>
              </w:rPr>
            </w:pPr>
            <w:r>
              <w:rPr>
                <w:rFonts w:ascii="Verdana" w:hAnsi="Verdana" w:cs="Verdana"/>
                <w:color w:val="231F20"/>
              </w:rPr>
              <w:t>Regiones topográficas</w:t>
            </w:r>
          </w:p>
        </w:tc>
        <w:tc>
          <w:tcPr>
            <w:tcW w:w="7697" w:type="dxa"/>
            <w:gridSpan w:val="3"/>
            <w:shd w:val="clear" w:color="auto" w:fill="auto"/>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Estadística descriptiva</w:t>
            </w:r>
          </w:p>
        </w:tc>
      </w:tr>
      <w:tr w:rsidR="00D71650">
        <w:tc>
          <w:tcPr>
            <w:tcW w:w="2226" w:type="dxa"/>
            <w:vMerge/>
            <w:shd w:val="clear" w:color="auto" w:fill="auto"/>
          </w:tcPr>
          <w:p w:rsidR="00D71650" w:rsidRDefault="00D71650">
            <w:pPr>
              <w:spacing w:line="240" w:lineRule="auto"/>
              <w:jc w:val="both"/>
              <w:rPr>
                <w:rFonts w:ascii="Verdana" w:hAnsi="Verdana" w:cs="Verdana"/>
                <w:color w:val="231F20"/>
              </w:rPr>
            </w:pPr>
          </w:p>
        </w:tc>
        <w:tc>
          <w:tcPr>
            <w:tcW w:w="2452" w:type="dxa"/>
            <w:shd w:val="clear" w:color="auto" w:fill="auto"/>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X±ST</w:t>
            </w:r>
          </w:p>
        </w:tc>
        <w:tc>
          <w:tcPr>
            <w:tcW w:w="2552" w:type="dxa"/>
            <w:shd w:val="clear" w:color="auto" w:fill="auto"/>
            <w:vAlign w:val="bottom"/>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CV</w:t>
            </w:r>
          </w:p>
        </w:tc>
        <w:tc>
          <w:tcPr>
            <w:tcW w:w="2693" w:type="dxa"/>
            <w:shd w:val="clear" w:color="auto" w:fill="auto"/>
            <w:vAlign w:val="bottom"/>
          </w:tcPr>
          <w:p w:rsidR="00D71650" w:rsidRDefault="009503D6">
            <w:pPr>
              <w:spacing w:line="240" w:lineRule="auto"/>
              <w:jc w:val="both"/>
              <w:rPr>
                <w:rFonts w:ascii="Verdana" w:eastAsia="Times New Roman" w:hAnsi="Verdana" w:cs="Verdana"/>
                <w:color w:val="000000"/>
              </w:rPr>
            </w:pPr>
            <w:r>
              <w:rPr>
                <w:rFonts w:ascii="Verdana" w:eastAsia="Times New Roman" w:hAnsi="Verdana" w:cs="Verdana"/>
                <w:color w:val="000000"/>
              </w:rPr>
              <w:t>N</w:t>
            </w:r>
          </w:p>
        </w:tc>
      </w:tr>
      <w:tr w:rsidR="00D71650">
        <w:tc>
          <w:tcPr>
            <w:tcW w:w="2226"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PPC</w:t>
            </w:r>
          </w:p>
        </w:tc>
        <w:tc>
          <w:tcPr>
            <w:tcW w:w="2452" w:type="dxa"/>
            <w:shd w:val="clear" w:color="auto" w:fill="auto"/>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1,125 ± 0,09</w:t>
            </w:r>
          </w:p>
        </w:tc>
        <w:tc>
          <w:tcPr>
            <w:tcW w:w="2552"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0,08</w:t>
            </w:r>
          </w:p>
        </w:tc>
        <w:tc>
          <w:tcPr>
            <w:tcW w:w="2693"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70</w:t>
            </w:r>
          </w:p>
        </w:tc>
      </w:tr>
      <w:tr w:rsidR="00D71650">
        <w:tc>
          <w:tcPr>
            <w:tcW w:w="2226"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P4C</w:t>
            </w:r>
          </w:p>
        </w:tc>
        <w:tc>
          <w:tcPr>
            <w:tcW w:w="2452" w:type="dxa"/>
            <w:shd w:val="clear" w:color="auto" w:fill="auto"/>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1,091±0,263</w:t>
            </w:r>
          </w:p>
        </w:tc>
        <w:tc>
          <w:tcPr>
            <w:tcW w:w="2552"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0,11</w:t>
            </w:r>
          </w:p>
        </w:tc>
        <w:tc>
          <w:tcPr>
            <w:tcW w:w="2693"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50</w:t>
            </w:r>
          </w:p>
        </w:tc>
      </w:tr>
      <w:tr w:rsidR="00D71650">
        <w:tc>
          <w:tcPr>
            <w:tcW w:w="2226"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PP</w:t>
            </w:r>
          </w:p>
        </w:tc>
        <w:tc>
          <w:tcPr>
            <w:tcW w:w="2452" w:type="dxa"/>
            <w:shd w:val="clear" w:color="auto" w:fill="auto"/>
          </w:tcPr>
          <w:p w:rsidR="00D71650" w:rsidRDefault="009503D6">
            <w:pPr>
              <w:spacing w:line="240" w:lineRule="auto"/>
              <w:jc w:val="both"/>
              <w:rPr>
                <w:rFonts w:ascii="Verdana" w:hAnsi="Verdana" w:cs="Verdana"/>
                <w:color w:val="231F20"/>
              </w:rPr>
            </w:pPr>
            <w:r>
              <w:rPr>
                <w:rFonts w:ascii="Verdana" w:eastAsia="Times New Roman" w:hAnsi="Verdana" w:cs="Verdana"/>
                <w:color w:val="000000"/>
              </w:rPr>
              <w:t>0,986 ± 0,11</w:t>
            </w:r>
          </w:p>
        </w:tc>
        <w:tc>
          <w:tcPr>
            <w:tcW w:w="2552"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0,24</w:t>
            </w:r>
          </w:p>
        </w:tc>
        <w:tc>
          <w:tcPr>
            <w:tcW w:w="2693" w:type="dxa"/>
            <w:shd w:val="clear" w:color="auto" w:fill="auto"/>
          </w:tcPr>
          <w:p w:rsidR="00D71650" w:rsidRDefault="009503D6">
            <w:pPr>
              <w:spacing w:line="240" w:lineRule="auto"/>
              <w:jc w:val="both"/>
              <w:rPr>
                <w:rFonts w:ascii="Verdana" w:hAnsi="Verdana" w:cs="Verdana"/>
                <w:color w:val="231F20"/>
              </w:rPr>
            </w:pPr>
            <w:r>
              <w:rPr>
                <w:rFonts w:ascii="Verdana" w:hAnsi="Verdana" w:cs="Verdana"/>
                <w:color w:val="231F20"/>
              </w:rPr>
              <w:t>30</w:t>
            </w:r>
          </w:p>
        </w:tc>
      </w:tr>
    </w:tbl>
    <w:p w:rsidR="00D71650" w:rsidRDefault="009503D6">
      <w:pPr>
        <w:spacing w:line="360" w:lineRule="auto"/>
        <w:jc w:val="both"/>
        <w:rPr>
          <w:rFonts w:ascii="Verdana" w:hAnsi="Verdana" w:cs="Verdana"/>
        </w:rPr>
      </w:pPr>
      <w:r>
        <w:rPr>
          <w:rFonts w:ascii="Verdana" w:hAnsi="Verdana" w:cs="Verdana"/>
        </w:rPr>
        <w:t>Fuent</w:t>
      </w:r>
      <w:r w:rsidR="00C57551">
        <w:rPr>
          <w:rFonts w:ascii="Verdana" w:hAnsi="Verdana" w:cs="Verdana"/>
        </w:rPr>
        <w:t xml:space="preserve">e: Base de datos  </w:t>
      </w:r>
      <w:r>
        <w:rPr>
          <w:rFonts w:ascii="Verdana" w:hAnsi="Verdana" w:cs="Verdana"/>
        </w:rPr>
        <w:t xml:space="preserve"> N: número de imágenes digitalizadas   F= 6,94    p≤ 0,01</w:t>
      </w:r>
    </w:p>
    <w:p w:rsidR="00D71650" w:rsidRDefault="009503D6">
      <w:pPr>
        <w:spacing w:line="360" w:lineRule="auto"/>
        <w:jc w:val="both"/>
        <w:rPr>
          <w:rFonts w:ascii="Verdana" w:hAnsi="Verdana" w:cs="Verdana"/>
          <w:color w:val="000000" w:themeColor="text1"/>
        </w:rPr>
      </w:pPr>
      <w:r>
        <w:rPr>
          <w:rFonts w:ascii="Verdana" w:hAnsi="Verdana" w:cs="Verdana"/>
          <w:color w:val="231F20"/>
        </w:rPr>
        <w:t>La tabla 3 es exponente de la cuantificación de fibrina en la superficie de la vellosidad placentaria</w:t>
      </w:r>
      <w:r w:rsidR="00585578">
        <w:rPr>
          <w:rFonts w:ascii="Verdana" w:hAnsi="Verdana" w:cs="Verdana"/>
          <w:color w:val="231F20"/>
        </w:rPr>
        <w:t xml:space="preserve"> también representada en la figura 2 (Anexo II)</w:t>
      </w:r>
      <w:r>
        <w:rPr>
          <w:rFonts w:ascii="Verdana" w:hAnsi="Verdana" w:cs="Verdana"/>
          <w:color w:val="231F20"/>
        </w:rPr>
        <w:t xml:space="preserve">. Como puede apreciarse en la investigación realizada el total de las placentas presentó lesiones fibrinoides y estas se hicieron evidentes en cada una de las regiones estudiadas. </w:t>
      </w:r>
      <w:r>
        <w:rPr>
          <w:rFonts w:ascii="Verdana" w:hAnsi="Verdana" w:cs="Verdana"/>
          <w:color w:val="000000" w:themeColor="text1"/>
        </w:rPr>
        <w:t>Es válido señalar que en el análisis de los resultados que se exponen, se hace necesario el reconocimiento de la relación inversa entre la densidad óptica y la concentración de fibrina, por lo que se reconoce que el depósito de fibrina se incrementó desde el centro a la periferia en la misma medida en que fue decreciendo la densidad calculada.</w:t>
      </w:r>
    </w:p>
    <w:p w:rsidR="00D71650" w:rsidRDefault="009503D6">
      <w:pPr>
        <w:spacing w:line="360" w:lineRule="auto"/>
        <w:jc w:val="both"/>
        <w:rPr>
          <w:rFonts w:ascii="Verdana" w:hAnsi="Verdana" w:cs="Verdana"/>
          <w:color w:val="231F20"/>
        </w:rPr>
      </w:pPr>
      <w:r>
        <w:rPr>
          <w:rFonts w:ascii="Verdana" w:hAnsi="Verdana" w:cs="Verdana"/>
          <w:color w:val="231F20"/>
        </w:rPr>
        <w:t xml:space="preserve">También resulta apreciable que el promedio obtenido en cada región presentó diferencias significativas con un valor de p </w:t>
      </w:r>
      <w:r>
        <w:rPr>
          <w:rFonts w:ascii="Verdana" w:hAnsi="Verdana" w:cs="Verdana"/>
        </w:rPr>
        <w:t xml:space="preserve">≤ 0,01. El test de Newman </w:t>
      </w:r>
      <w:proofErr w:type="spellStart"/>
      <w:r>
        <w:rPr>
          <w:rFonts w:ascii="Verdana" w:hAnsi="Verdana" w:cs="Verdana"/>
        </w:rPr>
        <w:t>Keuls</w:t>
      </w:r>
      <w:proofErr w:type="spellEnd"/>
      <w:r>
        <w:rPr>
          <w:rFonts w:ascii="Verdana" w:hAnsi="Verdana" w:cs="Verdana"/>
        </w:rPr>
        <w:t xml:space="preserve"> identificó la significación estadística entre la región periférica de la placenta con las otras dos zonas de estudio, pero no entre estas dos últimas entre sí.</w:t>
      </w:r>
      <w:r>
        <w:rPr>
          <w:rFonts w:ascii="Verdana" w:hAnsi="Verdana" w:cs="Verdana"/>
          <w:color w:val="231F20"/>
        </w:rPr>
        <w:t xml:space="preserve"> </w:t>
      </w:r>
    </w:p>
    <w:p w:rsidR="00D71650" w:rsidRDefault="009503D6">
      <w:pPr>
        <w:spacing w:line="360" w:lineRule="auto"/>
        <w:jc w:val="both"/>
        <w:rPr>
          <w:rFonts w:ascii="Verdana" w:hAnsi="Verdana" w:cs="Verdana"/>
          <w:color w:val="231F20"/>
        </w:rPr>
      </w:pPr>
      <w:r>
        <w:rPr>
          <w:rFonts w:ascii="Verdana" w:hAnsi="Verdana" w:cs="Verdana"/>
          <w:color w:val="231F20"/>
        </w:rPr>
        <w:t xml:space="preserve">En consonancia con los resultados representados, </w:t>
      </w:r>
      <w:r>
        <w:rPr>
          <w:rFonts w:ascii="Verdana" w:hAnsi="Verdana" w:cs="Verdana"/>
          <w:color w:val="000000"/>
        </w:rPr>
        <w:t xml:space="preserve">González Torres E </w:t>
      </w:r>
      <w:r>
        <w:rPr>
          <w:rFonts w:ascii="Verdana" w:hAnsi="Verdana" w:cs="Verdana"/>
          <w:color w:val="000000"/>
          <w:vertAlign w:val="superscript"/>
        </w:rPr>
        <w:t>1</w:t>
      </w:r>
      <w:r w:rsidR="004456D2">
        <w:rPr>
          <w:rFonts w:ascii="Verdana" w:hAnsi="Verdana" w:cs="Verdana"/>
          <w:color w:val="000000"/>
          <w:vertAlign w:val="superscript"/>
        </w:rPr>
        <w:t>2</w:t>
      </w:r>
      <w:r>
        <w:rPr>
          <w:rFonts w:ascii="Verdana" w:hAnsi="Verdana" w:cs="Verdana"/>
          <w:color w:val="231F20"/>
        </w:rPr>
        <w:t xml:space="preserve"> y </w:t>
      </w:r>
      <w:proofErr w:type="spellStart"/>
      <w:r>
        <w:rPr>
          <w:rFonts w:ascii="Verdana" w:hAnsi="Verdana" w:cs="Verdana"/>
          <w:color w:val="000000"/>
        </w:rPr>
        <w:t>Than</w:t>
      </w:r>
      <w:proofErr w:type="spellEnd"/>
      <w:r>
        <w:rPr>
          <w:rFonts w:ascii="Verdana" w:hAnsi="Verdana" w:cs="Verdana"/>
          <w:color w:val="000000"/>
        </w:rPr>
        <w:t xml:space="preserve"> NG </w:t>
      </w:r>
      <w:r>
        <w:rPr>
          <w:rFonts w:ascii="Verdana" w:hAnsi="Verdana" w:cs="Verdana"/>
          <w:color w:val="000000"/>
          <w:vertAlign w:val="superscript"/>
        </w:rPr>
        <w:t>1</w:t>
      </w:r>
      <w:r w:rsidR="004456D2">
        <w:rPr>
          <w:rFonts w:ascii="Verdana" w:hAnsi="Verdana" w:cs="Verdana"/>
          <w:color w:val="000000"/>
          <w:vertAlign w:val="superscript"/>
        </w:rPr>
        <w:t>3</w:t>
      </w:r>
      <w:r>
        <w:rPr>
          <w:rFonts w:ascii="Verdana" w:hAnsi="Verdana" w:cs="Verdana"/>
          <w:color w:val="231F20"/>
        </w:rPr>
        <w:t xml:space="preserve"> observaron mayores concentraciones de fibrina hacia las vellosidades terminales cuya localización preferencial fue la periferia placentaria. </w:t>
      </w:r>
    </w:p>
    <w:p w:rsidR="00D71650" w:rsidRDefault="009503D6">
      <w:pPr>
        <w:spacing w:line="360" w:lineRule="auto"/>
        <w:jc w:val="both"/>
        <w:rPr>
          <w:rFonts w:ascii="Verdana" w:hAnsi="Verdana" w:cs="Verdana"/>
          <w:color w:val="231F20"/>
        </w:rPr>
      </w:pPr>
      <w:r>
        <w:rPr>
          <w:rFonts w:ascii="Verdana" w:hAnsi="Verdana" w:cs="Verdana"/>
          <w:color w:val="231F20"/>
        </w:rPr>
        <w:t xml:space="preserve">En la revisión de la literatura no se encontraron otros estudios </w:t>
      </w:r>
      <w:proofErr w:type="spellStart"/>
      <w:r>
        <w:rPr>
          <w:rFonts w:ascii="Verdana" w:hAnsi="Verdana" w:cs="Verdana"/>
          <w:color w:val="231F20"/>
        </w:rPr>
        <w:t>morfométricos</w:t>
      </w:r>
      <w:proofErr w:type="spellEnd"/>
      <w:r>
        <w:rPr>
          <w:rFonts w:ascii="Verdana" w:hAnsi="Verdana" w:cs="Verdana"/>
          <w:color w:val="231F20"/>
        </w:rPr>
        <w:t xml:space="preserve"> que favorezcan la comparación de los resultados obtenidos, a pesar de que el depósito de fibrina alrededor de la vellosidad ha sido ampliamente estudiado en placentas normales y </w:t>
      </w:r>
      <w:r>
        <w:rPr>
          <w:rFonts w:ascii="Verdana" w:hAnsi="Verdana" w:cs="Verdana"/>
          <w:color w:val="231F20"/>
        </w:rPr>
        <w:lastRenderedPageBreak/>
        <w:t>patológicas.</w:t>
      </w:r>
      <w:r w:rsidR="00604115">
        <w:rPr>
          <w:rFonts w:ascii="Verdana" w:hAnsi="Verdana" w:cs="Verdana"/>
          <w:color w:val="231F20"/>
        </w:rPr>
        <w:t xml:space="preserve"> </w:t>
      </w:r>
      <w:r>
        <w:rPr>
          <w:rFonts w:ascii="Verdana" w:hAnsi="Verdana" w:cs="Verdana"/>
          <w:color w:val="231F20"/>
        </w:rPr>
        <w:t xml:space="preserve">La localización e intensidad de este tipo de lesión resulta útil en la caracterización histopatológica de la placenta y ofrece pautas importantes en el estudio de enfermedades de la gestación como la </w:t>
      </w:r>
      <w:proofErr w:type="spellStart"/>
      <w:r>
        <w:rPr>
          <w:rFonts w:ascii="Verdana" w:hAnsi="Verdana" w:cs="Verdana"/>
          <w:color w:val="231F20"/>
        </w:rPr>
        <w:t>preeclampsia</w:t>
      </w:r>
      <w:proofErr w:type="spellEnd"/>
      <w:r>
        <w:rPr>
          <w:rFonts w:ascii="Verdana" w:hAnsi="Verdana" w:cs="Verdana"/>
          <w:color w:val="231F20"/>
        </w:rPr>
        <w:t>.</w:t>
      </w:r>
    </w:p>
    <w:p w:rsidR="00D71650" w:rsidRDefault="009503D6">
      <w:pPr>
        <w:spacing w:line="360" w:lineRule="auto"/>
        <w:jc w:val="both"/>
        <w:rPr>
          <w:rFonts w:ascii="Verdana" w:eastAsia="Times New Roman" w:hAnsi="Verdana" w:cs="Verdana"/>
          <w:b/>
          <w:bCs/>
          <w:lang w:eastAsia="es-ES"/>
        </w:rPr>
      </w:pPr>
      <w:r>
        <w:rPr>
          <w:rFonts w:ascii="Verdana" w:eastAsia="Times New Roman" w:hAnsi="Verdana" w:cs="Verdana"/>
          <w:b/>
          <w:bCs/>
          <w:lang w:eastAsia="es-ES"/>
        </w:rPr>
        <w:t>CONCLUSIONES</w:t>
      </w:r>
    </w:p>
    <w:p w:rsidR="00D71650" w:rsidRDefault="009503D6">
      <w:pPr>
        <w:spacing w:line="360" w:lineRule="auto"/>
        <w:jc w:val="both"/>
        <w:rPr>
          <w:rFonts w:ascii="Verdana" w:eastAsia="Calibri" w:hAnsi="Verdana" w:cs="Verdana"/>
        </w:rPr>
      </w:pPr>
      <w:r>
        <w:rPr>
          <w:rFonts w:ascii="Verdana" w:eastAsia="Calibri" w:hAnsi="Verdana" w:cs="Verdana"/>
        </w:rPr>
        <w:t>Las mensuraciones macroscópicas mostraron valores normales con una tendencia al límite inferior en el peso y el diámetro placentario. El área de la vellosidad y la densidad óptica de fibrina alrededor de la vellosidad a nivel peri cordón; a 4 cm del cordón y en la p</w:t>
      </w:r>
      <w:r w:rsidR="00604115">
        <w:rPr>
          <w:rFonts w:ascii="Verdana" w:eastAsia="Calibri" w:hAnsi="Verdana" w:cs="Verdana"/>
        </w:rPr>
        <w:t xml:space="preserve">eriferia del disco placentario </w:t>
      </w:r>
      <w:r>
        <w:rPr>
          <w:rFonts w:ascii="Verdana" w:eastAsia="Calibri" w:hAnsi="Verdana" w:cs="Verdana"/>
        </w:rPr>
        <w:t xml:space="preserve">mostraron diferencias significativas. </w:t>
      </w:r>
    </w:p>
    <w:p w:rsidR="00D71650" w:rsidRDefault="009503D6">
      <w:pPr>
        <w:spacing w:after="160" w:line="360" w:lineRule="auto"/>
        <w:jc w:val="both"/>
        <w:rPr>
          <w:rFonts w:ascii="Verdana" w:eastAsia="Times New Roman" w:hAnsi="Verdana" w:cs="Verdana"/>
          <w:b/>
          <w:bCs/>
          <w:lang w:eastAsia="es-ES"/>
        </w:rPr>
      </w:pPr>
      <w:r>
        <w:rPr>
          <w:rFonts w:ascii="Verdana" w:eastAsia="Times New Roman" w:hAnsi="Verdana" w:cs="Verdana"/>
          <w:b/>
          <w:bCs/>
          <w:lang w:eastAsia="es-ES"/>
        </w:rPr>
        <w:t>REFERENCIAS BIBLIOGRÁFICAS</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lang w:val="en-US"/>
        </w:rPr>
        <w:t xml:space="preserve">Roberts RM, Green JA, Schulz LC. The evolution of the placenta. </w:t>
      </w:r>
      <w:proofErr w:type="spellStart"/>
      <w:r>
        <w:rPr>
          <w:rFonts w:ascii="Verdana" w:hAnsi="Verdana" w:cs="Verdana"/>
          <w:color w:val="000000"/>
        </w:rPr>
        <w:t>Reproduction</w:t>
      </w:r>
      <w:proofErr w:type="spellEnd"/>
      <w:r>
        <w:rPr>
          <w:rFonts w:ascii="Verdana" w:hAnsi="Verdana" w:cs="Verdana"/>
          <w:color w:val="000000"/>
        </w:rPr>
        <w:t xml:space="preserve">. [internet] 2016 [citado 2 feb 2020]; 152(5):179-89. Disponible en: </w:t>
      </w:r>
      <w:hyperlink r:id="rId9" w:history="1">
        <w:r>
          <w:rPr>
            <w:rFonts w:ascii="Verdana" w:hAnsi="Verdana" w:cs="Verdana"/>
            <w:color w:val="000000"/>
          </w:rPr>
          <w:t>https://www.ncbi.nlm.nih.gov/pmc/articles/PMC5033709/</w:t>
        </w:r>
      </w:hyperlink>
    </w:p>
    <w:p w:rsidR="00D71650" w:rsidRDefault="009503D6">
      <w:pPr>
        <w:pStyle w:val="Prrafodelista1"/>
        <w:numPr>
          <w:ilvl w:val="0"/>
          <w:numId w:val="3"/>
        </w:numPr>
        <w:spacing w:after="160" w:line="360" w:lineRule="auto"/>
        <w:jc w:val="both"/>
        <w:rPr>
          <w:rFonts w:ascii="Verdana" w:hAnsi="Verdana" w:cs="Verdana"/>
          <w:color w:val="000000"/>
        </w:rPr>
      </w:pPr>
      <w:proofErr w:type="spellStart"/>
      <w:r>
        <w:rPr>
          <w:rFonts w:ascii="Verdana" w:hAnsi="Verdana" w:cs="Verdana"/>
          <w:color w:val="000000"/>
        </w:rPr>
        <w:t>Alpaza</w:t>
      </w:r>
      <w:proofErr w:type="spellEnd"/>
      <w:r>
        <w:rPr>
          <w:rFonts w:ascii="Verdana" w:hAnsi="Verdana" w:cs="Verdana"/>
          <w:color w:val="000000"/>
        </w:rPr>
        <w:t xml:space="preserve"> Valencia J. Desarrollo placentario temprano: Aspectos fisiopatológicos. </w:t>
      </w:r>
      <w:proofErr w:type="spellStart"/>
      <w:r>
        <w:rPr>
          <w:rFonts w:ascii="Verdana" w:hAnsi="Verdana" w:cs="Verdana"/>
          <w:color w:val="000000"/>
        </w:rPr>
        <w:t>Rev</w:t>
      </w:r>
      <w:proofErr w:type="spellEnd"/>
      <w:r>
        <w:rPr>
          <w:rFonts w:ascii="Verdana" w:hAnsi="Verdana" w:cs="Verdana"/>
          <w:color w:val="000000"/>
        </w:rPr>
        <w:t xml:space="preserve"> Per </w:t>
      </w:r>
      <w:proofErr w:type="spellStart"/>
      <w:r>
        <w:rPr>
          <w:rFonts w:ascii="Verdana" w:hAnsi="Verdana" w:cs="Verdana"/>
          <w:color w:val="000000"/>
        </w:rPr>
        <w:t>Ginecol</w:t>
      </w:r>
      <w:proofErr w:type="spellEnd"/>
      <w:r>
        <w:rPr>
          <w:rFonts w:ascii="Verdana" w:hAnsi="Verdana" w:cs="Verdana"/>
          <w:color w:val="000000"/>
        </w:rPr>
        <w:t xml:space="preserve"> y </w:t>
      </w:r>
      <w:proofErr w:type="spellStart"/>
      <w:r>
        <w:rPr>
          <w:rFonts w:ascii="Verdana" w:hAnsi="Verdana" w:cs="Verdana"/>
          <w:color w:val="000000"/>
        </w:rPr>
        <w:t>obstret</w:t>
      </w:r>
      <w:proofErr w:type="spellEnd"/>
      <w:r>
        <w:rPr>
          <w:rFonts w:ascii="Verdana" w:hAnsi="Verdana" w:cs="Verdana"/>
          <w:color w:val="000000"/>
        </w:rPr>
        <w:t xml:space="preserve">. [internet] 2018 [citado 2 feb 2020]. Disponible en: </w:t>
      </w:r>
      <w:hyperlink r:id="rId10" w:history="1">
        <w:r>
          <w:rPr>
            <w:rStyle w:val="Hipervnculo"/>
            <w:rFonts w:ascii="Verdana" w:hAnsi="Verdana" w:cs="Verdana"/>
            <w:color w:val="000000"/>
          </w:rPr>
          <w:t>http://www.scielo.org.pe/scielo.php?pid=S2304-51322014000200006&amp;script=sci_arttext&amp;tlng=en</w:t>
        </w:r>
      </w:hyperlink>
    </w:p>
    <w:p w:rsidR="00D71650" w:rsidRDefault="009503D6">
      <w:pPr>
        <w:pStyle w:val="Prrafodelista1"/>
        <w:numPr>
          <w:ilvl w:val="0"/>
          <w:numId w:val="3"/>
        </w:numPr>
        <w:spacing w:after="160" w:line="360" w:lineRule="auto"/>
        <w:jc w:val="both"/>
        <w:rPr>
          <w:rStyle w:val="Hipervnculo"/>
          <w:rFonts w:ascii="Verdana" w:hAnsi="Verdana" w:cs="Verdana"/>
          <w:color w:val="000000"/>
          <w:u w:val="none"/>
        </w:rPr>
      </w:pPr>
      <w:proofErr w:type="spellStart"/>
      <w:r>
        <w:rPr>
          <w:rFonts w:ascii="Verdana" w:hAnsi="Verdana" w:cs="Verdana"/>
          <w:color w:val="000000"/>
          <w:lang w:val="en-US"/>
        </w:rPr>
        <w:t>Mayrink</w:t>
      </w:r>
      <w:proofErr w:type="spellEnd"/>
      <w:r>
        <w:rPr>
          <w:rFonts w:ascii="Verdana" w:hAnsi="Verdana" w:cs="Verdana"/>
          <w:color w:val="000000"/>
          <w:lang w:val="en-US"/>
        </w:rPr>
        <w:t xml:space="preserve"> J, Costa ML, </w:t>
      </w:r>
      <w:proofErr w:type="spellStart"/>
      <w:r>
        <w:rPr>
          <w:rFonts w:ascii="Verdana" w:hAnsi="Verdana" w:cs="Verdana"/>
          <w:color w:val="000000"/>
          <w:lang w:val="en-US"/>
        </w:rPr>
        <w:t>Cecatti</w:t>
      </w:r>
      <w:proofErr w:type="spellEnd"/>
      <w:r>
        <w:rPr>
          <w:rFonts w:ascii="Verdana" w:hAnsi="Verdana" w:cs="Verdana"/>
          <w:color w:val="000000"/>
          <w:lang w:val="en-US"/>
        </w:rPr>
        <w:t xml:space="preserve"> JG. Preeclampsia in 2018: Revisiting Concepts, Physiopathology, and Prediction. </w:t>
      </w:r>
      <w:proofErr w:type="spellStart"/>
      <w:r>
        <w:rPr>
          <w:rFonts w:ascii="Verdana" w:hAnsi="Verdana" w:cs="Verdana"/>
          <w:color w:val="000000"/>
        </w:rPr>
        <w:t>Scientific</w:t>
      </w:r>
      <w:proofErr w:type="spellEnd"/>
      <w:r>
        <w:rPr>
          <w:rFonts w:ascii="Verdana" w:hAnsi="Verdana" w:cs="Verdana"/>
          <w:color w:val="000000"/>
        </w:rPr>
        <w:t xml:space="preserve"> </w:t>
      </w:r>
      <w:proofErr w:type="spellStart"/>
      <w:r>
        <w:rPr>
          <w:rFonts w:ascii="Verdana" w:hAnsi="Verdana" w:cs="Verdana"/>
          <w:color w:val="000000"/>
        </w:rPr>
        <w:t>World</w:t>
      </w:r>
      <w:proofErr w:type="spellEnd"/>
      <w:r>
        <w:rPr>
          <w:rFonts w:ascii="Verdana" w:hAnsi="Verdana" w:cs="Verdana"/>
          <w:color w:val="000000"/>
        </w:rPr>
        <w:t xml:space="preserve"> </w:t>
      </w:r>
      <w:proofErr w:type="spellStart"/>
      <w:r>
        <w:rPr>
          <w:rFonts w:ascii="Verdana" w:hAnsi="Verdana" w:cs="Verdana"/>
          <w:color w:val="000000"/>
        </w:rPr>
        <w:t>Journal</w:t>
      </w:r>
      <w:proofErr w:type="spellEnd"/>
      <w:r>
        <w:rPr>
          <w:rFonts w:ascii="Verdana" w:hAnsi="Verdana" w:cs="Verdana"/>
          <w:color w:val="000000"/>
        </w:rPr>
        <w:t xml:space="preserve">. [internet] 2018 [citado 2 feb 2020]; 2018:6268276. Disponible en: </w:t>
      </w:r>
      <w:hyperlink r:id="rId11" w:history="1">
        <w:r>
          <w:rPr>
            <w:rStyle w:val="Hipervnculo"/>
            <w:rFonts w:ascii="Verdana" w:hAnsi="Verdana" w:cs="Verdana"/>
            <w:color w:val="000000"/>
          </w:rPr>
          <w:t>https://www.ncbi.nlm.nih.gov/pmc/articles/PMC6304478/</w:t>
        </w:r>
      </w:hyperlink>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rPr>
        <w:t xml:space="preserve">Cardoso V, </w:t>
      </w:r>
      <w:proofErr w:type="spellStart"/>
      <w:r>
        <w:rPr>
          <w:rFonts w:ascii="Verdana" w:hAnsi="Verdana" w:cs="Verdana"/>
          <w:color w:val="000000"/>
        </w:rPr>
        <w:t>Mazzitelli</w:t>
      </w:r>
      <w:proofErr w:type="spellEnd"/>
      <w:r>
        <w:rPr>
          <w:rFonts w:ascii="Verdana" w:hAnsi="Verdana" w:cs="Verdana"/>
          <w:color w:val="000000"/>
        </w:rPr>
        <w:t xml:space="preserve"> N, </w:t>
      </w:r>
      <w:proofErr w:type="spellStart"/>
      <w:r>
        <w:rPr>
          <w:rFonts w:ascii="Verdana" w:hAnsi="Verdana" w:cs="Verdana"/>
          <w:color w:val="000000"/>
        </w:rPr>
        <w:t>Veiga</w:t>
      </w:r>
      <w:proofErr w:type="spellEnd"/>
      <w:r>
        <w:rPr>
          <w:rFonts w:ascii="Verdana" w:hAnsi="Verdana" w:cs="Verdana"/>
          <w:color w:val="000000"/>
        </w:rPr>
        <w:t xml:space="preserve"> MA, </w:t>
      </w:r>
      <w:proofErr w:type="spellStart"/>
      <w:r>
        <w:rPr>
          <w:rFonts w:ascii="Verdana" w:hAnsi="Verdana" w:cs="Verdana"/>
          <w:color w:val="000000"/>
        </w:rPr>
        <w:t>Furlán</w:t>
      </w:r>
      <w:proofErr w:type="spellEnd"/>
      <w:r>
        <w:rPr>
          <w:rFonts w:ascii="Verdana" w:hAnsi="Verdana" w:cs="Verdana"/>
          <w:color w:val="000000"/>
        </w:rPr>
        <w:t xml:space="preserve"> R, </w:t>
      </w:r>
      <w:proofErr w:type="spellStart"/>
      <w:r>
        <w:rPr>
          <w:rFonts w:ascii="Verdana" w:hAnsi="Verdana" w:cs="Verdana"/>
          <w:color w:val="000000"/>
        </w:rPr>
        <w:t>Grandi</w:t>
      </w:r>
      <w:proofErr w:type="spellEnd"/>
      <w:r>
        <w:rPr>
          <w:rFonts w:ascii="Verdana" w:hAnsi="Verdana" w:cs="Verdana"/>
          <w:color w:val="000000"/>
        </w:rPr>
        <w:t xml:space="preserve"> C. Medidas del crecimiento placentario y su relación con el peso de nacimiento y la edad </w:t>
      </w:r>
      <w:proofErr w:type="spellStart"/>
      <w:proofErr w:type="gramStart"/>
      <w:r>
        <w:rPr>
          <w:rFonts w:ascii="Verdana" w:hAnsi="Verdana" w:cs="Verdana"/>
          <w:color w:val="000000"/>
        </w:rPr>
        <w:t>gestacional.Revisión</w:t>
      </w:r>
      <w:proofErr w:type="spellEnd"/>
      <w:proofErr w:type="gramEnd"/>
      <w:r>
        <w:rPr>
          <w:rFonts w:ascii="Verdana" w:hAnsi="Verdana" w:cs="Verdana"/>
          <w:color w:val="000000"/>
        </w:rPr>
        <w:t xml:space="preserve"> bibliográfica. Revista del Hospital Materno Infantil Ramón </w:t>
      </w:r>
      <w:proofErr w:type="spellStart"/>
      <w:r>
        <w:rPr>
          <w:rFonts w:ascii="Verdana" w:hAnsi="Verdana" w:cs="Verdana"/>
          <w:color w:val="000000"/>
        </w:rPr>
        <w:t>Sardá</w:t>
      </w:r>
      <w:proofErr w:type="spellEnd"/>
      <w:r>
        <w:rPr>
          <w:rFonts w:ascii="Verdana" w:hAnsi="Verdana" w:cs="Verdana"/>
          <w:color w:val="000000"/>
        </w:rPr>
        <w:t>. [internet] 2012 [citado 3 abr 2020];31 (2): 69-74. Disponible en: http://www.redalyc.org/articulo.oa?id=91224139006</w:t>
      </w:r>
    </w:p>
    <w:p w:rsidR="00D71650" w:rsidRDefault="009503D6">
      <w:pPr>
        <w:pStyle w:val="Prrafodelista1"/>
        <w:numPr>
          <w:ilvl w:val="0"/>
          <w:numId w:val="3"/>
        </w:numPr>
        <w:spacing w:after="160" w:line="360" w:lineRule="auto"/>
        <w:jc w:val="both"/>
        <w:rPr>
          <w:rFonts w:ascii="Verdana" w:hAnsi="Verdana" w:cs="Verdana"/>
          <w:color w:val="000000"/>
        </w:rPr>
      </w:pPr>
      <w:proofErr w:type="spellStart"/>
      <w:r>
        <w:rPr>
          <w:rFonts w:ascii="Verdana" w:hAnsi="Verdana" w:cs="Verdana"/>
          <w:color w:val="000000"/>
          <w:lang w:val="en-US"/>
        </w:rPr>
        <w:t>Gamage</w:t>
      </w:r>
      <w:proofErr w:type="spellEnd"/>
      <w:r>
        <w:rPr>
          <w:rFonts w:ascii="Verdana" w:hAnsi="Verdana" w:cs="Verdana"/>
          <w:color w:val="000000"/>
          <w:lang w:val="en-US"/>
        </w:rPr>
        <w:t xml:space="preserve"> TKJB, </w:t>
      </w:r>
      <w:proofErr w:type="spellStart"/>
      <w:r>
        <w:rPr>
          <w:rFonts w:ascii="Verdana" w:hAnsi="Verdana" w:cs="Verdana"/>
          <w:color w:val="000000"/>
          <w:lang w:val="en-US"/>
        </w:rPr>
        <w:t>Schierding</w:t>
      </w:r>
      <w:proofErr w:type="spellEnd"/>
      <w:r>
        <w:rPr>
          <w:rFonts w:ascii="Verdana" w:hAnsi="Verdana" w:cs="Verdana"/>
          <w:color w:val="000000"/>
          <w:lang w:val="en-US"/>
        </w:rPr>
        <w:t xml:space="preserve"> W, Hurley D, Tsai P, Ludgate JL, et al. The role of DNA methylation in human trophoblast differentiation. </w:t>
      </w:r>
      <w:proofErr w:type="spellStart"/>
      <w:r>
        <w:rPr>
          <w:rFonts w:ascii="Verdana" w:hAnsi="Verdana" w:cs="Verdana"/>
          <w:color w:val="000000"/>
        </w:rPr>
        <w:t>Epigenetics</w:t>
      </w:r>
      <w:proofErr w:type="spellEnd"/>
      <w:r>
        <w:rPr>
          <w:rFonts w:ascii="Verdana" w:hAnsi="Verdana" w:cs="Verdana"/>
          <w:color w:val="000000"/>
        </w:rPr>
        <w:t>. [internet] 2018 [citado 2 feb 2020];13(12):1154-1173. Disponible en: https://www.ncbi.nlm.nih.gov/pmc/articles/PMC6986789/</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rPr>
        <w:lastRenderedPageBreak/>
        <w:t xml:space="preserve">Prieto GR, </w:t>
      </w:r>
      <w:proofErr w:type="spellStart"/>
      <w:r>
        <w:rPr>
          <w:rFonts w:ascii="Verdana" w:hAnsi="Verdana" w:cs="Verdana"/>
          <w:color w:val="000000"/>
        </w:rPr>
        <w:t>Ottone</w:t>
      </w:r>
      <w:proofErr w:type="spellEnd"/>
      <w:r>
        <w:rPr>
          <w:rFonts w:ascii="Verdana" w:hAnsi="Verdana" w:cs="Verdana"/>
          <w:color w:val="000000"/>
        </w:rPr>
        <w:t xml:space="preserve"> NE, Sandoval VC, Saavedra S A, Bianchi H F. Aspectos </w:t>
      </w:r>
      <w:proofErr w:type="spellStart"/>
      <w:r>
        <w:rPr>
          <w:rFonts w:ascii="Verdana" w:hAnsi="Verdana" w:cs="Verdana"/>
          <w:color w:val="000000"/>
        </w:rPr>
        <w:t>morfocuantitativos</w:t>
      </w:r>
      <w:proofErr w:type="spellEnd"/>
      <w:r>
        <w:rPr>
          <w:rFonts w:ascii="Verdana" w:hAnsi="Verdana" w:cs="Verdana"/>
          <w:color w:val="000000"/>
        </w:rPr>
        <w:t xml:space="preserve"> de las vellosidades </w:t>
      </w:r>
      <w:proofErr w:type="spellStart"/>
      <w:r>
        <w:rPr>
          <w:rFonts w:ascii="Verdana" w:hAnsi="Verdana" w:cs="Verdana"/>
          <w:color w:val="000000"/>
        </w:rPr>
        <w:t>coriales</w:t>
      </w:r>
      <w:proofErr w:type="spellEnd"/>
      <w:r>
        <w:rPr>
          <w:rFonts w:ascii="Verdana" w:hAnsi="Verdana" w:cs="Verdana"/>
          <w:color w:val="000000"/>
        </w:rPr>
        <w:t xml:space="preserve"> libres en gestas normales, con diabetes, hipertensión arterial y restricción del crecimiento intrauterino. </w:t>
      </w:r>
      <w:proofErr w:type="spellStart"/>
      <w:r>
        <w:rPr>
          <w:rFonts w:ascii="Verdana" w:hAnsi="Verdana" w:cs="Verdana"/>
          <w:color w:val="000000"/>
        </w:rPr>
        <w:t>Int</w:t>
      </w:r>
      <w:proofErr w:type="spellEnd"/>
      <w:r>
        <w:rPr>
          <w:rFonts w:ascii="Verdana" w:hAnsi="Verdana" w:cs="Verdana"/>
          <w:color w:val="000000"/>
        </w:rPr>
        <w:t xml:space="preserve">. J. </w:t>
      </w:r>
      <w:proofErr w:type="spellStart"/>
      <w:r>
        <w:rPr>
          <w:rFonts w:ascii="Verdana" w:hAnsi="Verdana" w:cs="Verdana"/>
          <w:color w:val="000000"/>
        </w:rPr>
        <w:t>Morphol</w:t>
      </w:r>
      <w:proofErr w:type="spellEnd"/>
      <w:r>
        <w:rPr>
          <w:rFonts w:ascii="Verdana" w:hAnsi="Verdana" w:cs="Verdana"/>
          <w:color w:val="000000"/>
        </w:rPr>
        <w:t>. 2018; 36(2):551-556.</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rPr>
        <w:t xml:space="preserve">Ortega Hernández M, Rojas Guerra J, Mora Herrera M, Arévalo Nueva L, Garcés Olivé LM. </w:t>
      </w:r>
      <w:proofErr w:type="spellStart"/>
      <w:r>
        <w:rPr>
          <w:rFonts w:ascii="Verdana" w:hAnsi="Verdana" w:cs="Verdana"/>
          <w:color w:val="000000"/>
        </w:rPr>
        <w:t>Morfoesterología</w:t>
      </w:r>
      <w:proofErr w:type="spellEnd"/>
      <w:r>
        <w:rPr>
          <w:rFonts w:ascii="Verdana" w:hAnsi="Verdana" w:cs="Verdana"/>
          <w:color w:val="000000"/>
        </w:rPr>
        <w:t xml:space="preserve"> en placentas de gestantes hipertensas con embarazo simple. Hospital Materno Infantil Fe del Valle Ramos. Marzo 2015-Marzo2016. </w:t>
      </w:r>
      <w:proofErr w:type="spellStart"/>
      <w:r>
        <w:rPr>
          <w:rFonts w:ascii="Verdana" w:hAnsi="Verdana" w:cs="Verdana"/>
          <w:color w:val="000000"/>
        </w:rPr>
        <w:t>Morfovirtual</w:t>
      </w:r>
      <w:proofErr w:type="spellEnd"/>
      <w:r>
        <w:rPr>
          <w:rFonts w:ascii="Verdana" w:hAnsi="Verdana" w:cs="Verdana"/>
          <w:color w:val="000000"/>
        </w:rPr>
        <w:t xml:space="preserve"> 2016: Tercer congreso virtual de ciencias morfológicas; Nov 2016. La Habana: CENCOMED; 2016. Disponible en: https/www.morfovirtual2016.sld.cu/index.php/Morfovirtual/2016/paper/view/143</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rPr>
        <w:t xml:space="preserve">Prieto GR, </w:t>
      </w:r>
      <w:proofErr w:type="spellStart"/>
      <w:r>
        <w:rPr>
          <w:rFonts w:ascii="Verdana" w:hAnsi="Verdana" w:cs="Verdana"/>
          <w:color w:val="000000"/>
        </w:rPr>
        <w:t>Matamla</w:t>
      </w:r>
      <w:proofErr w:type="spellEnd"/>
      <w:r>
        <w:rPr>
          <w:rFonts w:ascii="Verdana" w:hAnsi="Verdana" w:cs="Verdana"/>
          <w:color w:val="000000"/>
        </w:rPr>
        <w:t xml:space="preserve"> F, Rojas M. Características morfológicas y </w:t>
      </w:r>
      <w:proofErr w:type="spellStart"/>
      <w:r>
        <w:rPr>
          <w:rFonts w:ascii="Verdana" w:hAnsi="Verdana" w:cs="Verdana"/>
          <w:color w:val="000000"/>
        </w:rPr>
        <w:t>morfométricas</w:t>
      </w:r>
      <w:proofErr w:type="spellEnd"/>
      <w:r>
        <w:rPr>
          <w:rFonts w:ascii="Verdana" w:hAnsi="Verdana" w:cs="Verdana"/>
          <w:color w:val="000000"/>
        </w:rPr>
        <w:t xml:space="preserve"> de la placenta de término, en recién nacidos pequeños para la edad gestacional (PEG) en la ciudad de Temuco-Chile. </w:t>
      </w:r>
      <w:proofErr w:type="spellStart"/>
      <w:r>
        <w:rPr>
          <w:rFonts w:ascii="Verdana" w:hAnsi="Verdana" w:cs="Verdana"/>
          <w:color w:val="000000"/>
        </w:rPr>
        <w:t>Int</w:t>
      </w:r>
      <w:proofErr w:type="spellEnd"/>
      <w:r>
        <w:rPr>
          <w:rFonts w:ascii="Verdana" w:hAnsi="Verdana" w:cs="Verdana"/>
          <w:color w:val="000000"/>
        </w:rPr>
        <w:t xml:space="preserve">. J. </w:t>
      </w:r>
      <w:proofErr w:type="spellStart"/>
      <w:r>
        <w:rPr>
          <w:rFonts w:ascii="Verdana" w:hAnsi="Verdana" w:cs="Verdana"/>
          <w:color w:val="000000"/>
        </w:rPr>
        <w:t>Morphol</w:t>
      </w:r>
      <w:proofErr w:type="spellEnd"/>
      <w:r>
        <w:rPr>
          <w:rFonts w:ascii="Verdana" w:hAnsi="Verdana" w:cs="Verdana"/>
          <w:color w:val="000000"/>
        </w:rPr>
        <w:t>. 2008; 26(3):615-621.</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lang w:val="en-US"/>
        </w:rPr>
        <w:t xml:space="preserve">Salafi C, Zhang J, Charles A, </w:t>
      </w:r>
      <w:proofErr w:type="spellStart"/>
      <w:r>
        <w:rPr>
          <w:rFonts w:ascii="Verdana" w:hAnsi="Verdana" w:cs="Verdana"/>
          <w:color w:val="000000"/>
          <w:lang w:val="en-US"/>
        </w:rPr>
        <w:t>Bresnahan</w:t>
      </w:r>
      <w:proofErr w:type="spellEnd"/>
      <w:r>
        <w:rPr>
          <w:rFonts w:ascii="Verdana" w:hAnsi="Verdana" w:cs="Verdana"/>
          <w:color w:val="000000"/>
          <w:lang w:val="en-US"/>
        </w:rPr>
        <w:t xml:space="preserve"> M, </w:t>
      </w:r>
      <w:proofErr w:type="spellStart"/>
      <w:r>
        <w:rPr>
          <w:rFonts w:ascii="Verdana" w:hAnsi="Verdana" w:cs="Verdana"/>
          <w:color w:val="000000"/>
          <w:lang w:val="en-US"/>
        </w:rPr>
        <w:t>Shrout</w:t>
      </w:r>
      <w:proofErr w:type="spellEnd"/>
      <w:r>
        <w:rPr>
          <w:rFonts w:ascii="Verdana" w:hAnsi="Verdana" w:cs="Verdana"/>
          <w:color w:val="000000"/>
          <w:lang w:val="en-US"/>
        </w:rPr>
        <w:t xml:space="preserve"> P, Sun W, et al. </w:t>
      </w:r>
      <w:proofErr w:type="spellStart"/>
      <w:r>
        <w:rPr>
          <w:rFonts w:ascii="Verdana" w:hAnsi="Verdana" w:cs="Verdana"/>
          <w:color w:val="000000"/>
        </w:rPr>
        <w:t>Placental</w:t>
      </w:r>
      <w:proofErr w:type="spellEnd"/>
      <w:r>
        <w:rPr>
          <w:rFonts w:ascii="Verdana" w:hAnsi="Verdana" w:cs="Verdana"/>
          <w:color w:val="000000"/>
        </w:rPr>
        <w:t xml:space="preserve"> </w:t>
      </w:r>
      <w:proofErr w:type="spellStart"/>
      <w:r>
        <w:rPr>
          <w:rFonts w:ascii="Verdana" w:hAnsi="Verdana" w:cs="Verdana"/>
          <w:color w:val="000000"/>
        </w:rPr>
        <w:t>characteristics</w:t>
      </w:r>
      <w:proofErr w:type="spellEnd"/>
      <w:r>
        <w:rPr>
          <w:rFonts w:ascii="Verdana" w:hAnsi="Verdana" w:cs="Verdana"/>
          <w:color w:val="000000"/>
        </w:rPr>
        <w:t xml:space="preserve"> and </w:t>
      </w:r>
      <w:proofErr w:type="spellStart"/>
      <w:r>
        <w:rPr>
          <w:rFonts w:ascii="Verdana" w:hAnsi="Verdana" w:cs="Verdana"/>
          <w:color w:val="000000"/>
        </w:rPr>
        <w:t>birthweight</w:t>
      </w:r>
      <w:proofErr w:type="spellEnd"/>
      <w:r>
        <w:rPr>
          <w:rFonts w:ascii="Verdana" w:hAnsi="Verdana" w:cs="Verdana"/>
          <w:color w:val="000000"/>
        </w:rPr>
        <w:t xml:space="preserve">. </w:t>
      </w:r>
      <w:proofErr w:type="spellStart"/>
      <w:r>
        <w:rPr>
          <w:rFonts w:ascii="Verdana" w:hAnsi="Verdana" w:cs="Verdana"/>
          <w:color w:val="000000"/>
        </w:rPr>
        <w:t>Paediatric</w:t>
      </w:r>
      <w:proofErr w:type="spellEnd"/>
      <w:r>
        <w:rPr>
          <w:rFonts w:ascii="Verdana" w:hAnsi="Verdana" w:cs="Verdana"/>
          <w:color w:val="000000"/>
        </w:rPr>
        <w:t xml:space="preserve"> and Perinatal </w:t>
      </w:r>
      <w:proofErr w:type="spellStart"/>
      <w:r>
        <w:rPr>
          <w:rFonts w:ascii="Verdana" w:hAnsi="Verdana" w:cs="Verdana"/>
          <w:color w:val="000000"/>
        </w:rPr>
        <w:t>Epidemiology</w:t>
      </w:r>
      <w:proofErr w:type="spellEnd"/>
      <w:r>
        <w:rPr>
          <w:rFonts w:ascii="Verdana" w:hAnsi="Verdana" w:cs="Verdana"/>
          <w:color w:val="000000"/>
        </w:rPr>
        <w:t xml:space="preserve"> </w:t>
      </w:r>
      <w:proofErr w:type="gramStart"/>
      <w:r>
        <w:rPr>
          <w:rFonts w:ascii="Verdana" w:hAnsi="Verdana" w:cs="Verdana"/>
          <w:color w:val="000000"/>
        </w:rPr>
        <w:t>2008;22:229</w:t>
      </w:r>
      <w:proofErr w:type="gramEnd"/>
      <w:r>
        <w:rPr>
          <w:rFonts w:ascii="Verdana" w:hAnsi="Verdana" w:cs="Verdana"/>
          <w:color w:val="000000"/>
        </w:rPr>
        <w:t>-239.</w:t>
      </w:r>
    </w:p>
    <w:p w:rsidR="00D71650" w:rsidRDefault="009503D6">
      <w:pPr>
        <w:pStyle w:val="Prrafodelista1"/>
        <w:numPr>
          <w:ilvl w:val="0"/>
          <w:numId w:val="3"/>
        </w:numPr>
        <w:spacing w:after="160" w:line="360" w:lineRule="auto"/>
        <w:jc w:val="both"/>
        <w:rPr>
          <w:rFonts w:ascii="Verdana" w:hAnsi="Verdana" w:cs="Verdana"/>
          <w:color w:val="000000"/>
        </w:rPr>
      </w:pPr>
      <w:proofErr w:type="spellStart"/>
      <w:r>
        <w:rPr>
          <w:rFonts w:ascii="Verdana" w:hAnsi="Verdana" w:cs="Verdana"/>
          <w:color w:val="000000"/>
          <w:lang w:val="en-US"/>
        </w:rPr>
        <w:t>Cindrova</w:t>
      </w:r>
      <w:proofErr w:type="spellEnd"/>
      <w:r>
        <w:rPr>
          <w:rFonts w:ascii="Verdana" w:hAnsi="Verdana" w:cs="Verdana"/>
          <w:color w:val="000000"/>
          <w:lang w:val="en-US"/>
        </w:rPr>
        <w:t xml:space="preserve"> </w:t>
      </w:r>
      <w:proofErr w:type="spellStart"/>
      <w:r>
        <w:rPr>
          <w:rFonts w:ascii="Verdana" w:hAnsi="Verdana" w:cs="Verdana"/>
          <w:color w:val="000000"/>
          <w:lang w:val="en-US"/>
        </w:rPr>
        <w:t>Daviesa</w:t>
      </w:r>
      <w:proofErr w:type="spellEnd"/>
      <w:r>
        <w:rPr>
          <w:rFonts w:ascii="Verdana" w:hAnsi="Verdana" w:cs="Verdana"/>
          <w:color w:val="000000"/>
          <w:lang w:val="en-US"/>
        </w:rPr>
        <w:t xml:space="preserve"> T, </w:t>
      </w:r>
      <w:proofErr w:type="spellStart"/>
      <w:r>
        <w:rPr>
          <w:rFonts w:ascii="Verdana" w:hAnsi="Verdana" w:cs="Verdana"/>
          <w:color w:val="000000"/>
          <w:lang w:val="en-US"/>
        </w:rPr>
        <w:t>Fogartya</w:t>
      </w:r>
      <w:proofErr w:type="spellEnd"/>
      <w:r>
        <w:rPr>
          <w:rFonts w:ascii="Verdana" w:hAnsi="Verdana" w:cs="Verdana"/>
          <w:color w:val="000000"/>
          <w:lang w:val="en-US"/>
        </w:rPr>
        <w:t xml:space="preserve"> N, </w:t>
      </w:r>
      <w:proofErr w:type="spellStart"/>
      <w:r>
        <w:rPr>
          <w:rFonts w:ascii="Verdana" w:hAnsi="Verdana" w:cs="Verdana"/>
          <w:color w:val="000000"/>
          <w:lang w:val="en-US"/>
        </w:rPr>
        <w:t>Jonesc</w:t>
      </w:r>
      <w:proofErr w:type="spellEnd"/>
      <w:r>
        <w:rPr>
          <w:rFonts w:ascii="Verdana" w:hAnsi="Verdana" w:cs="Verdana"/>
          <w:color w:val="000000"/>
          <w:lang w:val="en-US"/>
        </w:rPr>
        <w:t xml:space="preserve"> C, </w:t>
      </w:r>
      <w:proofErr w:type="spellStart"/>
      <w:r>
        <w:rPr>
          <w:rFonts w:ascii="Verdana" w:hAnsi="Verdana" w:cs="Verdana"/>
          <w:color w:val="000000"/>
          <w:lang w:val="en-US"/>
        </w:rPr>
        <w:t>Kingdomd</w:t>
      </w:r>
      <w:proofErr w:type="spellEnd"/>
      <w:r>
        <w:rPr>
          <w:rFonts w:ascii="Verdana" w:hAnsi="Verdana" w:cs="Verdana"/>
          <w:color w:val="000000"/>
          <w:lang w:val="en-US"/>
        </w:rPr>
        <w:t xml:space="preserve"> J, Burton G. Evidence of oxidative stress-induced senescence in mature, post-mature and pathological human placentas. </w:t>
      </w:r>
      <w:r>
        <w:rPr>
          <w:rFonts w:ascii="Verdana" w:hAnsi="Verdana" w:cs="Verdana"/>
          <w:color w:val="000000"/>
        </w:rPr>
        <w:t xml:space="preserve">Placenta [internet] 2018 [citado 2 feb 2020];68: 15-22. Disponible en: </w:t>
      </w:r>
      <w:hyperlink r:id="rId12" w:history="1">
        <w:r w:rsidR="00F177BB" w:rsidRPr="003922AC">
          <w:rPr>
            <w:rStyle w:val="Hipervnculo"/>
            <w:rFonts w:ascii="Verdana" w:hAnsi="Verdana" w:cs="Verdana"/>
          </w:rPr>
          <w:t>www.elsevier.com/locate/placenta</w:t>
        </w:r>
      </w:hyperlink>
    </w:p>
    <w:p w:rsidR="00F177BB" w:rsidRPr="00F177BB" w:rsidRDefault="00F177BB" w:rsidP="004456D2">
      <w:pPr>
        <w:pStyle w:val="Prrafodelista"/>
        <w:numPr>
          <w:ilvl w:val="0"/>
          <w:numId w:val="3"/>
        </w:numPr>
        <w:spacing w:line="360" w:lineRule="auto"/>
        <w:jc w:val="both"/>
        <w:rPr>
          <w:rFonts w:ascii="Verdana" w:eastAsia="Calibri" w:hAnsi="Verdana" w:cs="Verdana"/>
          <w:color w:val="000000"/>
        </w:rPr>
      </w:pPr>
      <w:proofErr w:type="spellStart"/>
      <w:r w:rsidRPr="00F177BB">
        <w:rPr>
          <w:rFonts w:ascii="Verdana" w:eastAsia="Calibri" w:hAnsi="Verdana" w:cs="Verdana"/>
          <w:color w:val="000000"/>
        </w:rPr>
        <w:t>Motawea</w:t>
      </w:r>
      <w:proofErr w:type="spellEnd"/>
      <w:r w:rsidRPr="00F177BB">
        <w:rPr>
          <w:rFonts w:ascii="Verdana" w:eastAsia="Calibri" w:hAnsi="Verdana" w:cs="Verdana"/>
          <w:color w:val="000000"/>
        </w:rPr>
        <w:t xml:space="preserve"> HKB, </w:t>
      </w:r>
      <w:proofErr w:type="spellStart"/>
      <w:r w:rsidRPr="00F177BB">
        <w:rPr>
          <w:rFonts w:ascii="Verdana" w:eastAsia="Calibri" w:hAnsi="Verdana" w:cs="Verdana"/>
          <w:color w:val="000000"/>
        </w:rPr>
        <w:t>Chotani</w:t>
      </w:r>
      <w:proofErr w:type="spellEnd"/>
      <w:r w:rsidRPr="00F177BB">
        <w:rPr>
          <w:rFonts w:ascii="Verdana" w:eastAsia="Calibri" w:hAnsi="Verdana" w:cs="Verdana"/>
          <w:color w:val="000000"/>
        </w:rPr>
        <w:t xml:space="preserve"> MA, Ali M, </w:t>
      </w:r>
      <w:proofErr w:type="spellStart"/>
      <w:r w:rsidRPr="00F177BB">
        <w:rPr>
          <w:rFonts w:ascii="Verdana" w:eastAsia="Calibri" w:hAnsi="Verdana" w:cs="Verdana"/>
          <w:color w:val="000000"/>
        </w:rPr>
        <w:t>Ackerman</w:t>
      </w:r>
      <w:proofErr w:type="spellEnd"/>
      <w:r w:rsidRPr="00F177BB">
        <w:rPr>
          <w:rFonts w:ascii="Verdana" w:eastAsia="Calibri" w:hAnsi="Verdana" w:cs="Verdana"/>
          <w:color w:val="000000"/>
        </w:rPr>
        <w:t xml:space="preserve"> W, </w:t>
      </w:r>
      <w:proofErr w:type="spellStart"/>
      <w:r w:rsidRPr="00F177BB">
        <w:rPr>
          <w:rFonts w:ascii="Verdana" w:eastAsia="Calibri" w:hAnsi="Verdana" w:cs="Verdana"/>
          <w:color w:val="000000"/>
        </w:rPr>
        <w:t>Zhao</w:t>
      </w:r>
      <w:proofErr w:type="spellEnd"/>
      <w:r w:rsidRPr="00F177BB">
        <w:rPr>
          <w:rFonts w:ascii="Verdana" w:eastAsia="Calibri" w:hAnsi="Verdana" w:cs="Verdana"/>
          <w:color w:val="000000"/>
        </w:rPr>
        <w:t xml:space="preserve"> G, Ahmed AAE, </w:t>
      </w:r>
      <w:proofErr w:type="spellStart"/>
      <w:r w:rsidRPr="00F177BB">
        <w:rPr>
          <w:rFonts w:ascii="Verdana" w:eastAsia="Calibri" w:hAnsi="Verdana" w:cs="Verdana"/>
          <w:color w:val="000000"/>
        </w:rPr>
        <w:t>Buhimschi</w:t>
      </w:r>
      <w:proofErr w:type="spellEnd"/>
      <w:r w:rsidRPr="00F177BB">
        <w:rPr>
          <w:rFonts w:ascii="Verdana" w:eastAsia="Calibri" w:hAnsi="Verdana" w:cs="Verdana"/>
          <w:color w:val="000000"/>
        </w:rPr>
        <w:t xml:space="preserve"> CS, </w:t>
      </w:r>
      <w:proofErr w:type="spellStart"/>
      <w:r w:rsidRPr="00F177BB">
        <w:rPr>
          <w:rFonts w:ascii="Verdana" w:eastAsia="Calibri" w:hAnsi="Verdana" w:cs="Verdana"/>
          <w:color w:val="000000"/>
        </w:rPr>
        <w:t>Buhimschi</w:t>
      </w:r>
      <w:proofErr w:type="spellEnd"/>
      <w:r w:rsidRPr="00F177BB">
        <w:rPr>
          <w:rFonts w:ascii="Verdana" w:eastAsia="Calibri" w:hAnsi="Verdana" w:cs="Verdana"/>
          <w:color w:val="000000"/>
        </w:rPr>
        <w:t xml:space="preserve"> IA. Human Placenta </w:t>
      </w:r>
      <w:proofErr w:type="spellStart"/>
      <w:r w:rsidRPr="00F177BB">
        <w:rPr>
          <w:rFonts w:ascii="Verdana" w:eastAsia="Calibri" w:hAnsi="Verdana" w:cs="Verdana"/>
          <w:color w:val="000000"/>
        </w:rPr>
        <w:t>Expresses</w:t>
      </w:r>
      <w:proofErr w:type="spellEnd"/>
      <w:r w:rsidRPr="00F177BB">
        <w:rPr>
          <w:rFonts w:ascii="Verdana" w:eastAsia="Calibri" w:hAnsi="Verdana" w:cs="Verdana"/>
          <w:color w:val="000000"/>
        </w:rPr>
        <w:t xml:space="preserve"> α2-Adrenergic </w:t>
      </w:r>
      <w:proofErr w:type="spellStart"/>
      <w:r w:rsidRPr="00F177BB">
        <w:rPr>
          <w:rFonts w:ascii="Verdana" w:eastAsia="Calibri" w:hAnsi="Verdana" w:cs="Verdana"/>
          <w:color w:val="000000"/>
        </w:rPr>
        <w:t>Receptors</w:t>
      </w:r>
      <w:proofErr w:type="spellEnd"/>
      <w:r w:rsidRPr="00F177BB">
        <w:rPr>
          <w:rFonts w:ascii="Verdana" w:eastAsia="Calibri" w:hAnsi="Verdana" w:cs="Verdana"/>
          <w:color w:val="000000"/>
        </w:rPr>
        <w:t xml:space="preserve"> and </w:t>
      </w:r>
      <w:proofErr w:type="spellStart"/>
      <w:r w:rsidRPr="00F177BB">
        <w:rPr>
          <w:rFonts w:ascii="Verdana" w:eastAsia="Calibri" w:hAnsi="Verdana" w:cs="Verdana"/>
          <w:color w:val="000000"/>
        </w:rPr>
        <w:t>May</w:t>
      </w:r>
      <w:proofErr w:type="spellEnd"/>
      <w:r w:rsidRPr="00F177BB">
        <w:rPr>
          <w:rFonts w:ascii="Verdana" w:eastAsia="Calibri" w:hAnsi="Verdana" w:cs="Verdana"/>
          <w:color w:val="000000"/>
        </w:rPr>
        <w:t xml:space="preserve"> Be </w:t>
      </w:r>
      <w:proofErr w:type="spellStart"/>
      <w:r w:rsidRPr="00F177BB">
        <w:rPr>
          <w:rFonts w:ascii="Verdana" w:eastAsia="Calibri" w:hAnsi="Verdana" w:cs="Verdana"/>
          <w:color w:val="000000"/>
        </w:rPr>
        <w:t>Implicated</w:t>
      </w:r>
      <w:proofErr w:type="spellEnd"/>
      <w:r w:rsidRPr="00F177BB">
        <w:rPr>
          <w:rFonts w:ascii="Verdana" w:eastAsia="Calibri" w:hAnsi="Verdana" w:cs="Verdana"/>
          <w:color w:val="000000"/>
        </w:rPr>
        <w:t xml:space="preserve"> in </w:t>
      </w:r>
      <w:proofErr w:type="spellStart"/>
      <w:r w:rsidRPr="00F177BB">
        <w:rPr>
          <w:rFonts w:ascii="Verdana" w:eastAsia="Calibri" w:hAnsi="Verdana" w:cs="Verdana"/>
          <w:color w:val="000000"/>
        </w:rPr>
        <w:t>Pathogenesis</w:t>
      </w:r>
      <w:proofErr w:type="spellEnd"/>
      <w:r w:rsidRPr="00F177BB">
        <w:rPr>
          <w:rFonts w:ascii="Verdana" w:eastAsia="Calibri" w:hAnsi="Verdana" w:cs="Verdana"/>
          <w:color w:val="000000"/>
        </w:rPr>
        <w:t xml:space="preserve"> of </w:t>
      </w:r>
      <w:proofErr w:type="spellStart"/>
      <w:r w:rsidRPr="00F177BB">
        <w:rPr>
          <w:rFonts w:ascii="Verdana" w:eastAsia="Calibri" w:hAnsi="Verdana" w:cs="Verdana"/>
          <w:color w:val="000000"/>
        </w:rPr>
        <w:t>Preeclampsia</w:t>
      </w:r>
      <w:proofErr w:type="spellEnd"/>
      <w:r w:rsidRPr="00F177BB">
        <w:rPr>
          <w:rFonts w:ascii="Verdana" w:eastAsia="Calibri" w:hAnsi="Verdana" w:cs="Verdana"/>
          <w:color w:val="000000"/>
        </w:rPr>
        <w:t xml:space="preserve"> and Fetal </w:t>
      </w:r>
      <w:proofErr w:type="spellStart"/>
      <w:r w:rsidRPr="00F177BB">
        <w:rPr>
          <w:rFonts w:ascii="Verdana" w:eastAsia="Calibri" w:hAnsi="Verdana" w:cs="Verdana"/>
          <w:color w:val="000000"/>
        </w:rPr>
        <w:t>Growth</w:t>
      </w:r>
      <w:proofErr w:type="spellEnd"/>
      <w:r w:rsidRPr="00F177BB">
        <w:rPr>
          <w:rFonts w:ascii="Verdana" w:eastAsia="Calibri" w:hAnsi="Verdana" w:cs="Verdana"/>
          <w:color w:val="000000"/>
        </w:rPr>
        <w:t xml:space="preserve"> </w:t>
      </w:r>
      <w:proofErr w:type="spellStart"/>
      <w:r w:rsidRPr="00F177BB">
        <w:rPr>
          <w:rFonts w:ascii="Verdana" w:eastAsia="Calibri" w:hAnsi="Verdana" w:cs="Verdana"/>
          <w:color w:val="000000"/>
        </w:rPr>
        <w:t>Restriction</w:t>
      </w:r>
      <w:proofErr w:type="spellEnd"/>
      <w:r w:rsidRPr="00F177BB">
        <w:rPr>
          <w:rFonts w:ascii="Verdana" w:eastAsia="Calibri" w:hAnsi="Verdana" w:cs="Verdana"/>
          <w:color w:val="000000"/>
        </w:rPr>
        <w:t xml:space="preserve">. Am J </w:t>
      </w:r>
      <w:proofErr w:type="spellStart"/>
      <w:r w:rsidRPr="00F177BB">
        <w:rPr>
          <w:rFonts w:ascii="Verdana" w:eastAsia="Calibri" w:hAnsi="Verdana" w:cs="Verdana"/>
          <w:color w:val="000000"/>
        </w:rPr>
        <w:t>Pathol</w:t>
      </w:r>
      <w:proofErr w:type="spellEnd"/>
      <w:r w:rsidRPr="00F177BB">
        <w:rPr>
          <w:rFonts w:ascii="Verdana" w:eastAsia="Calibri" w:hAnsi="Verdana" w:cs="Verdana"/>
          <w:color w:val="000000"/>
        </w:rPr>
        <w:t>. [internet] 2018 [citado 2 feb 2020]   ;188(12):2774-2785. Disponible en: https://www.ncbi.nlm.nih.gov/pmc/articles/PMC6284550/</w:t>
      </w:r>
    </w:p>
    <w:p w:rsidR="00D71650" w:rsidRDefault="009503D6">
      <w:pPr>
        <w:pStyle w:val="Prrafodelista1"/>
        <w:numPr>
          <w:ilvl w:val="0"/>
          <w:numId w:val="3"/>
        </w:numPr>
        <w:spacing w:after="160" w:line="360" w:lineRule="auto"/>
        <w:jc w:val="both"/>
        <w:rPr>
          <w:rFonts w:ascii="Verdana" w:hAnsi="Verdana" w:cs="Verdana"/>
          <w:color w:val="000000"/>
        </w:rPr>
      </w:pPr>
      <w:r>
        <w:rPr>
          <w:rFonts w:ascii="Verdana" w:hAnsi="Verdana" w:cs="Verdana"/>
          <w:color w:val="000000"/>
        </w:rPr>
        <w:t xml:space="preserve">González Torres E. Apoptosis y necrosis </w:t>
      </w:r>
      <w:proofErr w:type="spellStart"/>
      <w:r>
        <w:rPr>
          <w:rFonts w:ascii="Verdana" w:hAnsi="Verdana" w:cs="Verdana"/>
          <w:color w:val="000000"/>
        </w:rPr>
        <w:t>sincitial</w:t>
      </w:r>
      <w:proofErr w:type="spellEnd"/>
      <w:r>
        <w:rPr>
          <w:rFonts w:ascii="Verdana" w:hAnsi="Verdana" w:cs="Verdana"/>
          <w:color w:val="000000"/>
        </w:rPr>
        <w:t xml:space="preserve"> placentaria: correlación con </w:t>
      </w:r>
      <w:proofErr w:type="spellStart"/>
      <w:r>
        <w:rPr>
          <w:rFonts w:ascii="Verdana" w:hAnsi="Verdana" w:cs="Verdana"/>
          <w:color w:val="000000"/>
        </w:rPr>
        <w:t>preeclampsia</w:t>
      </w:r>
      <w:proofErr w:type="spellEnd"/>
      <w:r>
        <w:rPr>
          <w:rFonts w:ascii="Verdana" w:hAnsi="Verdana" w:cs="Verdana"/>
          <w:color w:val="000000"/>
        </w:rPr>
        <w:t xml:space="preserve"> leve y severa y resultados perinatales adversos en el hospital general de </w:t>
      </w:r>
      <w:proofErr w:type="spellStart"/>
      <w:r>
        <w:rPr>
          <w:rFonts w:ascii="Verdana" w:hAnsi="Verdana" w:cs="Verdana"/>
          <w:color w:val="000000"/>
        </w:rPr>
        <w:t>Atizapan</w:t>
      </w:r>
      <w:proofErr w:type="spellEnd"/>
      <w:r>
        <w:rPr>
          <w:rFonts w:ascii="Verdana" w:hAnsi="Verdana" w:cs="Verdana"/>
          <w:color w:val="000000"/>
        </w:rPr>
        <w:t xml:space="preserve"> del 1 de enero al 30 de diciembre de 2013. [Tesis]. Toluca, Méjico. 2014</w:t>
      </w:r>
    </w:p>
    <w:p w:rsidR="00D71650" w:rsidRDefault="009503D6">
      <w:pPr>
        <w:pStyle w:val="Prrafodelista1"/>
        <w:numPr>
          <w:ilvl w:val="0"/>
          <w:numId w:val="3"/>
        </w:numPr>
        <w:spacing w:after="160" w:line="360" w:lineRule="auto"/>
        <w:ind w:left="708"/>
        <w:jc w:val="both"/>
        <w:rPr>
          <w:rFonts w:ascii="Verdana" w:hAnsi="Verdana" w:cs="Verdana"/>
        </w:rPr>
      </w:pPr>
      <w:proofErr w:type="spellStart"/>
      <w:r>
        <w:rPr>
          <w:rFonts w:ascii="Verdana" w:hAnsi="Verdana" w:cs="Verdana"/>
          <w:color w:val="000000"/>
        </w:rPr>
        <w:t>Than</w:t>
      </w:r>
      <w:proofErr w:type="spellEnd"/>
      <w:r>
        <w:rPr>
          <w:rFonts w:ascii="Verdana" w:hAnsi="Verdana" w:cs="Verdana"/>
          <w:color w:val="000000"/>
        </w:rPr>
        <w:t xml:space="preserve"> NG, Romero R, Tarca AL, </w:t>
      </w:r>
      <w:proofErr w:type="spellStart"/>
      <w:r>
        <w:rPr>
          <w:rFonts w:ascii="Verdana" w:hAnsi="Verdana" w:cs="Verdana"/>
          <w:color w:val="000000"/>
        </w:rPr>
        <w:t>Kekesi</w:t>
      </w:r>
      <w:proofErr w:type="spellEnd"/>
      <w:r>
        <w:rPr>
          <w:rFonts w:ascii="Verdana" w:hAnsi="Verdana" w:cs="Verdana"/>
          <w:color w:val="000000"/>
        </w:rPr>
        <w:t xml:space="preserve"> KA, </w:t>
      </w:r>
      <w:proofErr w:type="spellStart"/>
      <w:r>
        <w:rPr>
          <w:rFonts w:ascii="Verdana" w:hAnsi="Verdana" w:cs="Verdana"/>
          <w:color w:val="000000"/>
        </w:rPr>
        <w:t>Xu</w:t>
      </w:r>
      <w:proofErr w:type="spellEnd"/>
      <w:r>
        <w:rPr>
          <w:rFonts w:ascii="Verdana" w:hAnsi="Verdana" w:cs="Verdana"/>
          <w:color w:val="000000"/>
        </w:rPr>
        <w:t xml:space="preserve"> Y, </w:t>
      </w:r>
      <w:proofErr w:type="spellStart"/>
      <w:r>
        <w:rPr>
          <w:rFonts w:ascii="Verdana" w:hAnsi="Verdana" w:cs="Verdana"/>
          <w:color w:val="000000"/>
        </w:rPr>
        <w:t>Xu</w:t>
      </w:r>
      <w:proofErr w:type="spellEnd"/>
      <w:r>
        <w:rPr>
          <w:rFonts w:ascii="Verdana" w:hAnsi="Verdana" w:cs="Verdana"/>
          <w:color w:val="000000"/>
        </w:rPr>
        <w:t xml:space="preserve"> Z, et al. </w:t>
      </w:r>
      <w:r>
        <w:rPr>
          <w:rFonts w:ascii="Verdana" w:hAnsi="Verdana" w:cs="Verdana"/>
          <w:color w:val="000000"/>
          <w:lang w:val="en-US"/>
        </w:rPr>
        <w:t xml:space="preserve">Integrated Systems Biology Approach </w:t>
      </w:r>
      <w:proofErr w:type="spellStart"/>
      <w:r>
        <w:rPr>
          <w:rFonts w:ascii="Verdana" w:hAnsi="Verdana" w:cs="Verdana"/>
          <w:color w:val="000000"/>
          <w:lang w:val="en-US"/>
        </w:rPr>
        <w:t>Identifis</w:t>
      </w:r>
      <w:proofErr w:type="spellEnd"/>
      <w:r>
        <w:rPr>
          <w:rFonts w:ascii="Verdana" w:hAnsi="Verdana" w:cs="Verdana"/>
          <w:color w:val="000000"/>
          <w:lang w:val="en-US"/>
        </w:rPr>
        <w:t xml:space="preserve"> Novel Maternal and Placental Pathways of Preeclampsia. </w:t>
      </w:r>
      <w:r>
        <w:rPr>
          <w:rFonts w:ascii="Verdana" w:hAnsi="Verdana" w:cs="Verdana"/>
          <w:color w:val="000000"/>
        </w:rPr>
        <w:t xml:space="preserve">Front. </w:t>
      </w:r>
      <w:proofErr w:type="spellStart"/>
      <w:r>
        <w:rPr>
          <w:rFonts w:ascii="Verdana" w:hAnsi="Verdana" w:cs="Verdana"/>
          <w:color w:val="000000"/>
        </w:rPr>
        <w:t>Immunol</w:t>
      </w:r>
      <w:proofErr w:type="spellEnd"/>
      <w:r>
        <w:rPr>
          <w:rFonts w:ascii="Verdana" w:hAnsi="Verdana" w:cs="Verdana"/>
          <w:color w:val="000000"/>
        </w:rPr>
        <w:t>. 2018; 9:1661.</w:t>
      </w:r>
    </w:p>
    <w:p w:rsidR="00D71650" w:rsidRDefault="00604115">
      <w:pPr>
        <w:spacing w:after="120" w:line="360" w:lineRule="auto"/>
        <w:jc w:val="both"/>
        <w:rPr>
          <w:rFonts w:ascii="Verdana" w:hAnsi="Verdana" w:cs="Verdana"/>
          <w:b/>
        </w:rPr>
      </w:pPr>
      <w:r>
        <w:rPr>
          <w:rFonts w:ascii="Verdana" w:hAnsi="Verdana" w:cs="Verdana"/>
          <w:b/>
        </w:rPr>
        <w:lastRenderedPageBreak/>
        <w:t xml:space="preserve">Anexo I. </w:t>
      </w:r>
    </w:p>
    <w:p w:rsidR="00D71650" w:rsidRDefault="00DA7EC1">
      <w:pPr>
        <w:spacing w:after="120" w:line="360" w:lineRule="auto"/>
        <w:jc w:val="both"/>
        <w:rPr>
          <w:rFonts w:ascii="Verdana" w:hAnsi="Verdana" w:cs="Verdana"/>
          <w:b/>
        </w:rPr>
      </w:pPr>
      <w:r w:rsidRPr="00DA7EC1">
        <w:rPr>
          <w:rFonts w:ascii="Verdana" w:hAnsi="Verdana" w:cs="Verdana"/>
          <w:b/>
          <w:noProof/>
          <w:lang w:eastAsia="es-ES"/>
        </w:rPr>
        <w:drawing>
          <wp:inline distT="0" distB="0" distL="0" distR="0">
            <wp:extent cx="6132830" cy="5167222"/>
            <wp:effectExtent l="0" t="0" r="1270" b="0"/>
            <wp:docPr id="1" name="Imagen 1" descr="C:\Users\Yolina\Pictures\v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lina\Pictures\ve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6588" cy="5220941"/>
                    </a:xfrm>
                    <a:prstGeom prst="rect">
                      <a:avLst/>
                    </a:prstGeom>
                    <a:noFill/>
                    <a:ln>
                      <a:noFill/>
                    </a:ln>
                  </pic:spPr>
                </pic:pic>
              </a:graphicData>
            </a:graphic>
          </wp:inline>
        </w:drawing>
      </w:r>
    </w:p>
    <w:p w:rsidR="00D71650" w:rsidRDefault="00585578">
      <w:pPr>
        <w:spacing w:after="120" w:line="360" w:lineRule="auto"/>
        <w:jc w:val="both"/>
        <w:rPr>
          <w:rFonts w:ascii="Verdana" w:hAnsi="Verdana" w:cs="Verdana"/>
          <w:b/>
        </w:rPr>
      </w:pPr>
      <w:r>
        <w:rPr>
          <w:rFonts w:ascii="Verdana" w:hAnsi="Verdana" w:cs="Verdana"/>
          <w:b/>
        </w:rPr>
        <w:t xml:space="preserve">Figura 1. Área de la </w:t>
      </w:r>
      <w:proofErr w:type="spellStart"/>
      <w:r>
        <w:rPr>
          <w:rFonts w:ascii="Verdana" w:hAnsi="Verdana" w:cs="Verdana"/>
          <w:b/>
        </w:rPr>
        <w:t>vellocidad</w:t>
      </w:r>
      <w:proofErr w:type="spellEnd"/>
      <w:r>
        <w:rPr>
          <w:rFonts w:ascii="Verdana" w:hAnsi="Verdana" w:cs="Verdana"/>
          <w:b/>
        </w:rPr>
        <w:t xml:space="preserve"> placentaria (</w:t>
      </w:r>
      <w:r w:rsidR="009503D6">
        <w:rPr>
          <w:rFonts w:ascii="Verdana" w:hAnsi="Verdana" w:cs="Verdana"/>
          <w:b/>
        </w:rPr>
        <w:t>Hematoxilina y Eosina</w:t>
      </w:r>
      <w:r>
        <w:rPr>
          <w:rFonts w:ascii="Verdana" w:hAnsi="Verdana" w:cs="Verdana"/>
          <w:b/>
        </w:rPr>
        <w:t>)</w:t>
      </w: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p>
    <w:p w:rsidR="005615ED" w:rsidRDefault="005615ED">
      <w:pPr>
        <w:spacing w:after="120" w:line="360" w:lineRule="auto"/>
        <w:jc w:val="both"/>
        <w:rPr>
          <w:rFonts w:ascii="Verdana" w:hAnsi="Verdana" w:cs="Verdana"/>
          <w:b/>
        </w:rPr>
      </w:pPr>
      <w:r>
        <w:rPr>
          <w:rFonts w:ascii="Verdana" w:hAnsi="Verdana" w:cs="Verdana"/>
          <w:b/>
        </w:rPr>
        <w:lastRenderedPageBreak/>
        <w:t xml:space="preserve">Anexo II. </w:t>
      </w:r>
    </w:p>
    <w:p w:rsidR="005615ED" w:rsidRDefault="00DA7EC1">
      <w:pPr>
        <w:spacing w:after="120" w:line="360" w:lineRule="auto"/>
        <w:jc w:val="both"/>
        <w:rPr>
          <w:rFonts w:ascii="Verdana" w:hAnsi="Verdana" w:cs="Verdana"/>
          <w:b/>
        </w:rPr>
      </w:pPr>
      <w:r w:rsidRPr="00DA7EC1">
        <w:rPr>
          <w:rFonts w:ascii="Verdana" w:hAnsi="Verdana" w:cs="Verdana"/>
          <w:b/>
          <w:noProof/>
          <w:lang w:eastAsia="es-ES"/>
        </w:rPr>
        <w:drawing>
          <wp:inline distT="0" distB="0" distL="0" distR="0">
            <wp:extent cx="6201327" cy="4675517"/>
            <wp:effectExtent l="0" t="0" r="9525" b="0"/>
            <wp:docPr id="3" name="Imagen 3" descr="C:\Users\Yolina\Pictures\F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lina\Pictures\Fi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8209" cy="4695785"/>
                    </a:xfrm>
                    <a:prstGeom prst="rect">
                      <a:avLst/>
                    </a:prstGeom>
                    <a:noFill/>
                    <a:ln>
                      <a:noFill/>
                    </a:ln>
                  </pic:spPr>
                </pic:pic>
              </a:graphicData>
            </a:graphic>
          </wp:inline>
        </w:drawing>
      </w:r>
    </w:p>
    <w:p w:rsidR="00D71650" w:rsidRDefault="00585578" w:rsidP="00924C64">
      <w:pPr>
        <w:spacing w:after="120" w:line="360" w:lineRule="auto"/>
        <w:jc w:val="both"/>
        <w:rPr>
          <w:rFonts w:ascii="Verdana" w:hAnsi="Verdana" w:cs="Verdana"/>
          <w:b/>
        </w:rPr>
      </w:pPr>
      <w:r>
        <w:rPr>
          <w:rFonts w:ascii="Verdana" w:hAnsi="Verdana" w:cs="Verdana"/>
          <w:b/>
        </w:rPr>
        <w:t xml:space="preserve">Figura 2. </w:t>
      </w:r>
      <w:r>
        <w:rPr>
          <w:rFonts w:ascii="Verdana" w:hAnsi="Verdana" w:cs="Verdana"/>
          <w:b/>
        </w:rPr>
        <w:t>Densidad óptica de fibrina en la superficie de la vellosidad placentaria</w:t>
      </w:r>
      <w:r>
        <w:rPr>
          <w:rFonts w:ascii="Verdana" w:hAnsi="Verdana" w:cs="Verdana"/>
          <w:b/>
        </w:rPr>
        <w:t xml:space="preserve"> (</w:t>
      </w:r>
      <w:r w:rsidR="005615ED">
        <w:rPr>
          <w:rFonts w:ascii="Verdana" w:hAnsi="Verdana" w:cs="Verdana"/>
          <w:b/>
        </w:rPr>
        <w:t xml:space="preserve">Hematoxilina </w:t>
      </w:r>
      <w:r w:rsidR="005615ED">
        <w:rPr>
          <w:rFonts w:ascii="Verdana" w:hAnsi="Verdana" w:cs="Verdana"/>
          <w:b/>
          <w:color w:val="231F20"/>
        </w:rPr>
        <w:t xml:space="preserve">ácida </w:t>
      </w:r>
      <w:proofErr w:type="spellStart"/>
      <w:r w:rsidR="005615ED">
        <w:rPr>
          <w:rFonts w:ascii="Verdana" w:hAnsi="Verdana" w:cs="Verdana"/>
          <w:b/>
        </w:rPr>
        <w:t>fosfotúnsgtica</w:t>
      </w:r>
      <w:proofErr w:type="spellEnd"/>
      <w:r>
        <w:rPr>
          <w:rFonts w:ascii="Verdana" w:hAnsi="Verdana" w:cs="Verdana"/>
          <w:b/>
        </w:rPr>
        <w:t>)</w:t>
      </w:r>
      <w:r w:rsidR="009503D6">
        <w:rPr>
          <w:rFonts w:ascii="Verdana" w:hAnsi="Verdana" w:cs="Verdana"/>
          <w:b/>
        </w:rPr>
        <w:t xml:space="preserve">            </w:t>
      </w:r>
    </w:p>
    <w:p w:rsidR="00D71650" w:rsidRDefault="00D71650">
      <w:pPr>
        <w:spacing w:after="120" w:line="360" w:lineRule="auto"/>
        <w:ind w:left="-1701"/>
        <w:jc w:val="both"/>
        <w:rPr>
          <w:rFonts w:ascii="Verdana" w:hAnsi="Verdana" w:cs="Verdana"/>
          <w:b/>
        </w:rPr>
      </w:pPr>
    </w:p>
    <w:p w:rsidR="00D71650" w:rsidRDefault="009503D6">
      <w:pPr>
        <w:spacing w:after="120" w:line="360" w:lineRule="auto"/>
        <w:ind w:left="-1701"/>
        <w:jc w:val="both"/>
        <w:rPr>
          <w:rFonts w:ascii="Verdana" w:hAnsi="Verdana" w:cs="Verdana"/>
          <w:b/>
        </w:rPr>
      </w:pPr>
      <w:r>
        <w:rPr>
          <w:rFonts w:ascii="Verdana" w:hAnsi="Verdana" w:cs="Verdana"/>
          <w:b/>
        </w:rPr>
        <w:t xml:space="preserve">             </w:t>
      </w:r>
    </w:p>
    <w:p w:rsidR="00D71650" w:rsidRDefault="00D71650">
      <w:pPr>
        <w:spacing w:after="120" w:line="360" w:lineRule="auto"/>
        <w:ind w:left="-1701"/>
        <w:jc w:val="both"/>
        <w:rPr>
          <w:rFonts w:ascii="Verdana" w:hAnsi="Verdana" w:cs="Verdana"/>
          <w:b/>
        </w:rPr>
      </w:pPr>
    </w:p>
    <w:p w:rsidR="00D71650" w:rsidRDefault="00D71650">
      <w:pPr>
        <w:spacing w:after="120" w:line="360" w:lineRule="auto"/>
        <w:jc w:val="both"/>
        <w:rPr>
          <w:rFonts w:ascii="Verdana" w:hAnsi="Verdana" w:cs="Verdana"/>
          <w:b/>
        </w:rPr>
      </w:pPr>
    </w:p>
    <w:p w:rsidR="00604115" w:rsidRDefault="009503D6">
      <w:pPr>
        <w:spacing w:after="120" w:line="360" w:lineRule="auto"/>
        <w:ind w:left="-1701"/>
        <w:jc w:val="both"/>
        <w:rPr>
          <w:rFonts w:ascii="Verdana" w:hAnsi="Verdana" w:cs="Verdana"/>
          <w:b/>
        </w:rPr>
      </w:pPr>
      <w:r>
        <w:rPr>
          <w:rFonts w:ascii="Verdana" w:hAnsi="Verdana" w:cs="Verdana"/>
          <w:b/>
        </w:rPr>
        <w:t xml:space="preserve">     A              </w:t>
      </w:r>
    </w:p>
    <w:p w:rsidR="00D71650" w:rsidRDefault="00D71650">
      <w:pPr>
        <w:spacing w:after="120" w:line="360" w:lineRule="auto"/>
        <w:ind w:left="-1701"/>
        <w:jc w:val="both"/>
        <w:rPr>
          <w:rFonts w:ascii="Verdana" w:hAnsi="Verdana" w:cs="Verdana"/>
          <w:b/>
        </w:rPr>
      </w:pPr>
    </w:p>
    <w:p w:rsidR="00D71650" w:rsidRDefault="00D71650">
      <w:pPr>
        <w:spacing w:after="120" w:line="360" w:lineRule="auto"/>
        <w:ind w:left="-1701"/>
        <w:jc w:val="both"/>
        <w:rPr>
          <w:rFonts w:ascii="Verdana" w:hAnsi="Verdana" w:cs="Verdana"/>
          <w:b/>
        </w:rPr>
      </w:pPr>
    </w:p>
    <w:p w:rsidR="00D71650" w:rsidRDefault="00D71650">
      <w:pPr>
        <w:spacing w:after="120" w:line="360" w:lineRule="auto"/>
        <w:ind w:right="192"/>
        <w:jc w:val="both"/>
        <w:rPr>
          <w:rFonts w:ascii="Verdana" w:hAnsi="Verdana" w:cs="Verdana"/>
          <w:b/>
          <w:noProof/>
          <w:lang w:eastAsia="es-ES"/>
        </w:rPr>
      </w:pPr>
    </w:p>
    <w:sectPr w:rsidR="00D71650">
      <w:footerReference w:type="default" r:id="rId15"/>
      <w:pgSz w:w="12242" w:h="1584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D85" w:rsidRDefault="00C73D85">
      <w:pPr>
        <w:spacing w:after="0" w:line="240" w:lineRule="auto"/>
      </w:pPr>
      <w:r>
        <w:separator/>
      </w:r>
    </w:p>
  </w:endnote>
  <w:endnote w:type="continuationSeparator" w:id="0">
    <w:p w:rsidR="00C73D85" w:rsidRDefault="00C7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43142"/>
      <w:docPartObj>
        <w:docPartGallery w:val="Page Numbers (Bottom of Page)"/>
        <w:docPartUnique/>
      </w:docPartObj>
    </w:sdtPr>
    <w:sdtEndPr/>
    <w:sdtContent>
      <w:p w:rsidR="00C57551" w:rsidRDefault="00C57551">
        <w:pPr>
          <w:pStyle w:val="Piedepgina"/>
          <w:jc w:val="right"/>
        </w:pPr>
        <w:r>
          <w:fldChar w:fldCharType="begin"/>
        </w:r>
        <w:r>
          <w:instrText>PAGE   \* MERGEFORMAT</w:instrText>
        </w:r>
        <w:r>
          <w:fldChar w:fldCharType="separate"/>
        </w:r>
        <w:r w:rsidR="00A54625">
          <w:rPr>
            <w:noProof/>
          </w:rPr>
          <w:t>15</w:t>
        </w:r>
        <w:r>
          <w:fldChar w:fldCharType="end"/>
        </w:r>
      </w:p>
    </w:sdtContent>
  </w:sdt>
  <w:p w:rsidR="00D71650" w:rsidRDefault="00D716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D85" w:rsidRDefault="00C73D85">
      <w:pPr>
        <w:spacing w:after="0" w:line="240" w:lineRule="auto"/>
      </w:pPr>
      <w:r>
        <w:separator/>
      </w:r>
    </w:p>
  </w:footnote>
  <w:footnote w:type="continuationSeparator" w:id="0">
    <w:p w:rsidR="00C73D85" w:rsidRDefault="00C73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59F"/>
    <w:multiLevelType w:val="multilevel"/>
    <w:tmpl w:val="055E159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1071C8"/>
    <w:multiLevelType w:val="multilevel"/>
    <w:tmpl w:val="4E107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D852D3"/>
    <w:multiLevelType w:val="multilevel"/>
    <w:tmpl w:val="7BD852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9A"/>
    <w:rsid w:val="000116E7"/>
    <w:rsid w:val="000271E7"/>
    <w:rsid w:val="00065304"/>
    <w:rsid w:val="000734EB"/>
    <w:rsid w:val="000D4474"/>
    <w:rsid w:val="000D6CD0"/>
    <w:rsid w:val="0010193C"/>
    <w:rsid w:val="001125D3"/>
    <w:rsid w:val="001435A9"/>
    <w:rsid w:val="00146153"/>
    <w:rsid w:val="001748D2"/>
    <w:rsid w:val="00177BFE"/>
    <w:rsid w:val="001905D4"/>
    <w:rsid w:val="001B7920"/>
    <w:rsid w:val="001F34DE"/>
    <w:rsid w:val="00201E40"/>
    <w:rsid w:val="00205566"/>
    <w:rsid w:val="002351AD"/>
    <w:rsid w:val="00251CE1"/>
    <w:rsid w:val="002572A1"/>
    <w:rsid w:val="0026110B"/>
    <w:rsid w:val="00267922"/>
    <w:rsid w:val="00287949"/>
    <w:rsid w:val="00291277"/>
    <w:rsid w:val="002A1628"/>
    <w:rsid w:val="002A2D13"/>
    <w:rsid w:val="002A7205"/>
    <w:rsid w:val="002E7D15"/>
    <w:rsid w:val="00317B43"/>
    <w:rsid w:val="00344C0D"/>
    <w:rsid w:val="00345006"/>
    <w:rsid w:val="00357FBB"/>
    <w:rsid w:val="00366856"/>
    <w:rsid w:val="00385F24"/>
    <w:rsid w:val="003B246C"/>
    <w:rsid w:val="003B65D6"/>
    <w:rsid w:val="003B7959"/>
    <w:rsid w:val="003C7771"/>
    <w:rsid w:val="004456D2"/>
    <w:rsid w:val="00452746"/>
    <w:rsid w:val="00454790"/>
    <w:rsid w:val="004865D5"/>
    <w:rsid w:val="0049067C"/>
    <w:rsid w:val="00494C47"/>
    <w:rsid w:val="004B0A0A"/>
    <w:rsid w:val="004B2710"/>
    <w:rsid w:val="004C0BB5"/>
    <w:rsid w:val="004C6C22"/>
    <w:rsid w:val="004F7A3D"/>
    <w:rsid w:val="0052247E"/>
    <w:rsid w:val="0052651D"/>
    <w:rsid w:val="00530B34"/>
    <w:rsid w:val="0054784C"/>
    <w:rsid w:val="00547BBF"/>
    <w:rsid w:val="005615ED"/>
    <w:rsid w:val="0058197E"/>
    <w:rsid w:val="00585578"/>
    <w:rsid w:val="005B6B2A"/>
    <w:rsid w:val="005E082C"/>
    <w:rsid w:val="00601903"/>
    <w:rsid w:val="00604115"/>
    <w:rsid w:val="006151AC"/>
    <w:rsid w:val="00632836"/>
    <w:rsid w:val="00656C8B"/>
    <w:rsid w:val="00676B53"/>
    <w:rsid w:val="006A2398"/>
    <w:rsid w:val="006A5DD9"/>
    <w:rsid w:val="006C2713"/>
    <w:rsid w:val="006C64CD"/>
    <w:rsid w:val="006D3785"/>
    <w:rsid w:val="006F15AF"/>
    <w:rsid w:val="007005AE"/>
    <w:rsid w:val="007162B7"/>
    <w:rsid w:val="00752F23"/>
    <w:rsid w:val="007B61D1"/>
    <w:rsid w:val="007C59DF"/>
    <w:rsid w:val="007D3E1E"/>
    <w:rsid w:val="007D58E1"/>
    <w:rsid w:val="007E3C41"/>
    <w:rsid w:val="007F779A"/>
    <w:rsid w:val="00874810"/>
    <w:rsid w:val="0088752F"/>
    <w:rsid w:val="00896FC5"/>
    <w:rsid w:val="008E19DE"/>
    <w:rsid w:val="00903A2D"/>
    <w:rsid w:val="0091567E"/>
    <w:rsid w:val="00924C64"/>
    <w:rsid w:val="00930F2E"/>
    <w:rsid w:val="0093730E"/>
    <w:rsid w:val="009459F0"/>
    <w:rsid w:val="00945B48"/>
    <w:rsid w:val="009503D6"/>
    <w:rsid w:val="00963644"/>
    <w:rsid w:val="00972CA2"/>
    <w:rsid w:val="009D1490"/>
    <w:rsid w:val="009F096F"/>
    <w:rsid w:val="00A14AFC"/>
    <w:rsid w:val="00A2687B"/>
    <w:rsid w:val="00A37F36"/>
    <w:rsid w:val="00A41EF4"/>
    <w:rsid w:val="00A54625"/>
    <w:rsid w:val="00A568B3"/>
    <w:rsid w:val="00A624A9"/>
    <w:rsid w:val="00A90D96"/>
    <w:rsid w:val="00AC0D79"/>
    <w:rsid w:val="00AE5FAC"/>
    <w:rsid w:val="00B12850"/>
    <w:rsid w:val="00B47E6B"/>
    <w:rsid w:val="00B7721E"/>
    <w:rsid w:val="00B81425"/>
    <w:rsid w:val="00B84642"/>
    <w:rsid w:val="00B94938"/>
    <w:rsid w:val="00BB4D14"/>
    <w:rsid w:val="00BC60C8"/>
    <w:rsid w:val="00BD74DB"/>
    <w:rsid w:val="00BE50B8"/>
    <w:rsid w:val="00BF7E90"/>
    <w:rsid w:val="00C1045B"/>
    <w:rsid w:val="00C11F3B"/>
    <w:rsid w:val="00C422CA"/>
    <w:rsid w:val="00C548B9"/>
    <w:rsid w:val="00C57551"/>
    <w:rsid w:val="00C73D85"/>
    <w:rsid w:val="00CA5A7B"/>
    <w:rsid w:val="00CB0782"/>
    <w:rsid w:val="00CB1C67"/>
    <w:rsid w:val="00CC7B59"/>
    <w:rsid w:val="00D0275C"/>
    <w:rsid w:val="00D071AA"/>
    <w:rsid w:val="00D31566"/>
    <w:rsid w:val="00D357A8"/>
    <w:rsid w:val="00D44FDE"/>
    <w:rsid w:val="00D522A2"/>
    <w:rsid w:val="00D71650"/>
    <w:rsid w:val="00D7592C"/>
    <w:rsid w:val="00D8638B"/>
    <w:rsid w:val="00D96800"/>
    <w:rsid w:val="00DA6AED"/>
    <w:rsid w:val="00DA7EC1"/>
    <w:rsid w:val="00DB2F97"/>
    <w:rsid w:val="00DB642F"/>
    <w:rsid w:val="00DF4A28"/>
    <w:rsid w:val="00E11CC1"/>
    <w:rsid w:val="00E1686D"/>
    <w:rsid w:val="00E507F2"/>
    <w:rsid w:val="00E50907"/>
    <w:rsid w:val="00E56103"/>
    <w:rsid w:val="00E63C14"/>
    <w:rsid w:val="00E7070F"/>
    <w:rsid w:val="00E86A4D"/>
    <w:rsid w:val="00EE797B"/>
    <w:rsid w:val="00EF1486"/>
    <w:rsid w:val="00F054B1"/>
    <w:rsid w:val="00F177BB"/>
    <w:rsid w:val="00F200F8"/>
    <w:rsid w:val="00F62301"/>
    <w:rsid w:val="00F63289"/>
    <w:rsid w:val="00F7537F"/>
    <w:rsid w:val="00F939A7"/>
    <w:rsid w:val="00FB4FEF"/>
    <w:rsid w:val="00FF18E7"/>
    <w:rsid w:val="016B2E3F"/>
    <w:rsid w:val="025158AA"/>
    <w:rsid w:val="038E4C2B"/>
    <w:rsid w:val="039E7E8E"/>
    <w:rsid w:val="094E43AF"/>
    <w:rsid w:val="0B4C6A21"/>
    <w:rsid w:val="0E444B98"/>
    <w:rsid w:val="0EF21DF8"/>
    <w:rsid w:val="0F247422"/>
    <w:rsid w:val="0F2E7A1C"/>
    <w:rsid w:val="12372639"/>
    <w:rsid w:val="128B7BB8"/>
    <w:rsid w:val="16A7387F"/>
    <w:rsid w:val="187C630E"/>
    <w:rsid w:val="19D47206"/>
    <w:rsid w:val="1ECB41FF"/>
    <w:rsid w:val="2171084A"/>
    <w:rsid w:val="22797DFA"/>
    <w:rsid w:val="257B298F"/>
    <w:rsid w:val="25FA7D4F"/>
    <w:rsid w:val="26BA4109"/>
    <w:rsid w:val="26DA6CA1"/>
    <w:rsid w:val="2A35482B"/>
    <w:rsid w:val="2C161540"/>
    <w:rsid w:val="2CF47578"/>
    <w:rsid w:val="2D8D5F93"/>
    <w:rsid w:val="2DCC3555"/>
    <w:rsid w:val="2EB75C5D"/>
    <w:rsid w:val="30710E65"/>
    <w:rsid w:val="320077F8"/>
    <w:rsid w:val="323F35DC"/>
    <w:rsid w:val="32513A41"/>
    <w:rsid w:val="33A95D2E"/>
    <w:rsid w:val="34DE6CF5"/>
    <w:rsid w:val="39DD7045"/>
    <w:rsid w:val="3C9047C5"/>
    <w:rsid w:val="3D114A75"/>
    <w:rsid w:val="404C7601"/>
    <w:rsid w:val="423F4CCF"/>
    <w:rsid w:val="42822360"/>
    <w:rsid w:val="428408D2"/>
    <w:rsid w:val="457060FC"/>
    <w:rsid w:val="463159F9"/>
    <w:rsid w:val="48C638FA"/>
    <w:rsid w:val="4A7D162F"/>
    <w:rsid w:val="4C126A35"/>
    <w:rsid w:val="4D6D4630"/>
    <w:rsid w:val="532D1287"/>
    <w:rsid w:val="53C80299"/>
    <w:rsid w:val="53D12FFD"/>
    <w:rsid w:val="545655C9"/>
    <w:rsid w:val="547D0B42"/>
    <w:rsid w:val="55AB150C"/>
    <w:rsid w:val="56893250"/>
    <w:rsid w:val="571B15D4"/>
    <w:rsid w:val="5A6378BF"/>
    <w:rsid w:val="5AAC3A2F"/>
    <w:rsid w:val="5ECE73DB"/>
    <w:rsid w:val="5ED25451"/>
    <w:rsid w:val="601C5017"/>
    <w:rsid w:val="6061558F"/>
    <w:rsid w:val="607E21C0"/>
    <w:rsid w:val="61605EC0"/>
    <w:rsid w:val="618A7E69"/>
    <w:rsid w:val="619B6A92"/>
    <w:rsid w:val="6249318D"/>
    <w:rsid w:val="6279687E"/>
    <w:rsid w:val="639A7492"/>
    <w:rsid w:val="640C6F67"/>
    <w:rsid w:val="65B01F6D"/>
    <w:rsid w:val="65D21778"/>
    <w:rsid w:val="682408E7"/>
    <w:rsid w:val="6C846589"/>
    <w:rsid w:val="6D084DB1"/>
    <w:rsid w:val="6F591DCA"/>
    <w:rsid w:val="71463588"/>
    <w:rsid w:val="71650A16"/>
    <w:rsid w:val="71773293"/>
    <w:rsid w:val="71D053FC"/>
    <w:rsid w:val="73127D7A"/>
    <w:rsid w:val="736F6158"/>
    <w:rsid w:val="73FD7737"/>
    <w:rsid w:val="75115294"/>
    <w:rsid w:val="76FA5E9D"/>
    <w:rsid w:val="777A3950"/>
    <w:rsid w:val="78565386"/>
    <w:rsid w:val="7AC75F73"/>
    <w:rsid w:val="7BA46AD9"/>
    <w:rsid w:val="7C296A9F"/>
    <w:rsid w:val="7C9374B5"/>
    <w:rsid w:val="7DC158BC"/>
    <w:rsid w:val="7EBE575C"/>
    <w:rsid w:val="7EFF07C7"/>
    <w:rsid w:val="7F493EA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4CEC"/>
  <w15:docId w15:val="{47ABBA4A-8C16-4F5B-845A-A94B833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uiPriority w:val="99"/>
    <w:unhideWhenUsed/>
    <w:pPr>
      <w:tabs>
        <w:tab w:val="center" w:pos="4153"/>
        <w:tab w:val="right" w:pos="8306"/>
      </w:tabs>
    </w:pPr>
  </w:style>
  <w:style w:type="paragraph" w:styleId="Piedepgina">
    <w:name w:val="footer"/>
    <w:basedOn w:val="Normal"/>
    <w:link w:val="PiedepginaCar"/>
    <w:uiPriority w:val="99"/>
    <w:unhideWhenUsed/>
    <w:qFormat/>
    <w:pPr>
      <w:tabs>
        <w:tab w:val="center" w:pos="4153"/>
        <w:tab w:val="right" w:pos="8306"/>
      </w:tabs>
    </w:pPr>
  </w:style>
  <w:style w:type="character" w:styleId="Hipervnculo">
    <w:name w:val="Hyperlink"/>
    <w:uiPriority w:val="99"/>
    <w:unhideWhenUsed/>
    <w:qFormat/>
    <w:rPr>
      <w:color w:val="0563C1"/>
      <w:u w:val="single"/>
    </w:rPr>
  </w:style>
  <w:style w:type="paragraph" w:customStyle="1" w:styleId="Prrafodelista1">
    <w:name w:val="Párrafo de lista1"/>
    <w:basedOn w:val="Normal"/>
    <w:uiPriority w:val="34"/>
    <w:qFormat/>
    <w:pPr>
      <w:ind w:left="720"/>
      <w:contextualSpacing/>
    </w:pPr>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eastAsia="en-US"/>
    </w:rPr>
  </w:style>
  <w:style w:type="character" w:customStyle="1" w:styleId="PiedepginaCar">
    <w:name w:val="Pie de página Car"/>
    <w:basedOn w:val="Fuentedeprrafopredeter"/>
    <w:link w:val="Piedepgina"/>
    <w:uiPriority w:val="99"/>
    <w:rsid w:val="00C57551"/>
    <w:rPr>
      <w:sz w:val="22"/>
      <w:szCs w:val="22"/>
      <w:lang w:eastAsia="en-US"/>
    </w:rPr>
  </w:style>
  <w:style w:type="paragraph" w:styleId="Prrafodelista">
    <w:name w:val="List Paragraph"/>
    <w:basedOn w:val="Normal"/>
    <w:uiPriority w:val="99"/>
    <w:rsid w:val="00F17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lsevier.com/locate/placen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630447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cielo.org.pe/scielo.php?pid=S2304-51322014000200006&amp;script=sci_arttext&amp;tlng=en" TargetMode="External"/><Relationship Id="rId4" Type="http://schemas.openxmlformats.org/officeDocument/2006/relationships/styles" Target="styles.xml"/><Relationship Id="rId9" Type="http://schemas.openxmlformats.org/officeDocument/2006/relationships/hyperlink" Target="https://www.ncbi.nlm.nih.gov/pmc/articles/PMC5033709/"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4B8E8-6FE4-4812-B62D-3146F9F7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4294</Words>
  <Characters>23621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Oleydis Clemente Ricardo</dc:creator>
  <cp:lastModifiedBy>Yolina</cp:lastModifiedBy>
  <cp:revision>8</cp:revision>
  <dcterms:created xsi:type="dcterms:W3CDTF">2022-11-15T01:23:00Z</dcterms:created>
  <dcterms:modified xsi:type="dcterms:W3CDTF">2022-11-15T18:06:00Z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