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D7" w:rsidRPr="009B5DB1" w:rsidRDefault="005828D7" w:rsidP="00EA73AD">
      <w:pPr>
        <w:tabs>
          <w:tab w:val="left" w:pos="2268"/>
        </w:tabs>
        <w:spacing w:after="0" w:line="360" w:lineRule="auto"/>
        <w:ind w:right="-376"/>
        <w:jc w:val="center"/>
        <w:rPr>
          <w:b/>
          <w:color w:val="C45911"/>
          <w:sz w:val="32"/>
          <w:szCs w:val="32"/>
        </w:rPr>
      </w:pPr>
      <w:r w:rsidRPr="009B5DB1">
        <w:rPr>
          <w:b/>
          <w:color w:val="C45911"/>
          <w:sz w:val="32"/>
          <w:szCs w:val="32"/>
        </w:rPr>
        <w:t>VI Congreso virtual de Ciencias Morfológicas.</w:t>
      </w:r>
    </w:p>
    <w:p w:rsidR="005828D7" w:rsidRDefault="005828D7" w:rsidP="00EA73AD">
      <w:pPr>
        <w:spacing w:after="0" w:line="360" w:lineRule="auto"/>
        <w:ind w:left="-425"/>
        <w:jc w:val="center"/>
        <w:rPr>
          <w:b/>
          <w:color w:val="C45911"/>
          <w:sz w:val="32"/>
          <w:szCs w:val="32"/>
        </w:rPr>
      </w:pPr>
      <w:r w:rsidRPr="009B5DB1">
        <w:rPr>
          <w:b/>
          <w:color w:val="C45911"/>
          <w:sz w:val="32"/>
          <w:szCs w:val="32"/>
        </w:rPr>
        <w:t>Sexta Jornada Científica de la Cátedra Santiago Ramón y Cajal.</w:t>
      </w:r>
    </w:p>
    <w:p w:rsidR="00D86178" w:rsidRDefault="00D86178" w:rsidP="00EA73AD">
      <w:pPr>
        <w:spacing w:after="0" w:line="360" w:lineRule="auto"/>
        <w:ind w:left="-425"/>
        <w:jc w:val="center"/>
        <w:rPr>
          <w:b/>
          <w:sz w:val="28"/>
          <w:szCs w:val="28"/>
        </w:rPr>
      </w:pPr>
    </w:p>
    <w:p w:rsidR="00D86178" w:rsidRDefault="00D86178" w:rsidP="00EA73AD">
      <w:pPr>
        <w:spacing w:after="0" w:line="360" w:lineRule="auto"/>
        <w:ind w:left="-425"/>
        <w:jc w:val="center"/>
        <w:rPr>
          <w:b/>
          <w:sz w:val="28"/>
          <w:szCs w:val="28"/>
        </w:rPr>
      </w:pPr>
    </w:p>
    <w:p w:rsidR="00B11106" w:rsidRPr="00B11106" w:rsidRDefault="000570EA" w:rsidP="00EA73AD">
      <w:pPr>
        <w:spacing w:after="0" w:line="360" w:lineRule="auto"/>
        <w:ind w:left="-425"/>
        <w:jc w:val="center"/>
        <w:rPr>
          <w:b/>
          <w:sz w:val="28"/>
          <w:szCs w:val="28"/>
        </w:rPr>
      </w:pPr>
      <w:r>
        <w:rPr>
          <w:b/>
          <w:sz w:val="28"/>
          <w:szCs w:val="28"/>
        </w:rPr>
        <w:t>GLICOCALIX ENDOTELIAL IMPORTANTE ESTRUCTURA EN LA VINCULACIÓN BÁSICO CLÍNICA.</w:t>
      </w:r>
    </w:p>
    <w:p w:rsidR="005828D7" w:rsidRDefault="005828D7" w:rsidP="00F576CA">
      <w:pPr>
        <w:spacing w:after="0" w:line="360" w:lineRule="auto"/>
        <w:ind w:left="-425"/>
        <w:jc w:val="both"/>
        <w:rPr>
          <w:sz w:val="22"/>
        </w:rPr>
      </w:pPr>
    </w:p>
    <w:p w:rsidR="008458C4" w:rsidRPr="00526720" w:rsidRDefault="00526720" w:rsidP="00D66AE8">
      <w:pPr>
        <w:spacing w:after="0" w:line="360" w:lineRule="auto"/>
        <w:ind w:left="-425"/>
        <w:jc w:val="both"/>
        <w:rPr>
          <w:b/>
          <w:sz w:val="22"/>
        </w:rPr>
      </w:pPr>
      <w:r>
        <w:rPr>
          <w:b/>
          <w:sz w:val="22"/>
        </w:rPr>
        <w:t xml:space="preserve">Autores: </w:t>
      </w:r>
      <w:r w:rsidR="002E1482">
        <w:rPr>
          <w:b/>
          <w:sz w:val="22"/>
        </w:rPr>
        <w:t>Mirianna Gato Castillo</w:t>
      </w:r>
      <w:r w:rsidR="008458C4">
        <w:rPr>
          <w:b/>
          <w:sz w:val="22"/>
          <w:vertAlign w:val="superscript"/>
        </w:rPr>
        <w:t>1</w:t>
      </w:r>
      <w:r w:rsidR="00DC034D">
        <w:rPr>
          <w:b/>
          <w:sz w:val="22"/>
        </w:rPr>
        <w:t>, Rayza</w:t>
      </w:r>
      <w:r w:rsidR="004E73AA">
        <w:rPr>
          <w:b/>
          <w:sz w:val="22"/>
        </w:rPr>
        <w:t xml:space="preserve"> Hernández Díaz</w:t>
      </w:r>
      <w:r w:rsidR="00845769">
        <w:rPr>
          <w:b/>
          <w:sz w:val="22"/>
          <w:vertAlign w:val="superscript"/>
        </w:rPr>
        <w:t>2</w:t>
      </w:r>
      <w:r w:rsidR="004E73AA">
        <w:rPr>
          <w:b/>
          <w:sz w:val="22"/>
        </w:rPr>
        <w:t>, Yirina Rivera Miranda</w:t>
      </w:r>
      <w:r w:rsidR="00845769">
        <w:rPr>
          <w:b/>
          <w:sz w:val="22"/>
          <w:vertAlign w:val="superscript"/>
        </w:rPr>
        <w:t>3</w:t>
      </w:r>
    </w:p>
    <w:p w:rsidR="001F46BC" w:rsidRDefault="008458C4" w:rsidP="00D66AE8">
      <w:pPr>
        <w:spacing w:after="0" w:line="360" w:lineRule="auto"/>
        <w:jc w:val="both"/>
        <w:rPr>
          <w:sz w:val="22"/>
          <w:lang w:val="es-ES"/>
        </w:rPr>
      </w:pPr>
      <w:r w:rsidRPr="001F46BC">
        <w:rPr>
          <w:sz w:val="22"/>
          <w:vertAlign w:val="superscript"/>
        </w:rPr>
        <w:t>1</w:t>
      </w:r>
      <w:r w:rsidR="002E1482" w:rsidRPr="001F46BC">
        <w:rPr>
          <w:sz w:val="22"/>
        </w:rPr>
        <w:t>Especialista de primer grado en Medicina General Integral y Residente de tercer año de Histología</w:t>
      </w:r>
      <w:r w:rsidR="00C607A4">
        <w:rPr>
          <w:sz w:val="22"/>
        </w:rPr>
        <w:t xml:space="preserve"> </w:t>
      </w:r>
      <w:r w:rsidR="002E1482" w:rsidRPr="001F46BC">
        <w:rPr>
          <w:sz w:val="22"/>
        </w:rPr>
        <w:t>.</w:t>
      </w:r>
      <w:r w:rsidR="001F46BC" w:rsidRPr="001F46BC">
        <w:rPr>
          <w:sz w:val="22"/>
        </w:rPr>
        <w:t>Departamento de Ciencias Básicas Biomédicas.</w:t>
      </w:r>
      <w:r w:rsidR="001F46BC" w:rsidRPr="001F46BC">
        <w:rPr>
          <w:rFonts w:ascii="Arial" w:eastAsia="Times New Roman" w:hAnsi="Arial" w:cs="Arial"/>
          <w:sz w:val="24"/>
          <w:szCs w:val="24"/>
          <w:lang w:val="es-ES" w:eastAsia="es-ES"/>
        </w:rPr>
        <w:t xml:space="preserve"> </w:t>
      </w:r>
      <w:r w:rsidR="001F46BC" w:rsidRPr="001F46BC">
        <w:rPr>
          <w:sz w:val="22"/>
          <w:lang w:val="es-ES"/>
        </w:rPr>
        <w:t>Universidad de Ciencias Médicas de Pinar del Río. Facultad de Ciencias Médicas “Ernesto Guevara de la Serna”.</w:t>
      </w:r>
      <w:r w:rsidR="00AB0792">
        <w:rPr>
          <w:sz w:val="22"/>
          <w:lang w:val="es-ES"/>
        </w:rPr>
        <w:t xml:space="preserve"> </w:t>
      </w:r>
      <w:r w:rsidR="00DC034D">
        <w:rPr>
          <w:sz w:val="22"/>
          <w:lang w:val="es-ES"/>
        </w:rPr>
        <w:t>Pro</w:t>
      </w:r>
      <w:r w:rsidR="001F46BC" w:rsidRPr="001F46BC">
        <w:rPr>
          <w:sz w:val="22"/>
          <w:lang w:val="es-ES"/>
        </w:rPr>
        <w:t>vincia Pinar del Río</w:t>
      </w:r>
      <w:r w:rsidR="003116CA">
        <w:rPr>
          <w:sz w:val="22"/>
          <w:lang w:val="es-ES"/>
        </w:rPr>
        <w:t xml:space="preserve"> </w:t>
      </w:r>
      <w:r w:rsidR="001F46BC" w:rsidRPr="001F46BC">
        <w:rPr>
          <w:sz w:val="22"/>
          <w:lang w:val="es-ES"/>
        </w:rPr>
        <w:t>.Cuba</w:t>
      </w:r>
      <w:r w:rsidR="00DC034D">
        <w:rPr>
          <w:sz w:val="22"/>
          <w:lang w:val="es-ES"/>
        </w:rPr>
        <w:t>.</w:t>
      </w:r>
    </w:p>
    <w:p w:rsidR="00DC034D" w:rsidRDefault="00DC034D" w:rsidP="00D66AE8">
      <w:pPr>
        <w:spacing w:after="0" w:line="360" w:lineRule="auto"/>
        <w:jc w:val="both"/>
        <w:rPr>
          <w:sz w:val="22"/>
          <w:lang w:val="es-ES"/>
        </w:rPr>
      </w:pPr>
      <w:r>
        <w:rPr>
          <w:sz w:val="22"/>
          <w:lang w:val="es-ES"/>
        </w:rPr>
        <w:t>e-mail:miriannagato@gmail.com</w:t>
      </w:r>
    </w:p>
    <w:p w:rsidR="00CD1E5D" w:rsidRDefault="00CD1E5D" w:rsidP="00D66AE8">
      <w:pPr>
        <w:spacing w:after="0" w:line="360" w:lineRule="auto"/>
        <w:jc w:val="both"/>
        <w:rPr>
          <w:sz w:val="22"/>
          <w:lang w:val="es-ES"/>
        </w:rPr>
      </w:pPr>
      <w:r>
        <w:rPr>
          <w:sz w:val="22"/>
          <w:vertAlign w:val="superscript"/>
          <w:lang w:val="es-ES"/>
        </w:rPr>
        <w:t>2</w:t>
      </w:r>
      <w:r w:rsidRPr="001F46BC">
        <w:rPr>
          <w:sz w:val="22"/>
        </w:rPr>
        <w:t>Especialista de primer grado</w:t>
      </w:r>
      <w:r w:rsidR="00526A87">
        <w:rPr>
          <w:sz w:val="22"/>
        </w:rPr>
        <w:t xml:space="preserve"> en Medicina</w:t>
      </w:r>
      <w:r w:rsidR="00AB0792">
        <w:rPr>
          <w:sz w:val="22"/>
        </w:rPr>
        <w:t xml:space="preserve"> </w:t>
      </w:r>
      <w:r w:rsidRPr="001F46BC">
        <w:rPr>
          <w:sz w:val="22"/>
        </w:rPr>
        <w:t xml:space="preserve">General </w:t>
      </w:r>
      <w:r>
        <w:rPr>
          <w:sz w:val="22"/>
        </w:rPr>
        <w:t>Integral e</w:t>
      </w:r>
      <w:r w:rsidRPr="001F46BC">
        <w:rPr>
          <w:sz w:val="22"/>
        </w:rPr>
        <w:t xml:space="preserve"> Histología.</w:t>
      </w:r>
      <w:r w:rsidR="00AB0792">
        <w:rPr>
          <w:sz w:val="22"/>
        </w:rPr>
        <w:t xml:space="preserve"> </w:t>
      </w:r>
      <w:r w:rsidRPr="001F46BC">
        <w:rPr>
          <w:sz w:val="22"/>
        </w:rPr>
        <w:t>Departamento de Ciencias Básicas Biomédicas.</w:t>
      </w:r>
      <w:r w:rsidRPr="001F46BC">
        <w:rPr>
          <w:rFonts w:ascii="Arial" w:eastAsia="Times New Roman" w:hAnsi="Arial" w:cs="Arial"/>
          <w:sz w:val="24"/>
          <w:szCs w:val="24"/>
          <w:lang w:val="es-ES" w:eastAsia="es-ES"/>
        </w:rPr>
        <w:t xml:space="preserve"> </w:t>
      </w:r>
      <w:r w:rsidRPr="001F46BC">
        <w:rPr>
          <w:sz w:val="22"/>
          <w:lang w:val="es-ES"/>
        </w:rPr>
        <w:t>Universidad de Ciencias Médicas de Pinar del Río. Facultad de Ciencias Médicas “Ernesto Guevara de la Serna”.</w:t>
      </w:r>
      <w:r w:rsidR="00AB0792">
        <w:rPr>
          <w:sz w:val="22"/>
          <w:lang w:val="es-ES"/>
        </w:rPr>
        <w:t xml:space="preserve"> </w:t>
      </w:r>
      <w:r>
        <w:rPr>
          <w:sz w:val="22"/>
          <w:lang w:val="es-ES"/>
        </w:rPr>
        <w:t>Pro</w:t>
      </w:r>
      <w:r w:rsidRPr="001F46BC">
        <w:rPr>
          <w:sz w:val="22"/>
          <w:lang w:val="es-ES"/>
        </w:rPr>
        <w:t>vincia Pinar del Río.</w:t>
      </w:r>
      <w:r w:rsidR="00AB0792">
        <w:rPr>
          <w:sz w:val="22"/>
          <w:lang w:val="es-ES"/>
        </w:rPr>
        <w:t xml:space="preserve"> </w:t>
      </w:r>
      <w:r w:rsidRPr="001F46BC">
        <w:rPr>
          <w:sz w:val="22"/>
          <w:lang w:val="es-ES"/>
        </w:rPr>
        <w:t>Cuba</w:t>
      </w:r>
      <w:r>
        <w:rPr>
          <w:sz w:val="22"/>
          <w:lang w:val="es-ES"/>
        </w:rPr>
        <w:t>.</w:t>
      </w:r>
    </w:p>
    <w:p w:rsidR="00526A87" w:rsidRDefault="00526A87" w:rsidP="00D66AE8">
      <w:pPr>
        <w:spacing w:after="0" w:line="360" w:lineRule="auto"/>
        <w:jc w:val="both"/>
        <w:rPr>
          <w:sz w:val="22"/>
          <w:lang w:val="es-ES"/>
        </w:rPr>
      </w:pPr>
      <w:r>
        <w:rPr>
          <w:sz w:val="22"/>
          <w:vertAlign w:val="superscript"/>
          <w:lang w:val="es-ES"/>
        </w:rPr>
        <w:t>3</w:t>
      </w:r>
      <w:r>
        <w:rPr>
          <w:sz w:val="22"/>
        </w:rPr>
        <w:t xml:space="preserve"> Médico</w:t>
      </w:r>
      <w:r w:rsidR="001526F4">
        <w:rPr>
          <w:sz w:val="22"/>
        </w:rPr>
        <w:t xml:space="preserve"> General</w:t>
      </w:r>
      <w:r w:rsidRPr="001F46BC">
        <w:rPr>
          <w:sz w:val="22"/>
        </w:rPr>
        <w:t xml:space="preserve"> y Residente</w:t>
      </w:r>
      <w:r w:rsidR="001526F4">
        <w:rPr>
          <w:sz w:val="22"/>
        </w:rPr>
        <w:t xml:space="preserve"> de cuarto</w:t>
      </w:r>
      <w:r w:rsidRPr="001F46BC">
        <w:rPr>
          <w:sz w:val="22"/>
        </w:rPr>
        <w:t xml:space="preserve"> año de Histología</w:t>
      </w:r>
      <w:r>
        <w:rPr>
          <w:sz w:val="22"/>
        </w:rPr>
        <w:t xml:space="preserve"> </w:t>
      </w:r>
      <w:r w:rsidRPr="001F46BC">
        <w:rPr>
          <w:sz w:val="22"/>
        </w:rPr>
        <w:t>.Departamento de Ciencias Básicas Biomédicas.</w:t>
      </w:r>
      <w:r w:rsidRPr="001F46BC">
        <w:rPr>
          <w:rFonts w:ascii="Arial" w:eastAsia="Times New Roman" w:hAnsi="Arial" w:cs="Arial"/>
          <w:sz w:val="24"/>
          <w:szCs w:val="24"/>
          <w:lang w:val="es-ES" w:eastAsia="es-ES"/>
        </w:rPr>
        <w:t xml:space="preserve"> </w:t>
      </w:r>
      <w:r w:rsidRPr="001F46BC">
        <w:rPr>
          <w:sz w:val="22"/>
          <w:lang w:val="es-ES"/>
        </w:rPr>
        <w:t>Universidad de Ciencias Médicas de Pinar del Río. Facultad de Ciencias Médicas “Ernesto Guevara de la Serna”</w:t>
      </w:r>
      <w:r w:rsidR="00AB0792">
        <w:rPr>
          <w:sz w:val="22"/>
          <w:lang w:val="es-ES"/>
        </w:rPr>
        <w:t xml:space="preserve"> </w:t>
      </w:r>
      <w:r w:rsidRPr="001F46BC">
        <w:rPr>
          <w:sz w:val="22"/>
          <w:lang w:val="es-ES"/>
        </w:rPr>
        <w:t>.</w:t>
      </w:r>
      <w:r>
        <w:rPr>
          <w:sz w:val="22"/>
          <w:lang w:val="es-ES"/>
        </w:rPr>
        <w:t>Pro</w:t>
      </w:r>
      <w:r w:rsidRPr="001F46BC">
        <w:rPr>
          <w:sz w:val="22"/>
          <w:lang w:val="es-ES"/>
        </w:rPr>
        <w:t>vincia Pinar del Río.</w:t>
      </w:r>
      <w:r w:rsidR="00AB0792">
        <w:rPr>
          <w:sz w:val="22"/>
          <w:lang w:val="es-ES"/>
        </w:rPr>
        <w:t xml:space="preserve"> </w:t>
      </w:r>
      <w:r w:rsidRPr="001F46BC">
        <w:rPr>
          <w:sz w:val="22"/>
          <w:lang w:val="es-ES"/>
        </w:rPr>
        <w:t>Cuba</w:t>
      </w:r>
      <w:r>
        <w:rPr>
          <w:sz w:val="22"/>
          <w:lang w:val="es-ES"/>
        </w:rPr>
        <w:t>.</w:t>
      </w:r>
    </w:p>
    <w:p w:rsidR="00526A87" w:rsidRDefault="00526A87" w:rsidP="00526A87">
      <w:pPr>
        <w:spacing w:after="0" w:line="360" w:lineRule="auto"/>
        <w:rPr>
          <w:sz w:val="22"/>
          <w:lang w:val="es-ES"/>
        </w:rPr>
      </w:pPr>
    </w:p>
    <w:p w:rsidR="00CD1E5D" w:rsidRPr="001F46BC" w:rsidRDefault="00CD1E5D" w:rsidP="004E73AA">
      <w:pPr>
        <w:spacing w:after="0" w:line="360" w:lineRule="auto"/>
        <w:jc w:val="both"/>
        <w:rPr>
          <w:sz w:val="22"/>
          <w:lang w:val="es-ES"/>
        </w:rPr>
      </w:pPr>
    </w:p>
    <w:p w:rsidR="002E1482" w:rsidRPr="001F46BC" w:rsidRDefault="002E1482" w:rsidP="00F576CA">
      <w:pPr>
        <w:spacing w:after="0" w:line="360" w:lineRule="auto"/>
        <w:ind w:left="-425"/>
        <w:jc w:val="both"/>
        <w:rPr>
          <w:b/>
          <w:sz w:val="22"/>
          <w:lang w:val="es-ES"/>
        </w:rPr>
      </w:pPr>
    </w:p>
    <w:p w:rsidR="00141650" w:rsidRDefault="00141650" w:rsidP="00F576CA">
      <w:pPr>
        <w:jc w:val="both"/>
      </w:pPr>
    </w:p>
    <w:p w:rsidR="005A7EB6" w:rsidRDefault="005A7EB6" w:rsidP="00F576CA">
      <w:pPr>
        <w:jc w:val="both"/>
      </w:pPr>
    </w:p>
    <w:p w:rsidR="005A7EB6" w:rsidRDefault="005A7EB6" w:rsidP="00F576CA">
      <w:pPr>
        <w:jc w:val="both"/>
      </w:pPr>
    </w:p>
    <w:p w:rsidR="00A76DBE" w:rsidRDefault="00A76DBE" w:rsidP="00DF5FA5">
      <w:pPr>
        <w:spacing w:before="240" w:line="360" w:lineRule="auto"/>
        <w:jc w:val="both"/>
      </w:pPr>
    </w:p>
    <w:p w:rsidR="003116CA" w:rsidRDefault="003116CA" w:rsidP="00DF5FA5">
      <w:pPr>
        <w:spacing w:before="240" w:line="360" w:lineRule="auto"/>
        <w:jc w:val="both"/>
        <w:rPr>
          <w:rFonts w:cs="Arial"/>
          <w:b/>
          <w:sz w:val="22"/>
        </w:rPr>
      </w:pPr>
    </w:p>
    <w:p w:rsidR="005A2EB6" w:rsidRPr="00DF5FA5" w:rsidRDefault="001E3FFF" w:rsidP="00DF5FA5">
      <w:pPr>
        <w:spacing w:before="240" w:line="360" w:lineRule="auto"/>
        <w:jc w:val="both"/>
        <w:rPr>
          <w:rFonts w:cs="Arial"/>
          <w:b/>
          <w:sz w:val="22"/>
        </w:rPr>
      </w:pPr>
      <w:r w:rsidRPr="00DF5FA5">
        <w:rPr>
          <w:rFonts w:cs="Arial"/>
          <w:b/>
          <w:sz w:val="22"/>
        </w:rPr>
        <w:lastRenderedPageBreak/>
        <w:t>RESUMEN</w:t>
      </w:r>
    </w:p>
    <w:p w:rsidR="009A548F" w:rsidRPr="00DF5FA5" w:rsidRDefault="00282FC0" w:rsidP="00DF5FA5">
      <w:pPr>
        <w:spacing w:before="240" w:after="100" w:afterAutospacing="1" w:line="360" w:lineRule="auto"/>
        <w:jc w:val="both"/>
        <w:textAlignment w:val="baseline"/>
        <w:rPr>
          <w:sz w:val="22"/>
          <w:lang w:val="es-ES"/>
        </w:rPr>
      </w:pPr>
      <w:r w:rsidRPr="00DF5FA5">
        <w:rPr>
          <w:rFonts w:cs="Arial"/>
          <w:b/>
          <w:sz w:val="22"/>
        </w:rPr>
        <w:t>Introducción</w:t>
      </w:r>
      <w:r w:rsidRPr="00DF5FA5">
        <w:rPr>
          <w:rFonts w:cs="Arial"/>
          <w:sz w:val="22"/>
        </w:rPr>
        <w:t>:</w:t>
      </w:r>
      <w:r w:rsidRPr="00DF5FA5">
        <w:rPr>
          <w:rFonts w:cs="Arial"/>
          <w:bCs/>
          <w:sz w:val="22"/>
          <w:shd w:val="clear" w:color="auto" w:fill="FFFFFF"/>
        </w:rPr>
        <w:t xml:space="preserve"> Glicocalix</w:t>
      </w:r>
      <w:r w:rsidR="009E1F16" w:rsidRPr="00DF5FA5">
        <w:rPr>
          <w:rFonts w:eastAsia="AGaramondPro-Regular" w:cs="AGaramondPro-Regular"/>
          <w:sz w:val="22"/>
          <w:lang w:val="es-ES"/>
        </w:rPr>
        <w:t xml:space="preserve"> </w:t>
      </w:r>
      <w:r w:rsidR="000F4593" w:rsidRPr="00DF5FA5">
        <w:rPr>
          <w:rFonts w:eastAsia="AGaramondPro-Regular" w:cs="AGaramondPro-Regular"/>
          <w:sz w:val="22"/>
          <w:lang w:val="es-ES"/>
        </w:rPr>
        <w:t xml:space="preserve">es una capa externa presente en algunas células </w:t>
      </w:r>
      <w:r w:rsidR="00842C49" w:rsidRPr="00DF5FA5">
        <w:rPr>
          <w:rFonts w:eastAsia="AGaramondPro-Regular" w:cs="AGaramondPro-Regular"/>
          <w:sz w:val="22"/>
          <w:lang w:val="es-ES"/>
        </w:rPr>
        <w:t>constituído</w:t>
      </w:r>
      <w:r w:rsidR="000F4593" w:rsidRPr="00DF5FA5">
        <w:rPr>
          <w:rFonts w:cs="Arial"/>
          <w:bCs/>
          <w:sz w:val="22"/>
          <w:shd w:val="clear" w:color="auto" w:fill="FFFFFF"/>
          <w:lang w:val="es-ES"/>
        </w:rPr>
        <w:t xml:space="preserve"> </w:t>
      </w:r>
      <w:r w:rsidR="00783A88" w:rsidRPr="00DF5FA5">
        <w:rPr>
          <w:rFonts w:cs="Arial"/>
          <w:bCs/>
          <w:sz w:val="22"/>
          <w:shd w:val="clear" w:color="auto" w:fill="FFFFFF"/>
          <w:lang w:val="es-ES"/>
        </w:rPr>
        <w:t>principalmente</w:t>
      </w:r>
      <w:r w:rsidR="00504E78" w:rsidRPr="00DF5FA5">
        <w:rPr>
          <w:rFonts w:cs="Arial"/>
          <w:bCs/>
          <w:sz w:val="22"/>
          <w:shd w:val="clear" w:color="auto" w:fill="FFFFFF"/>
          <w:lang w:val="es-ES"/>
        </w:rPr>
        <w:t xml:space="preserve"> por</w:t>
      </w:r>
      <w:r w:rsidR="009E1F16" w:rsidRPr="00DF5FA5">
        <w:rPr>
          <w:rFonts w:cs="Arial"/>
          <w:bCs/>
          <w:sz w:val="22"/>
          <w:shd w:val="clear" w:color="auto" w:fill="FFFFFF"/>
          <w:lang w:val="es-ES"/>
        </w:rPr>
        <w:t xml:space="preserve"> proteoglicanos, glucosaminoglicanos y </w:t>
      </w:r>
      <w:r w:rsidR="0005761A" w:rsidRPr="00DF5FA5">
        <w:rPr>
          <w:rFonts w:cs="Arial"/>
          <w:bCs/>
          <w:sz w:val="22"/>
          <w:shd w:val="clear" w:color="auto" w:fill="FFFFFF"/>
          <w:lang w:val="es-ES"/>
        </w:rPr>
        <w:t>glicoproteínas, cuya</w:t>
      </w:r>
      <w:r w:rsidR="008E078B" w:rsidRPr="00DF5FA5">
        <w:rPr>
          <w:rFonts w:cs="Arial"/>
          <w:bCs/>
          <w:sz w:val="22"/>
          <w:shd w:val="clear" w:color="auto" w:fill="FFFFFF"/>
          <w:lang w:val="es-ES"/>
        </w:rPr>
        <w:t xml:space="preserve"> principal función es el reconocimiento celular y la adhesión</w:t>
      </w:r>
      <w:r w:rsidR="00E213C4" w:rsidRPr="00DF5FA5">
        <w:rPr>
          <w:rFonts w:cs="Arial"/>
          <w:bCs/>
          <w:sz w:val="22"/>
          <w:shd w:val="clear" w:color="auto" w:fill="FFFFFF"/>
          <w:lang w:val="es-ES"/>
        </w:rPr>
        <w:t>.</w:t>
      </w:r>
      <w:r w:rsidR="00963DC1" w:rsidRPr="00DF5FA5">
        <w:rPr>
          <w:rFonts w:cs="Arial"/>
          <w:bCs/>
          <w:sz w:val="22"/>
          <w:shd w:val="clear" w:color="auto" w:fill="FFFFFF"/>
          <w:lang w:val="es-ES"/>
        </w:rPr>
        <w:t xml:space="preserve"> </w:t>
      </w:r>
      <w:r w:rsidR="005E764B" w:rsidRPr="00DF5FA5">
        <w:rPr>
          <w:rFonts w:cs="Arial"/>
          <w:b/>
          <w:bCs/>
          <w:sz w:val="22"/>
          <w:shd w:val="clear" w:color="auto" w:fill="FFFFFF"/>
          <w:lang w:val="es-ES"/>
        </w:rPr>
        <w:t>Objetivo</w:t>
      </w:r>
      <w:r w:rsidR="005E764B" w:rsidRPr="00DF5FA5">
        <w:rPr>
          <w:rFonts w:cs="Arial"/>
          <w:bCs/>
          <w:sz w:val="22"/>
          <w:shd w:val="clear" w:color="auto" w:fill="FFFFFF"/>
          <w:lang w:val="es-ES"/>
        </w:rPr>
        <w:t>:</w:t>
      </w:r>
      <w:r w:rsidR="000A5F15" w:rsidRPr="00DF5FA5">
        <w:rPr>
          <w:rFonts w:cs="Arial"/>
          <w:bCs/>
          <w:sz w:val="22"/>
          <w:shd w:val="clear" w:color="auto" w:fill="FFFFFF"/>
          <w:lang w:val="es-ES"/>
        </w:rPr>
        <w:t xml:space="preserve"> </w:t>
      </w:r>
      <w:r w:rsidR="00E213C4" w:rsidRPr="00DF5FA5">
        <w:rPr>
          <w:rFonts w:cs="Arial"/>
          <w:bCs/>
          <w:sz w:val="22"/>
          <w:shd w:val="clear" w:color="auto" w:fill="FFFFFF"/>
          <w:lang w:val="es-ES"/>
        </w:rPr>
        <w:t xml:space="preserve">Realizar una revisión </w:t>
      </w:r>
      <w:r w:rsidR="000202AB" w:rsidRPr="00DF5FA5">
        <w:rPr>
          <w:rFonts w:cs="Arial"/>
          <w:bCs/>
          <w:sz w:val="22"/>
          <w:shd w:val="clear" w:color="auto" w:fill="FFFFFF"/>
          <w:lang w:val="es-ES"/>
        </w:rPr>
        <w:t>bibliográfica</w:t>
      </w:r>
      <w:r w:rsidR="00E213C4" w:rsidRPr="00DF5FA5">
        <w:rPr>
          <w:rFonts w:cs="Arial"/>
          <w:bCs/>
          <w:sz w:val="22"/>
          <w:shd w:val="clear" w:color="auto" w:fill="FFFFFF"/>
          <w:lang w:val="es-ES"/>
        </w:rPr>
        <w:t xml:space="preserve"> sobre la importancia básico-clínica del glicocalix</w:t>
      </w:r>
      <w:r w:rsidR="0051565E" w:rsidRPr="00DF5FA5">
        <w:rPr>
          <w:rFonts w:cs="Arial"/>
          <w:bCs/>
          <w:sz w:val="22"/>
          <w:shd w:val="clear" w:color="auto" w:fill="FFFFFF"/>
          <w:lang w:val="es-ES"/>
        </w:rPr>
        <w:t>.</w:t>
      </w:r>
      <w:r w:rsidR="00BB0720" w:rsidRPr="00DF5FA5">
        <w:rPr>
          <w:b/>
          <w:sz w:val="22"/>
        </w:rPr>
        <w:t xml:space="preserve"> Materiales y métodos</w:t>
      </w:r>
      <w:r w:rsidR="00240EB7" w:rsidRPr="00DF5FA5">
        <w:rPr>
          <w:b/>
          <w:sz w:val="22"/>
        </w:rPr>
        <w:t>:</w:t>
      </w:r>
      <w:r w:rsidR="005208CC" w:rsidRPr="00DF5FA5">
        <w:rPr>
          <w:rFonts w:cs="Arial"/>
          <w:sz w:val="22"/>
          <w:lang w:val="es-ES"/>
        </w:rPr>
        <w:t xml:space="preserve"> Se realizó una revisión bibliográfica sobre el tema, con análisis documental y contrastación de la información científica en bases de datos SciELO, Medline, Scopus, Medscape</w:t>
      </w:r>
      <w:r w:rsidR="005E3C00" w:rsidRPr="00DF5FA5">
        <w:rPr>
          <w:rFonts w:cs="Arial"/>
          <w:sz w:val="22"/>
          <w:lang w:val="es-ES"/>
        </w:rPr>
        <w:t>.</w:t>
      </w:r>
      <w:r w:rsidR="00EB2968" w:rsidRPr="00DF5FA5">
        <w:rPr>
          <w:rFonts w:cs="Arial"/>
          <w:sz w:val="22"/>
          <w:lang w:val="es-ES"/>
        </w:rPr>
        <w:t xml:space="preserve"> </w:t>
      </w:r>
      <w:r w:rsidR="005E3C00" w:rsidRPr="00DF5FA5">
        <w:rPr>
          <w:rFonts w:cs="Arial"/>
          <w:b/>
          <w:sz w:val="22"/>
          <w:lang w:val="es-ES"/>
        </w:rPr>
        <w:t>Desarrollo</w:t>
      </w:r>
      <w:r w:rsidR="00EB2968" w:rsidRPr="00DF5FA5">
        <w:rPr>
          <w:rFonts w:cs="Arial"/>
          <w:b/>
          <w:sz w:val="22"/>
          <w:lang w:val="es-ES"/>
        </w:rPr>
        <w:t>:</w:t>
      </w:r>
      <w:r w:rsidR="00D46EB6" w:rsidRPr="00DF5FA5">
        <w:rPr>
          <w:rFonts w:eastAsia="MyriadPro-Light" w:cs="MyriadPro-Light"/>
          <w:sz w:val="22"/>
          <w:lang w:val="es-ES"/>
        </w:rPr>
        <w:t xml:space="preserve"> </w:t>
      </w:r>
      <w:r w:rsidR="00D46EB6" w:rsidRPr="00DF5FA5">
        <w:rPr>
          <w:rFonts w:cs="Arial"/>
          <w:sz w:val="22"/>
          <w:lang w:val="es-ES"/>
        </w:rPr>
        <w:t>El glicocalix</w:t>
      </w:r>
      <w:r w:rsidR="00B33445" w:rsidRPr="00DF5FA5">
        <w:rPr>
          <w:rFonts w:cs="Arial"/>
          <w:sz w:val="22"/>
          <w:lang w:val="es-ES"/>
        </w:rPr>
        <w:t xml:space="preserve"> endotelial</w:t>
      </w:r>
      <w:r w:rsidR="00D43C95" w:rsidRPr="00DF5FA5">
        <w:rPr>
          <w:rFonts w:cs="Arial"/>
          <w:sz w:val="22"/>
          <w:lang w:val="es-ES"/>
        </w:rPr>
        <w:t xml:space="preserve">, es una estructura descrita </w:t>
      </w:r>
      <w:r w:rsidR="00D46EB6" w:rsidRPr="00DF5FA5">
        <w:rPr>
          <w:rFonts w:cs="Arial"/>
          <w:sz w:val="22"/>
          <w:lang w:val="es-ES"/>
        </w:rPr>
        <w:t xml:space="preserve">por primera vez en el </w:t>
      </w:r>
      <w:r w:rsidR="000A5F15" w:rsidRPr="00DF5FA5">
        <w:rPr>
          <w:rFonts w:cs="Arial"/>
          <w:sz w:val="22"/>
          <w:lang w:val="es-ES"/>
        </w:rPr>
        <w:t>año</w:t>
      </w:r>
      <w:r w:rsidR="00D46EB6" w:rsidRPr="00DF5FA5">
        <w:rPr>
          <w:rFonts w:cs="Arial"/>
          <w:sz w:val="22"/>
          <w:lang w:val="es-ES"/>
        </w:rPr>
        <w:t xml:space="preserve"> 1966 por Luft J. H. Esta es </w:t>
      </w:r>
      <w:r w:rsidR="00D43C95" w:rsidRPr="00DF5FA5">
        <w:rPr>
          <w:rFonts w:cs="Arial"/>
          <w:sz w:val="22"/>
          <w:lang w:val="es-ES"/>
        </w:rPr>
        <w:t xml:space="preserve">dinámica </w:t>
      </w:r>
      <w:r w:rsidR="00D46EB6" w:rsidRPr="00DF5FA5">
        <w:rPr>
          <w:rFonts w:cs="Arial"/>
          <w:sz w:val="22"/>
          <w:lang w:val="es-ES"/>
        </w:rPr>
        <w:t>y tapiza el endotelio vascular. Es rica en carbohidratos,</w:t>
      </w:r>
      <w:r w:rsidR="00D43C95" w:rsidRPr="00DF5FA5">
        <w:rPr>
          <w:rFonts w:cs="Arial"/>
          <w:sz w:val="22"/>
          <w:lang w:val="es-ES"/>
        </w:rPr>
        <w:t xml:space="preserve"> </w:t>
      </w:r>
      <w:r w:rsidR="00782127" w:rsidRPr="00DF5FA5">
        <w:rPr>
          <w:rFonts w:cs="Arial"/>
          <w:sz w:val="22"/>
          <w:lang w:val="es-ES"/>
        </w:rPr>
        <w:t>específicamente</w:t>
      </w:r>
      <w:r w:rsidR="00D46EB6" w:rsidRPr="00DF5FA5">
        <w:rPr>
          <w:rFonts w:cs="Arial"/>
          <w:sz w:val="22"/>
          <w:lang w:val="es-ES"/>
        </w:rPr>
        <w:t xml:space="preserve"> proteoglicanos, glucosaminoglicanos y </w:t>
      </w:r>
      <w:r w:rsidR="00B33445" w:rsidRPr="00DF5FA5">
        <w:rPr>
          <w:rFonts w:cs="Arial"/>
          <w:sz w:val="22"/>
          <w:lang w:val="es-ES"/>
        </w:rPr>
        <w:t>glicoproteínas</w:t>
      </w:r>
      <w:r w:rsidR="00D46EB6" w:rsidRPr="00DF5FA5">
        <w:rPr>
          <w:rFonts w:cs="Arial"/>
          <w:sz w:val="22"/>
          <w:lang w:val="es-ES"/>
        </w:rPr>
        <w:t>,</w:t>
      </w:r>
      <w:r w:rsidR="00D43C95" w:rsidRPr="00DF5FA5">
        <w:rPr>
          <w:rFonts w:cs="Arial"/>
          <w:sz w:val="22"/>
          <w:lang w:val="es-ES"/>
        </w:rPr>
        <w:t xml:space="preserve"> </w:t>
      </w:r>
      <w:r w:rsidR="00D46EB6" w:rsidRPr="00DF5FA5">
        <w:rPr>
          <w:rFonts w:cs="Arial"/>
          <w:sz w:val="22"/>
          <w:lang w:val="es-ES"/>
        </w:rPr>
        <w:t>los cuales se encuentran dispuestos en red y son</w:t>
      </w:r>
      <w:r w:rsidR="00D43C95" w:rsidRPr="00DF5FA5">
        <w:rPr>
          <w:rFonts w:cs="Arial"/>
          <w:sz w:val="22"/>
          <w:lang w:val="es-ES"/>
        </w:rPr>
        <w:t xml:space="preserve"> </w:t>
      </w:r>
      <w:r w:rsidR="00D46EB6" w:rsidRPr="00DF5FA5">
        <w:rPr>
          <w:rFonts w:cs="Arial"/>
          <w:sz w:val="22"/>
          <w:lang w:val="es-ES"/>
        </w:rPr>
        <w:t xml:space="preserve">sintetizados en la </w:t>
      </w:r>
      <w:r w:rsidR="00B33445" w:rsidRPr="00DF5FA5">
        <w:rPr>
          <w:rFonts w:cs="Arial"/>
          <w:sz w:val="22"/>
          <w:lang w:val="es-ES"/>
        </w:rPr>
        <w:t>célula</w:t>
      </w:r>
      <w:r w:rsidR="00D46EB6" w:rsidRPr="00DF5FA5">
        <w:rPr>
          <w:rFonts w:cs="Arial"/>
          <w:sz w:val="22"/>
          <w:lang w:val="es-ES"/>
        </w:rPr>
        <w:t xml:space="preserve"> endotelial</w:t>
      </w:r>
      <w:r w:rsidR="00D46EB6" w:rsidRPr="00DF5FA5">
        <w:rPr>
          <w:rFonts w:cs="Arial"/>
          <w:b/>
          <w:sz w:val="22"/>
          <w:lang w:val="es-ES"/>
        </w:rPr>
        <w:t>.</w:t>
      </w:r>
      <w:r w:rsidR="00782127" w:rsidRPr="00DF5FA5">
        <w:rPr>
          <w:rFonts w:eastAsia="MyriadPro-Light" w:cs="MyriadPro-Light"/>
          <w:sz w:val="22"/>
          <w:lang w:val="es-ES"/>
        </w:rPr>
        <w:t xml:space="preserve"> </w:t>
      </w:r>
      <w:r w:rsidR="00782127" w:rsidRPr="00DF5FA5">
        <w:rPr>
          <w:rFonts w:cs="Arial"/>
          <w:sz w:val="22"/>
          <w:lang w:val="es-ES"/>
        </w:rPr>
        <w:t>Participa en el mantenimien</w:t>
      </w:r>
      <w:r w:rsidR="00A920E6" w:rsidRPr="00DF5FA5">
        <w:rPr>
          <w:rFonts w:cs="Arial"/>
          <w:sz w:val="22"/>
          <w:lang w:val="es-ES"/>
        </w:rPr>
        <w:t xml:space="preserve">to de la integridad vascular, y </w:t>
      </w:r>
      <w:r w:rsidR="00B33445" w:rsidRPr="00DF5FA5">
        <w:rPr>
          <w:rFonts w:cs="Arial"/>
          <w:sz w:val="22"/>
          <w:lang w:val="es-ES"/>
        </w:rPr>
        <w:t>desempeña</w:t>
      </w:r>
      <w:r w:rsidR="00A920E6" w:rsidRPr="00DF5FA5">
        <w:rPr>
          <w:rFonts w:cs="Arial"/>
          <w:sz w:val="22"/>
          <w:lang w:val="es-ES"/>
        </w:rPr>
        <w:t xml:space="preserve"> una </w:t>
      </w:r>
      <w:r w:rsidR="00B33445" w:rsidRPr="00DF5FA5">
        <w:rPr>
          <w:rFonts w:cs="Arial"/>
          <w:sz w:val="22"/>
          <w:lang w:val="es-ES"/>
        </w:rPr>
        <w:t>función</w:t>
      </w:r>
      <w:r w:rsidR="00A920E6" w:rsidRPr="00DF5FA5">
        <w:rPr>
          <w:rFonts w:cs="Arial"/>
          <w:sz w:val="22"/>
          <w:lang w:val="es-ES"/>
        </w:rPr>
        <w:t xml:space="preserve"> fundamental en la  </w:t>
      </w:r>
      <w:r w:rsidR="00B33445" w:rsidRPr="00DF5FA5">
        <w:rPr>
          <w:rFonts w:cs="Arial"/>
          <w:sz w:val="22"/>
          <w:lang w:val="es-ES"/>
        </w:rPr>
        <w:t>regulación</w:t>
      </w:r>
      <w:r w:rsidR="00782127" w:rsidRPr="00DF5FA5">
        <w:rPr>
          <w:rFonts w:cs="Arial"/>
          <w:sz w:val="22"/>
          <w:lang w:val="es-ES"/>
        </w:rPr>
        <w:t xml:space="preserve"> de la</w:t>
      </w:r>
      <w:r w:rsidR="00A920E6" w:rsidRPr="00DF5FA5">
        <w:rPr>
          <w:rFonts w:cs="Arial"/>
          <w:sz w:val="22"/>
          <w:lang w:val="es-ES"/>
        </w:rPr>
        <w:t xml:space="preserve"> </w:t>
      </w:r>
      <w:r w:rsidR="00782127" w:rsidRPr="00DF5FA5">
        <w:rPr>
          <w:rFonts w:cs="Arial"/>
          <w:sz w:val="22"/>
          <w:lang w:val="es-ES"/>
        </w:rPr>
        <w:t xml:space="preserve">resistencia y la permeabilidad </w:t>
      </w:r>
      <w:r w:rsidR="005E764B" w:rsidRPr="00DF5FA5">
        <w:rPr>
          <w:rFonts w:cs="Arial"/>
          <w:sz w:val="22"/>
          <w:lang w:val="es-ES"/>
        </w:rPr>
        <w:t>vascular, siendo</w:t>
      </w:r>
      <w:r w:rsidR="00D7511C" w:rsidRPr="00DF5FA5">
        <w:rPr>
          <w:rFonts w:cs="Arial"/>
          <w:sz w:val="22"/>
          <w:lang w:val="es-ES"/>
        </w:rPr>
        <w:t xml:space="preserve"> </w:t>
      </w:r>
      <w:r w:rsidR="005E764B" w:rsidRPr="00DF5FA5">
        <w:rPr>
          <w:rFonts w:cs="Arial"/>
          <w:sz w:val="22"/>
          <w:lang w:val="es-ES"/>
        </w:rPr>
        <w:t>diana, su</w:t>
      </w:r>
      <w:r w:rsidR="00D7511C" w:rsidRPr="00DF5FA5">
        <w:rPr>
          <w:rFonts w:cs="Arial"/>
          <w:sz w:val="22"/>
          <w:lang w:val="es-ES"/>
        </w:rPr>
        <w:t xml:space="preserve"> </w:t>
      </w:r>
      <w:r w:rsidR="005E764B" w:rsidRPr="00DF5FA5">
        <w:rPr>
          <w:rFonts w:cs="Arial"/>
          <w:sz w:val="22"/>
          <w:lang w:val="es-ES"/>
        </w:rPr>
        <w:t>estructura, de</w:t>
      </w:r>
      <w:r w:rsidR="00D7511C" w:rsidRPr="00DF5FA5">
        <w:rPr>
          <w:rFonts w:cs="Arial"/>
          <w:sz w:val="22"/>
          <w:lang w:val="es-ES"/>
        </w:rPr>
        <w:t xml:space="preserve"> la </w:t>
      </w:r>
      <w:r w:rsidR="005E764B" w:rsidRPr="00DF5FA5">
        <w:rPr>
          <w:rFonts w:cs="Arial"/>
          <w:sz w:val="22"/>
          <w:lang w:val="es-ES"/>
        </w:rPr>
        <w:t>fisiopatología</w:t>
      </w:r>
      <w:r w:rsidR="00D7511C" w:rsidRPr="00DF5FA5">
        <w:rPr>
          <w:rFonts w:cs="Arial"/>
          <w:sz w:val="22"/>
          <w:lang w:val="es-ES"/>
        </w:rPr>
        <w:t xml:space="preserve"> de numerosas enfermedades.</w:t>
      </w:r>
      <w:r w:rsidR="009A548F" w:rsidRPr="00DF5FA5">
        <w:rPr>
          <w:b/>
          <w:sz w:val="22"/>
        </w:rPr>
        <w:t xml:space="preserve"> Conclusiones</w:t>
      </w:r>
      <w:r w:rsidR="009A548F" w:rsidRPr="00DF5FA5">
        <w:rPr>
          <w:sz w:val="22"/>
        </w:rPr>
        <w:t>:</w:t>
      </w:r>
      <w:r w:rsidR="009A548F" w:rsidRPr="00DF5FA5">
        <w:rPr>
          <w:rFonts w:eastAsia="MyriadPro-Light" w:cs="MyriadPro-Light"/>
          <w:sz w:val="22"/>
          <w:lang w:val="es-ES"/>
        </w:rPr>
        <w:t xml:space="preserve"> </w:t>
      </w:r>
      <w:r w:rsidR="009A548F" w:rsidRPr="00DF5FA5">
        <w:rPr>
          <w:sz w:val="22"/>
          <w:lang w:val="es-ES"/>
        </w:rPr>
        <w:t>Es de importancia para todo el personal de salud, conocer su estructura, composición, funciones y factores que desencadenan sus destrucción y mal funcionamiento.</w:t>
      </w:r>
    </w:p>
    <w:p w:rsidR="00754D55" w:rsidRPr="00DF5FA5" w:rsidRDefault="007D29A8" w:rsidP="00DF5FA5">
      <w:pPr>
        <w:spacing w:before="240" w:after="100" w:afterAutospacing="1" w:line="360" w:lineRule="auto"/>
        <w:jc w:val="both"/>
        <w:textAlignment w:val="baseline"/>
        <w:rPr>
          <w:sz w:val="22"/>
          <w:lang w:val="es-ES"/>
        </w:rPr>
      </w:pPr>
      <w:r w:rsidRPr="00DF5FA5">
        <w:rPr>
          <w:b/>
          <w:sz w:val="22"/>
          <w:lang w:val="es-ES"/>
        </w:rPr>
        <w:t>Palabras claves</w:t>
      </w:r>
      <w:r w:rsidRPr="00DF5FA5">
        <w:rPr>
          <w:sz w:val="22"/>
          <w:lang w:val="es-ES"/>
        </w:rPr>
        <w:t>: endotelio, disfunción endotelial, glicocálix, proteoglicanos.</w:t>
      </w: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323782" w:rsidRDefault="00323782" w:rsidP="00DF5FA5">
      <w:pPr>
        <w:spacing w:before="240" w:after="100" w:afterAutospacing="1" w:line="360" w:lineRule="auto"/>
        <w:jc w:val="both"/>
        <w:textAlignment w:val="baseline"/>
        <w:rPr>
          <w:rFonts w:cs="Arial"/>
          <w:b/>
          <w:sz w:val="22"/>
        </w:rPr>
      </w:pPr>
    </w:p>
    <w:p w:rsidR="005A7EB6" w:rsidRPr="00DF5FA5" w:rsidRDefault="005A7EB6" w:rsidP="00DF5FA5">
      <w:pPr>
        <w:spacing w:before="240" w:after="100" w:afterAutospacing="1" w:line="360" w:lineRule="auto"/>
        <w:jc w:val="both"/>
        <w:textAlignment w:val="baseline"/>
        <w:rPr>
          <w:sz w:val="22"/>
          <w:lang w:val="es-ES"/>
        </w:rPr>
      </w:pPr>
      <w:r w:rsidRPr="00DF5FA5">
        <w:rPr>
          <w:rFonts w:cs="Arial"/>
          <w:b/>
          <w:sz w:val="22"/>
        </w:rPr>
        <w:lastRenderedPageBreak/>
        <w:t>INTRODUCCIÓN</w:t>
      </w:r>
    </w:p>
    <w:p w:rsidR="00AF3859" w:rsidRPr="00DF5FA5" w:rsidRDefault="00AF3859" w:rsidP="00DF5FA5">
      <w:pPr>
        <w:spacing w:before="240" w:after="100" w:afterAutospacing="1" w:line="360" w:lineRule="auto"/>
        <w:jc w:val="both"/>
        <w:textAlignment w:val="baseline"/>
        <w:rPr>
          <w:sz w:val="22"/>
          <w:lang w:val="es-ES"/>
        </w:rPr>
      </w:pPr>
      <w:r w:rsidRPr="00DF5FA5">
        <w:rPr>
          <w:rFonts w:eastAsia="Times New Roman" w:cs="Arial"/>
          <w:sz w:val="22"/>
          <w:bdr w:val="none" w:sz="0" w:space="0" w:color="auto" w:frame="1"/>
          <w:lang w:val="es-ES" w:eastAsia="pt-BR"/>
        </w:rPr>
        <w:t>Desde hace algunos siglos, con el microscopio de luz y posteriormente con el electrónico se ha observado que las células están limitadas externamente por la membrana celular. En las últimas décadas, en algunas células animales y en bacterias se ha observado que este límite externo está cubierto por una tenue capa formada principalmente por mucopolisacáridos, y que s</w:t>
      </w:r>
      <w:r w:rsidR="00864582" w:rsidRPr="00DF5FA5">
        <w:rPr>
          <w:rFonts w:eastAsia="Times New Roman" w:cs="Arial"/>
          <w:sz w:val="22"/>
          <w:bdr w:val="none" w:sz="0" w:space="0" w:color="auto" w:frame="1"/>
          <w:lang w:val="es-ES" w:eastAsia="pt-BR"/>
        </w:rPr>
        <w:t>e ha denominado gli</w:t>
      </w:r>
      <w:r w:rsidRPr="00DF5FA5">
        <w:rPr>
          <w:rFonts w:eastAsia="Times New Roman" w:cs="Arial"/>
          <w:sz w:val="22"/>
          <w:bdr w:val="none" w:sz="0" w:space="0" w:color="auto" w:frame="1"/>
          <w:lang w:val="es-ES" w:eastAsia="pt-BR"/>
        </w:rPr>
        <w:t>cocálix.</w:t>
      </w:r>
      <w:r w:rsidR="00662C8F" w:rsidRPr="00DF5FA5">
        <w:rPr>
          <w:b/>
          <w:sz w:val="22"/>
        </w:rPr>
        <w:t xml:space="preserve"> </w:t>
      </w:r>
    </w:p>
    <w:p w:rsidR="00382015" w:rsidRPr="00DF5FA5" w:rsidRDefault="00282FC0" w:rsidP="00DF5FA5">
      <w:pPr>
        <w:spacing w:before="240" w:after="100" w:afterAutospacing="1" w:line="360" w:lineRule="auto"/>
        <w:jc w:val="both"/>
        <w:textAlignment w:val="baseline"/>
        <w:rPr>
          <w:rFonts w:cs="Arial"/>
          <w:sz w:val="22"/>
          <w:shd w:val="clear" w:color="auto" w:fill="FFFFFF"/>
        </w:rPr>
      </w:pPr>
      <w:r w:rsidRPr="007C0AD4">
        <w:rPr>
          <w:rFonts w:cs="Arial"/>
          <w:bCs/>
          <w:sz w:val="22"/>
          <w:shd w:val="clear" w:color="auto" w:fill="FFFFFF"/>
        </w:rPr>
        <w:t>Glicocalix (</w:t>
      </w:r>
      <w:r w:rsidR="002C0A18" w:rsidRPr="007C0AD4">
        <w:rPr>
          <w:rFonts w:cs="Arial"/>
          <w:bCs/>
          <w:sz w:val="22"/>
          <w:shd w:val="clear" w:color="auto" w:fill="FFFFFF"/>
        </w:rPr>
        <w:t>GCX)</w:t>
      </w:r>
      <w:r w:rsidR="00382015" w:rsidRPr="007C0AD4">
        <w:rPr>
          <w:rFonts w:cs="Arial"/>
          <w:sz w:val="22"/>
          <w:shd w:val="clear" w:color="auto" w:fill="FFFFFF"/>
        </w:rPr>
        <w:t>, </w:t>
      </w:r>
      <w:r w:rsidR="00382015" w:rsidRPr="007C0AD4">
        <w:rPr>
          <w:rFonts w:cs="Arial"/>
          <w:bCs/>
          <w:sz w:val="22"/>
          <w:shd w:val="clear" w:color="auto" w:fill="FFFFFF"/>
        </w:rPr>
        <w:t>glucocáliz</w:t>
      </w:r>
      <w:r w:rsidR="00382015" w:rsidRPr="007C0AD4">
        <w:rPr>
          <w:rFonts w:cs="Arial"/>
          <w:sz w:val="22"/>
          <w:shd w:val="clear" w:color="auto" w:fill="FFFFFF"/>
        </w:rPr>
        <w:t> o </w:t>
      </w:r>
      <w:r w:rsidR="00382015" w:rsidRPr="007C0AD4">
        <w:rPr>
          <w:rFonts w:cs="Arial"/>
          <w:bCs/>
          <w:sz w:val="22"/>
          <w:shd w:val="clear" w:color="auto" w:fill="FFFFFF"/>
        </w:rPr>
        <w:t>glicocáliz</w:t>
      </w:r>
      <w:r w:rsidR="00382015" w:rsidRPr="00DF5FA5">
        <w:rPr>
          <w:rFonts w:cs="Arial"/>
          <w:sz w:val="22"/>
          <w:shd w:val="clear" w:color="auto" w:fill="FFFFFF"/>
        </w:rPr>
        <w:t> es un término genérico que se refiere al material </w:t>
      </w:r>
      <w:hyperlink r:id="rId5" w:tooltip="Polímero" w:history="1">
        <w:r w:rsidR="00382015" w:rsidRPr="00DF5FA5">
          <w:rPr>
            <w:rStyle w:val="Hyperlink"/>
            <w:rFonts w:cs="Arial"/>
            <w:color w:val="auto"/>
            <w:sz w:val="22"/>
            <w:u w:val="none"/>
            <w:shd w:val="clear" w:color="auto" w:fill="FFFFFF"/>
          </w:rPr>
          <w:t>polimérico</w:t>
        </w:r>
      </w:hyperlink>
      <w:r w:rsidR="00382015" w:rsidRPr="00DF5FA5">
        <w:rPr>
          <w:rFonts w:cs="Arial"/>
          <w:sz w:val="22"/>
          <w:shd w:val="clear" w:color="auto" w:fill="FFFFFF"/>
        </w:rPr>
        <w:t> extracelular producido por algunas </w:t>
      </w:r>
      <w:hyperlink r:id="rId6" w:tooltip="Bacteria" w:history="1">
        <w:r w:rsidR="00382015" w:rsidRPr="00DF5FA5">
          <w:rPr>
            <w:rStyle w:val="Hyperlink"/>
            <w:rFonts w:cs="Arial"/>
            <w:color w:val="auto"/>
            <w:sz w:val="22"/>
            <w:u w:val="none"/>
            <w:shd w:val="clear" w:color="auto" w:fill="FFFFFF"/>
          </w:rPr>
          <w:t>bacterias</w:t>
        </w:r>
      </w:hyperlink>
      <w:r w:rsidR="00382015" w:rsidRPr="00DF5FA5">
        <w:rPr>
          <w:rFonts w:cs="Arial"/>
          <w:sz w:val="22"/>
          <w:shd w:val="clear" w:color="auto" w:fill="FFFFFF"/>
        </w:rPr>
        <w:t> u otras células, tales como las </w:t>
      </w:r>
      <w:hyperlink r:id="rId7" w:tooltip="Epitelio" w:history="1">
        <w:r w:rsidR="00382015" w:rsidRPr="00DF5FA5">
          <w:rPr>
            <w:rStyle w:val="Hyperlink"/>
            <w:rFonts w:cs="Arial"/>
            <w:color w:val="auto"/>
            <w:sz w:val="22"/>
            <w:u w:val="none"/>
            <w:shd w:val="clear" w:color="auto" w:fill="FFFFFF"/>
          </w:rPr>
          <w:t>epiteliales</w:t>
        </w:r>
      </w:hyperlink>
      <w:r w:rsidR="00382015" w:rsidRPr="00DF5FA5">
        <w:rPr>
          <w:rFonts w:cs="Arial"/>
          <w:sz w:val="22"/>
          <w:shd w:val="clear" w:color="auto" w:fill="FFFFFF"/>
        </w:rPr>
        <w:t>. La capa mucilaginosa presente sobre la superficie exterior de los peces también se considera un glicocalix. El término fue aplicado inicialmente a la matriz de </w:t>
      </w:r>
      <w:hyperlink r:id="rId8" w:tooltip="Polisacárido" w:history="1">
        <w:r w:rsidR="00382015" w:rsidRPr="00DF5FA5">
          <w:rPr>
            <w:rStyle w:val="Hyperlink"/>
            <w:rFonts w:cs="Arial"/>
            <w:color w:val="auto"/>
            <w:sz w:val="22"/>
            <w:u w:val="none"/>
            <w:shd w:val="clear" w:color="auto" w:fill="FFFFFF"/>
          </w:rPr>
          <w:t>polisacárido</w:t>
        </w:r>
      </w:hyperlink>
      <w:r w:rsidR="00382015" w:rsidRPr="00DF5FA5">
        <w:rPr>
          <w:rFonts w:cs="Arial"/>
          <w:sz w:val="22"/>
          <w:shd w:val="clear" w:color="auto" w:fill="FFFFFF"/>
        </w:rPr>
        <w:t> secretada por las células epiteliales y que forman una capa superficial.</w:t>
      </w:r>
    </w:p>
    <w:p w:rsidR="00354909" w:rsidRPr="00DF5FA5" w:rsidRDefault="00CA2A3C" w:rsidP="00DF5FA5">
      <w:pPr>
        <w:spacing w:before="240" w:line="360" w:lineRule="auto"/>
        <w:jc w:val="both"/>
        <w:rPr>
          <w:rFonts w:cs="Arial"/>
          <w:sz w:val="22"/>
        </w:rPr>
      </w:pPr>
      <w:r w:rsidRPr="00DF5FA5">
        <w:rPr>
          <w:rFonts w:eastAsia="Times New Roman" w:cs="Arial"/>
          <w:sz w:val="22"/>
          <w:bdr w:val="none" w:sz="0" w:space="0" w:color="auto" w:frame="1"/>
          <w:lang w:val="es-ES" w:eastAsia="pt-BR"/>
        </w:rPr>
        <w:t>La razón por la que no se había observado antes es que tanto la preparación para la microscopia de luz, como la fijación habitual del tejido para su observación con microscopio electrónico, a base de glutaraldehido y tetraóxido de osmio permiten preservar las proteínas y los lípidos, mientras que los hidratos de carbono desaparecen. En cambio, con otros métodos de fijación, por ejemplo con rojo de rutenio que estabiliza los grupos aniónicos, también se preservan los hidratos de carbono y se pone de manifiesto el glucocálix</w:t>
      </w:r>
      <w:r w:rsidRPr="00DF5FA5">
        <w:rPr>
          <w:rFonts w:eastAsia="Times New Roman" w:cs="Arial"/>
          <w:sz w:val="22"/>
          <w:bdr w:val="none" w:sz="0" w:space="0" w:color="auto" w:frame="1"/>
          <w:vertAlign w:val="superscript"/>
          <w:lang w:val="es-ES" w:eastAsia="pt-BR"/>
        </w:rPr>
        <w:t>1</w:t>
      </w:r>
      <w:r w:rsidRPr="00DF5FA5">
        <w:rPr>
          <w:rFonts w:eastAsia="Times New Roman" w:cs="Arial"/>
          <w:sz w:val="22"/>
          <w:bdr w:val="none" w:sz="0" w:space="0" w:color="auto" w:frame="1"/>
          <w:lang w:val="es-ES" w:eastAsia="pt-BR"/>
        </w:rPr>
        <w:t>.</w:t>
      </w:r>
      <w:r w:rsidR="00354909" w:rsidRPr="00DF5FA5">
        <w:rPr>
          <w:rFonts w:cs="Arial"/>
          <w:sz w:val="22"/>
        </w:rPr>
        <w:t xml:space="preserve"> </w:t>
      </w:r>
      <w:r w:rsidR="006E6D2F" w:rsidRPr="00DF5FA5">
        <w:rPr>
          <w:rFonts w:cs="Arial"/>
          <w:sz w:val="22"/>
        </w:rPr>
        <w:t>Está</w:t>
      </w:r>
      <w:r w:rsidR="00354909" w:rsidRPr="00DF5FA5">
        <w:rPr>
          <w:rFonts w:cs="Arial"/>
          <w:sz w:val="22"/>
        </w:rPr>
        <w:t xml:space="preserve"> cubierta puede tener un espesor de hasta </w:t>
      </w:r>
      <w:r w:rsidR="006E6D2F" w:rsidRPr="00DF5FA5">
        <w:rPr>
          <w:rFonts w:cs="Arial"/>
          <w:sz w:val="22"/>
        </w:rPr>
        <w:t>50nm, mucho</w:t>
      </w:r>
      <w:r w:rsidR="00354909" w:rsidRPr="00DF5FA5">
        <w:rPr>
          <w:rFonts w:cs="Arial"/>
          <w:sz w:val="22"/>
        </w:rPr>
        <w:t xml:space="preserve"> </w:t>
      </w:r>
      <w:r w:rsidR="005E5A18" w:rsidRPr="00DF5FA5">
        <w:rPr>
          <w:rFonts w:cs="Arial"/>
          <w:sz w:val="22"/>
        </w:rPr>
        <w:t>más</w:t>
      </w:r>
      <w:r w:rsidR="00354909" w:rsidRPr="00DF5FA5">
        <w:rPr>
          <w:rFonts w:cs="Arial"/>
          <w:sz w:val="22"/>
        </w:rPr>
        <w:t xml:space="preserve"> gruesa que la membrana misma.</w:t>
      </w:r>
    </w:p>
    <w:p w:rsidR="00B723F0" w:rsidRPr="00DF5FA5" w:rsidRDefault="009563C4" w:rsidP="00DF5FA5">
      <w:pPr>
        <w:spacing w:before="240" w:line="360" w:lineRule="auto"/>
        <w:jc w:val="both"/>
        <w:rPr>
          <w:rFonts w:cs="Arial"/>
          <w:sz w:val="22"/>
        </w:rPr>
      </w:pPr>
      <w:r w:rsidRPr="00DF5FA5">
        <w:rPr>
          <w:rFonts w:eastAsia="Times New Roman" w:cs="Arial"/>
          <w:sz w:val="22"/>
          <w:bdr w:val="none" w:sz="0" w:space="0" w:color="auto" w:frame="1"/>
          <w:lang w:val="es-ES" w:eastAsia="pt-BR"/>
        </w:rPr>
        <w:t xml:space="preserve">Se ha demostrado la existencia del </w:t>
      </w:r>
      <w:r w:rsidR="006E6D2F" w:rsidRPr="00DF5FA5">
        <w:rPr>
          <w:rFonts w:eastAsia="Times New Roman" w:cs="Arial"/>
          <w:sz w:val="22"/>
          <w:bdr w:val="none" w:sz="0" w:space="0" w:color="auto" w:frame="1"/>
          <w:lang w:val="es-ES" w:eastAsia="pt-BR"/>
        </w:rPr>
        <w:t>glicocálix</w:t>
      </w:r>
      <w:r w:rsidRPr="00DF5FA5">
        <w:rPr>
          <w:rFonts w:eastAsia="Times New Roman" w:cs="Arial"/>
          <w:sz w:val="22"/>
          <w:bdr w:val="none" w:sz="0" w:space="0" w:color="auto" w:frame="1"/>
          <w:lang w:val="es-ES" w:eastAsia="pt-BR"/>
        </w:rPr>
        <w:t xml:space="preserve"> en bacterias, en </w:t>
      </w:r>
      <w:r w:rsidR="006E6D2F" w:rsidRPr="00DF5FA5">
        <w:rPr>
          <w:rFonts w:eastAsia="Times New Roman" w:cs="Arial"/>
          <w:sz w:val="22"/>
          <w:bdr w:val="none" w:sz="0" w:space="0" w:color="auto" w:frame="1"/>
          <w:lang w:val="es-ES" w:eastAsia="pt-BR"/>
        </w:rPr>
        <w:t>plaquetas</w:t>
      </w:r>
      <w:r w:rsidRPr="00DF5FA5">
        <w:rPr>
          <w:rFonts w:eastAsia="Times New Roman" w:cs="Arial"/>
          <w:sz w:val="22"/>
          <w:bdr w:val="none" w:sz="0" w:space="0" w:color="auto" w:frame="1"/>
          <w:lang w:val="es-ES" w:eastAsia="pt-BR"/>
        </w:rPr>
        <w:t xml:space="preserve"> en diversas células, entre otras en la mucosa intestinal, en células linfoblastoides, leucocitos y endotelio vascular</w:t>
      </w:r>
      <w:r w:rsidR="00063D8A" w:rsidRPr="00DF5FA5">
        <w:rPr>
          <w:rFonts w:eastAsia="Times New Roman" w:cs="Arial"/>
          <w:sz w:val="22"/>
          <w:bdr w:val="none" w:sz="0" w:space="0" w:color="auto" w:frame="1"/>
          <w:vertAlign w:val="superscript"/>
          <w:lang w:val="es-ES" w:eastAsia="pt-BR"/>
        </w:rPr>
        <w:t>2</w:t>
      </w:r>
      <w:r w:rsidRPr="00DF5FA5">
        <w:rPr>
          <w:rFonts w:eastAsia="Times New Roman" w:cs="Arial"/>
          <w:sz w:val="22"/>
          <w:bdr w:val="none" w:sz="0" w:space="0" w:color="auto" w:frame="1"/>
          <w:lang w:val="es-ES" w:eastAsia="pt-BR"/>
        </w:rPr>
        <w:t>.</w:t>
      </w:r>
    </w:p>
    <w:p w:rsidR="00271CBF" w:rsidRPr="00DF5FA5" w:rsidRDefault="00E63577" w:rsidP="00DF5FA5">
      <w:pPr>
        <w:shd w:val="clear" w:color="auto" w:fill="FFFFFF"/>
        <w:spacing w:before="240" w:after="100" w:afterAutospacing="1" w:line="360" w:lineRule="auto"/>
        <w:jc w:val="both"/>
        <w:rPr>
          <w:rFonts w:eastAsia="Times New Roman" w:cs="Arial"/>
          <w:sz w:val="22"/>
          <w:lang w:val="es-ES" w:eastAsia="pt-BR"/>
        </w:rPr>
      </w:pPr>
      <w:bookmarkStart w:id="0" w:name="En_plaquetas_y_c.C3.A9lulas_de_vasos_san"/>
      <w:bookmarkEnd w:id="0"/>
      <w:r>
        <w:rPr>
          <w:rFonts w:eastAsia="Times New Roman" w:cs="Arial"/>
          <w:sz w:val="22"/>
          <w:lang w:val="es-ES" w:eastAsia="pt-BR"/>
        </w:rPr>
        <w:t>GCX</w:t>
      </w:r>
      <w:r w:rsidR="00271CBF" w:rsidRPr="00DF5FA5">
        <w:rPr>
          <w:rFonts w:eastAsia="Times New Roman" w:cs="Arial"/>
          <w:sz w:val="22"/>
          <w:lang w:val="es-ES" w:eastAsia="pt-BR"/>
        </w:rPr>
        <w:t xml:space="preserve"> es también el nombre dado a una estructura específica de una </w:t>
      </w:r>
      <w:hyperlink r:id="rId9" w:tooltip="Plaqueta" w:history="1">
        <w:r w:rsidR="00271CBF" w:rsidRPr="00DF5FA5">
          <w:rPr>
            <w:rFonts w:eastAsia="Times New Roman" w:cs="Arial"/>
            <w:sz w:val="22"/>
            <w:lang w:val="es-ES" w:eastAsia="pt-BR"/>
          </w:rPr>
          <w:t>plaqueta</w:t>
        </w:r>
      </w:hyperlink>
      <w:r w:rsidR="00271CBF" w:rsidRPr="00DF5FA5">
        <w:rPr>
          <w:rFonts w:eastAsia="Times New Roman" w:cs="Arial"/>
          <w:sz w:val="22"/>
          <w:lang w:val="es-ES" w:eastAsia="pt-BR"/>
        </w:rPr>
        <w:t> madura, única entre los componentes celulares de la sangre. Es similar al glicocalix bacteriano en que está compuesto de </w:t>
      </w:r>
      <w:hyperlink r:id="rId10" w:tooltip="Glicoproteína" w:history="1">
        <w:r w:rsidR="00271CBF" w:rsidRPr="00DF5FA5">
          <w:rPr>
            <w:rFonts w:eastAsia="Times New Roman" w:cs="Arial"/>
            <w:sz w:val="22"/>
            <w:lang w:val="es-ES" w:eastAsia="pt-BR"/>
          </w:rPr>
          <w:t>glicoproteínas</w:t>
        </w:r>
      </w:hyperlink>
      <w:r w:rsidR="00271CBF" w:rsidRPr="00DF5FA5">
        <w:rPr>
          <w:rFonts w:eastAsia="Times New Roman" w:cs="Arial"/>
          <w:sz w:val="22"/>
          <w:lang w:val="es-ES" w:eastAsia="pt-BR"/>
        </w:rPr>
        <w:t> y permite que la plaqueta se adhiera a las superficies tales como el colágeno de los vasos dañados. El glicocalix aparece como una capa unida a la membrana externa de las plaquetas y contiene muchas de las proteínas receptoras que permiten la adherencia de la célula</w:t>
      </w:r>
      <w:r w:rsidR="00137371" w:rsidRPr="00DF5FA5">
        <w:rPr>
          <w:rFonts w:eastAsia="Times New Roman" w:cs="Arial"/>
          <w:sz w:val="22"/>
          <w:lang w:val="es-ES" w:eastAsia="pt-BR"/>
        </w:rPr>
        <w:t xml:space="preserve"> </w:t>
      </w:r>
    </w:p>
    <w:p w:rsidR="00271CBF" w:rsidRPr="00DF5FA5" w:rsidRDefault="00271CBF" w:rsidP="00DF5FA5">
      <w:pPr>
        <w:shd w:val="clear" w:color="auto" w:fill="FFFFFF"/>
        <w:spacing w:before="240" w:after="100" w:afterAutospacing="1" w:line="360" w:lineRule="auto"/>
        <w:jc w:val="both"/>
        <w:rPr>
          <w:rFonts w:eastAsia="Times New Roman" w:cs="Arial"/>
          <w:sz w:val="22"/>
          <w:lang w:val="es-ES" w:eastAsia="pt-BR"/>
        </w:rPr>
      </w:pPr>
      <w:bookmarkStart w:id="1" w:name="En_c.C3.A9lulas_epiteliales_del_tracto_d"/>
      <w:bookmarkEnd w:id="1"/>
      <w:r w:rsidRPr="00DF5FA5">
        <w:rPr>
          <w:rFonts w:eastAsia="Times New Roman" w:cs="Arial"/>
          <w:sz w:val="22"/>
          <w:lang w:val="es-ES" w:eastAsia="pt-BR"/>
        </w:rPr>
        <w:lastRenderedPageBreak/>
        <w:t>Un glicocalix se puede también encontrar en la porción apical de las </w:t>
      </w:r>
      <w:hyperlink r:id="rId11" w:tooltip="Microvellosidad" w:history="1">
        <w:r w:rsidRPr="00DF5FA5">
          <w:rPr>
            <w:rFonts w:eastAsia="Times New Roman" w:cs="Arial"/>
            <w:sz w:val="22"/>
            <w:lang w:val="es-ES" w:eastAsia="pt-BR"/>
          </w:rPr>
          <w:t>microvellosidades</w:t>
        </w:r>
      </w:hyperlink>
      <w:r w:rsidRPr="00DF5FA5">
        <w:rPr>
          <w:rFonts w:eastAsia="Times New Roman" w:cs="Arial"/>
          <w:sz w:val="22"/>
          <w:lang w:val="es-ES" w:eastAsia="pt-BR"/>
        </w:rPr>
        <w:t> del tracto digestivo, especialmente en el </w:t>
      </w:r>
      <w:hyperlink r:id="rId12" w:tooltip="Intestino delgado" w:history="1">
        <w:r w:rsidRPr="00DF5FA5">
          <w:rPr>
            <w:rFonts w:eastAsia="Times New Roman" w:cs="Arial"/>
            <w:sz w:val="22"/>
            <w:lang w:val="es-ES" w:eastAsia="pt-BR"/>
          </w:rPr>
          <w:t>intestino delgado</w:t>
        </w:r>
      </w:hyperlink>
      <w:r w:rsidRPr="00DF5FA5">
        <w:rPr>
          <w:rFonts w:eastAsia="Times New Roman" w:cs="Arial"/>
          <w:sz w:val="22"/>
          <w:lang w:val="es-ES" w:eastAsia="pt-BR"/>
        </w:rPr>
        <w:t>. Consiste de las glicoproteína</w:t>
      </w:r>
      <w:r w:rsidR="009549D1" w:rsidRPr="00DF5FA5">
        <w:rPr>
          <w:rFonts w:eastAsia="Times New Roman" w:cs="Arial"/>
          <w:sz w:val="22"/>
          <w:lang w:val="es-ES" w:eastAsia="pt-BR"/>
        </w:rPr>
        <w:t xml:space="preserve">s que proyectan la membrana </w:t>
      </w:r>
      <w:r w:rsidRPr="00DF5FA5">
        <w:rPr>
          <w:rFonts w:eastAsia="Times New Roman" w:cs="Arial"/>
          <w:sz w:val="22"/>
          <w:lang w:val="es-ES" w:eastAsia="pt-BR"/>
        </w:rPr>
        <w:t>plasmática apical de las células absorbentes epiteliales. Proporciona una superficie adicional para la absorción e incluye </w:t>
      </w:r>
      <w:hyperlink r:id="rId13" w:tooltip="Enzima" w:history="1">
        <w:r w:rsidRPr="00DF5FA5">
          <w:rPr>
            <w:rFonts w:eastAsia="Times New Roman" w:cs="Arial"/>
            <w:sz w:val="22"/>
            <w:lang w:val="es-ES" w:eastAsia="pt-BR"/>
          </w:rPr>
          <w:t>enzimas</w:t>
        </w:r>
      </w:hyperlink>
      <w:r w:rsidRPr="00DF5FA5">
        <w:rPr>
          <w:rFonts w:eastAsia="Times New Roman" w:cs="Arial"/>
          <w:sz w:val="22"/>
          <w:lang w:val="es-ES" w:eastAsia="pt-BR"/>
        </w:rPr>
        <w:t> secretadas por las células absorbentes que son esenciales para los pasos finales de la digestión de proteínas y azúcares.</w:t>
      </w:r>
    </w:p>
    <w:p w:rsidR="00B723F0" w:rsidRPr="00DF5FA5" w:rsidRDefault="00B723F0" w:rsidP="00DF5FA5">
      <w:pPr>
        <w:spacing w:before="240" w:after="0" w:line="360" w:lineRule="auto"/>
        <w:jc w:val="both"/>
        <w:rPr>
          <w:rFonts w:eastAsia="Times New Roman" w:cs="Arial"/>
          <w:sz w:val="22"/>
          <w:lang w:val="es-ES" w:eastAsia="pt-BR"/>
        </w:rPr>
      </w:pPr>
      <w:bookmarkStart w:id="2" w:name="Funciones_del_glicocalix"/>
      <w:bookmarkEnd w:id="2"/>
      <w:r w:rsidRPr="00DF5FA5">
        <w:rPr>
          <w:rFonts w:eastAsia="Times New Roman" w:cs="Arial"/>
          <w:sz w:val="22"/>
          <w:lang w:val="es-ES" w:eastAsia="pt-BR"/>
        </w:rPr>
        <w:t xml:space="preserve">Se describen numerosa </w:t>
      </w:r>
      <w:r w:rsidR="000C3B79" w:rsidRPr="00DF5FA5">
        <w:rPr>
          <w:rFonts w:eastAsia="Times New Roman" w:cs="Arial"/>
          <w:sz w:val="22"/>
          <w:lang w:val="es-ES" w:eastAsia="pt-BR"/>
        </w:rPr>
        <w:t>funciones</w:t>
      </w:r>
      <w:r w:rsidRPr="00DF5FA5">
        <w:rPr>
          <w:rFonts w:eastAsia="Times New Roman" w:cs="Arial"/>
          <w:sz w:val="22"/>
          <w:lang w:val="es-ES" w:eastAsia="pt-BR"/>
        </w:rPr>
        <w:t xml:space="preserve"> del glicocálix </w:t>
      </w:r>
      <w:r w:rsidR="00271CBF" w:rsidRPr="00DF5FA5">
        <w:rPr>
          <w:rFonts w:eastAsia="Times New Roman" w:cs="Arial"/>
          <w:b/>
          <w:bCs/>
          <w:sz w:val="22"/>
          <w:lang w:val="es-ES" w:eastAsia="pt-BR"/>
        </w:rPr>
        <w:t>Protección</w:t>
      </w:r>
      <w:r w:rsidR="00271CBF" w:rsidRPr="00DF5FA5">
        <w:rPr>
          <w:rFonts w:eastAsia="Times New Roman" w:cs="Arial"/>
          <w:sz w:val="22"/>
          <w:lang w:val="es-ES" w:eastAsia="pt-BR"/>
        </w:rPr>
        <w:t>: amortigua la </w:t>
      </w:r>
      <w:hyperlink r:id="rId14" w:tooltip="Membrana citoplasmática" w:history="1">
        <w:r w:rsidR="00271CBF" w:rsidRPr="00DF5FA5">
          <w:rPr>
            <w:rFonts w:eastAsia="Times New Roman" w:cs="Arial"/>
            <w:sz w:val="22"/>
            <w:lang w:val="es-ES" w:eastAsia="pt-BR"/>
          </w:rPr>
          <w:t>membrana citoplasmática</w:t>
        </w:r>
      </w:hyperlink>
      <w:r w:rsidR="00271CBF" w:rsidRPr="00DF5FA5">
        <w:rPr>
          <w:rFonts w:eastAsia="Times New Roman" w:cs="Arial"/>
          <w:sz w:val="22"/>
          <w:lang w:val="es-ES" w:eastAsia="pt-BR"/>
        </w:rPr>
        <w:t> y la protege contra lesiones físicas y químicas</w:t>
      </w:r>
      <w:r w:rsidR="000C3B79">
        <w:rPr>
          <w:rFonts w:eastAsia="Times New Roman" w:cs="Arial"/>
          <w:sz w:val="22"/>
          <w:lang w:val="es-ES" w:eastAsia="pt-BR"/>
        </w:rPr>
        <w:t xml:space="preserve"> </w:t>
      </w:r>
      <w:r w:rsidR="00271CBF" w:rsidRPr="00DF5FA5">
        <w:rPr>
          <w:rFonts w:eastAsia="Times New Roman" w:cs="Arial"/>
          <w:sz w:val="22"/>
          <w:lang w:val="es-ES" w:eastAsia="pt-BR"/>
        </w:rPr>
        <w:t>.</w:t>
      </w:r>
      <w:r w:rsidR="00271CBF" w:rsidRPr="00DF5FA5">
        <w:rPr>
          <w:rFonts w:eastAsia="Times New Roman" w:cs="Arial"/>
          <w:b/>
          <w:bCs/>
          <w:sz w:val="22"/>
          <w:lang w:val="es-ES" w:eastAsia="pt-BR"/>
        </w:rPr>
        <w:t>Inmunidad a la infección</w:t>
      </w:r>
      <w:r w:rsidR="00271CBF" w:rsidRPr="00DF5FA5">
        <w:rPr>
          <w:rFonts w:eastAsia="Times New Roman" w:cs="Arial"/>
          <w:sz w:val="22"/>
          <w:lang w:val="es-ES" w:eastAsia="pt-BR"/>
        </w:rPr>
        <w:t>: permite al </w:t>
      </w:r>
      <w:hyperlink r:id="rId15" w:tooltip="Sistema inmunológico" w:history="1">
        <w:r w:rsidR="00271CBF" w:rsidRPr="00DF5FA5">
          <w:rPr>
            <w:rFonts w:eastAsia="Times New Roman" w:cs="Arial"/>
            <w:sz w:val="22"/>
            <w:lang w:val="es-ES" w:eastAsia="pt-BR"/>
          </w:rPr>
          <w:t>sistema inmunológico</w:t>
        </w:r>
      </w:hyperlink>
      <w:r w:rsidR="00271CBF" w:rsidRPr="00DF5FA5">
        <w:rPr>
          <w:rFonts w:eastAsia="Times New Roman" w:cs="Arial"/>
          <w:sz w:val="22"/>
          <w:lang w:val="es-ES" w:eastAsia="pt-BR"/>
        </w:rPr>
        <w:t> reconocer y atacar selectivamente a organismos extraños.</w:t>
      </w:r>
      <w:r w:rsidRPr="00DF5FA5">
        <w:rPr>
          <w:rFonts w:eastAsia="Times New Roman" w:cs="Arial"/>
          <w:sz w:val="22"/>
          <w:lang w:val="es-ES" w:eastAsia="pt-BR"/>
        </w:rPr>
        <w:t xml:space="preserve"> </w:t>
      </w:r>
      <w:r w:rsidR="00271CBF" w:rsidRPr="00DF5FA5">
        <w:rPr>
          <w:rFonts w:eastAsia="Times New Roman" w:cs="Arial"/>
          <w:b/>
          <w:bCs/>
          <w:sz w:val="22"/>
          <w:lang w:val="es-ES" w:eastAsia="pt-BR"/>
        </w:rPr>
        <w:t>Defensa contra el cáncer</w:t>
      </w:r>
      <w:r w:rsidR="00271CBF" w:rsidRPr="00DF5FA5">
        <w:rPr>
          <w:rFonts w:eastAsia="Times New Roman" w:cs="Arial"/>
          <w:sz w:val="22"/>
          <w:lang w:val="es-ES" w:eastAsia="pt-BR"/>
        </w:rPr>
        <w:t>: los cambios en el glicocalix de las células </w:t>
      </w:r>
      <w:hyperlink r:id="rId16" w:tooltip="Cáncer" w:history="1">
        <w:r w:rsidR="00271CBF" w:rsidRPr="00DF5FA5">
          <w:rPr>
            <w:rFonts w:eastAsia="Times New Roman" w:cs="Arial"/>
            <w:sz w:val="22"/>
            <w:lang w:val="es-ES" w:eastAsia="pt-BR"/>
          </w:rPr>
          <w:t>cancerosas</w:t>
        </w:r>
      </w:hyperlink>
      <w:r w:rsidR="00271CBF" w:rsidRPr="00DF5FA5">
        <w:rPr>
          <w:rFonts w:eastAsia="Times New Roman" w:cs="Arial"/>
          <w:sz w:val="22"/>
          <w:lang w:val="es-ES" w:eastAsia="pt-BR"/>
        </w:rPr>
        <w:t> permiten al sistema inmunológico reconocerlas y destruirlas.</w:t>
      </w:r>
      <w:r w:rsidRPr="00DF5FA5">
        <w:rPr>
          <w:rFonts w:eastAsia="Times New Roman" w:cs="Arial"/>
          <w:sz w:val="22"/>
          <w:lang w:val="es-ES" w:eastAsia="pt-BR"/>
        </w:rPr>
        <w:t xml:space="preserve"> </w:t>
      </w:r>
      <w:r w:rsidR="00271CBF" w:rsidRPr="00DF5FA5">
        <w:rPr>
          <w:rFonts w:eastAsia="Times New Roman" w:cs="Arial"/>
          <w:b/>
          <w:bCs/>
          <w:sz w:val="22"/>
          <w:lang w:val="es-ES" w:eastAsia="pt-BR"/>
        </w:rPr>
        <w:t>Compatibilidad de los trasplantes</w:t>
      </w:r>
      <w:r w:rsidR="00271CBF" w:rsidRPr="00DF5FA5">
        <w:rPr>
          <w:rFonts w:eastAsia="Times New Roman" w:cs="Arial"/>
          <w:sz w:val="22"/>
          <w:lang w:val="es-ES" w:eastAsia="pt-BR"/>
        </w:rPr>
        <w:t>: forma la base para la compatibilidad de las </w:t>
      </w:r>
      <w:hyperlink r:id="rId17" w:tooltip="Transfusión de sangre" w:history="1">
        <w:r w:rsidR="00271CBF" w:rsidRPr="00DF5FA5">
          <w:rPr>
            <w:rFonts w:eastAsia="Times New Roman" w:cs="Arial"/>
            <w:sz w:val="22"/>
            <w:lang w:val="es-ES" w:eastAsia="pt-BR"/>
          </w:rPr>
          <w:t>transfusiones de sangre</w:t>
        </w:r>
      </w:hyperlink>
      <w:r w:rsidR="00271CBF" w:rsidRPr="00DF5FA5">
        <w:rPr>
          <w:rFonts w:eastAsia="Times New Roman" w:cs="Arial"/>
          <w:sz w:val="22"/>
          <w:lang w:val="es-ES" w:eastAsia="pt-BR"/>
        </w:rPr>
        <w:t>, del tejido injertado y de los </w:t>
      </w:r>
      <w:hyperlink r:id="rId18" w:tooltip="Trasplante" w:history="1">
        <w:r w:rsidR="00271CBF" w:rsidRPr="00DF5FA5">
          <w:rPr>
            <w:rFonts w:eastAsia="Times New Roman" w:cs="Arial"/>
            <w:sz w:val="22"/>
            <w:lang w:val="es-ES" w:eastAsia="pt-BR"/>
          </w:rPr>
          <w:t>trasplantes</w:t>
        </w:r>
      </w:hyperlink>
      <w:r w:rsidR="00271CBF" w:rsidRPr="00DF5FA5">
        <w:rPr>
          <w:rFonts w:eastAsia="Times New Roman" w:cs="Arial"/>
          <w:sz w:val="22"/>
          <w:lang w:val="es-ES" w:eastAsia="pt-BR"/>
        </w:rPr>
        <w:t> de órganos.</w:t>
      </w:r>
      <w:r w:rsidRPr="00DF5FA5">
        <w:rPr>
          <w:rFonts w:eastAsia="Times New Roman" w:cs="Arial"/>
          <w:sz w:val="22"/>
          <w:lang w:val="es-ES" w:eastAsia="pt-BR"/>
        </w:rPr>
        <w:t xml:space="preserve"> </w:t>
      </w:r>
      <w:hyperlink r:id="rId19" w:tooltip="Adherencia celular" w:history="1">
        <w:r w:rsidR="00271CBF" w:rsidRPr="00DF5FA5">
          <w:rPr>
            <w:rFonts w:eastAsia="Times New Roman" w:cs="Arial"/>
            <w:b/>
            <w:bCs/>
            <w:sz w:val="22"/>
            <w:lang w:val="es-ES" w:eastAsia="pt-BR"/>
          </w:rPr>
          <w:t>Adherencia celular</w:t>
        </w:r>
      </w:hyperlink>
      <w:r w:rsidR="00271CBF" w:rsidRPr="00DF5FA5">
        <w:rPr>
          <w:rFonts w:eastAsia="Times New Roman" w:cs="Arial"/>
          <w:sz w:val="22"/>
          <w:lang w:val="es-ES" w:eastAsia="pt-BR"/>
        </w:rPr>
        <w:t>: fija a las células que forman parte de los tejidos.</w:t>
      </w:r>
      <w:r w:rsidRPr="00DF5FA5">
        <w:rPr>
          <w:rFonts w:eastAsia="Times New Roman" w:cs="Arial"/>
          <w:sz w:val="22"/>
          <w:lang w:val="es-ES" w:eastAsia="pt-BR"/>
        </w:rPr>
        <w:t xml:space="preserve"> </w:t>
      </w:r>
      <w:r w:rsidR="00271CBF" w:rsidRPr="00DF5FA5">
        <w:rPr>
          <w:rFonts w:eastAsia="Times New Roman" w:cs="Arial"/>
          <w:b/>
          <w:bCs/>
          <w:sz w:val="22"/>
          <w:lang w:val="es-ES" w:eastAsia="pt-BR"/>
        </w:rPr>
        <w:t>Fertilización</w:t>
      </w:r>
      <w:r w:rsidR="00271CBF" w:rsidRPr="00DF5FA5">
        <w:rPr>
          <w:rFonts w:eastAsia="Times New Roman" w:cs="Arial"/>
          <w:sz w:val="22"/>
          <w:lang w:val="es-ES" w:eastAsia="pt-BR"/>
        </w:rPr>
        <w:t>: permite al esperma reconocer y unirse a los óvulos.</w:t>
      </w:r>
      <w:r w:rsidRPr="00DF5FA5">
        <w:rPr>
          <w:rFonts w:eastAsia="Times New Roman" w:cs="Arial"/>
          <w:sz w:val="22"/>
          <w:lang w:val="es-ES" w:eastAsia="pt-BR"/>
        </w:rPr>
        <w:t xml:space="preserve"> </w:t>
      </w:r>
      <w:r w:rsidR="00271CBF" w:rsidRPr="00DF5FA5">
        <w:rPr>
          <w:rFonts w:eastAsia="Times New Roman" w:cs="Arial"/>
          <w:b/>
          <w:bCs/>
          <w:sz w:val="22"/>
          <w:lang w:val="es-ES" w:eastAsia="pt-BR"/>
        </w:rPr>
        <w:t>Desarrollo embrionario</w:t>
      </w:r>
      <w:r w:rsidR="00271CBF" w:rsidRPr="00DF5FA5">
        <w:rPr>
          <w:rFonts w:eastAsia="Times New Roman" w:cs="Arial"/>
          <w:sz w:val="22"/>
          <w:lang w:val="es-ES" w:eastAsia="pt-BR"/>
        </w:rPr>
        <w:t>: guía las células embrionarias a sus destinos en el cuerpo.</w:t>
      </w:r>
    </w:p>
    <w:p w:rsidR="00AE6AE5" w:rsidRPr="00DF5FA5" w:rsidRDefault="00AE6AE5" w:rsidP="00DF5FA5">
      <w:pPr>
        <w:spacing w:before="240" w:after="0" w:line="360" w:lineRule="auto"/>
        <w:jc w:val="both"/>
        <w:rPr>
          <w:rFonts w:eastAsia="Times New Roman" w:cs="Arial"/>
          <w:sz w:val="22"/>
          <w:lang w:val="es-ES" w:eastAsia="pt-BR"/>
        </w:rPr>
      </w:pPr>
      <w:r w:rsidRPr="00540BAE">
        <w:rPr>
          <w:rFonts w:eastAsia="Times New Roman" w:cs="Arial"/>
          <w:b/>
          <w:sz w:val="22"/>
          <w:lang w:val="es-ES" w:eastAsia="pt-BR"/>
        </w:rPr>
        <w:t>El objetivo</w:t>
      </w:r>
      <w:r w:rsidRPr="00DF5FA5">
        <w:rPr>
          <w:rFonts w:eastAsia="Times New Roman" w:cs="Arial"/>
          <w:sz w:val="22"/>
          <w:lang w:val="es-ES" w:eastAsia="pt-BR"/>
        </w:rPr>
        <w:t xml:space="preserve"> de este trabajo es realizar una revisión de la literatura sobre la importancia</w:t>
      </w:r>
      <w:r w:rsidR="005E5A18" w:rsidRPr="00DF5FA5">
        <w:rPr>
          <w:rFonts w:eastAsia="Times New Roman" w:cs="Arial"/>
          <w:sz w:val="22"/>
          <w:lang w:val="es-ES" w:eastAsia="pt-BR"/>
        </w:rPr>
        <w:t xml:space="preserve"> en la clínica, del glicocálix </w:t>
      </w:r>
      <w:r w:rsidR="00E52B22" w:rsidRPr="00DF5FA5">
        <w:rPr>
          <w:rFonts w:eastAsia="Times New Roman" w:cs="Arial"/>
          <w:sz w:val="22"/>
          <w:lang w:val="es-ES" w:eastAsia="pt-BR"/>
        </w:rPr>
        <w:t>endotelial,</w:t>
      </w:r>
      <w:r w:rsidRPr="00DF5FA5">
        <w:rPr>
          <w:rFonts w:eastAsia="Times New Roman" w:cs="Arial"/>
          <w:sz w:val="22"/>
          <w:lang w:val="es-ES" w:eastAsia="pt-BR"/>
        </w:rPr>
        <w:t xml:space="preserve"> realzando su interé</w:t>
      </w:r>
      <w:r w:rsidR="00E52B22" w:rsidRPr="00DF5FA5">
        <w:rPr>
          <w:rFonts w:eastAsia="Times New Roman" w:cs="Arial"/>
          <w:sz w:val="22"/>
          <w:lang w:val="es-ES" w:eastAsia="pt-BR"/>
        </w:rPr>
        <w:t>s en la relación básico clínica, con el fin de fomentar la interdisciplinariedad.</w:t>
      </w: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D85090" w:rsidRDefault="00D85090" w:rsidP="00DF5FA5">
      <w:pPr>
        <w:spacing w:before="240" w:after="0" w:line="360" w:lineRule="auto"/>
        <w:jc w:val="both"/>
        <w:rPr>
          <w:b/>
          <w:sz w:val="22"/>
        </w:rPr>
      </w:pPr>
    </w:p>
    <w:p w:rsidR="00A63FDD" w:rsidRPr="00DF5FA5" w:rsidRDefault="0065079D" w:rsidP="00DF5FA5">
      <w:pPr>
        <w:spacing w:before="240" w:after="0" w:line="360" w:lineRule="auto"/>
        <w:jc w:val="both"/>
        <w:rPr>
          <w:b/>
          <w:sz w:val="22"/>
        </w:rPr>
      </w:pPr>
      <w:r w:rsidRPr="00DF5FA5">
        <w:rPr>
          <w:b/>
          <w:sz w:val="22"/>
        </w:rPr>
        <w:lastRenderedPageBreak/>
        <w:t>MATERIALES Y MÉTODOS</w:t>
      </w:r>
    </w:p>
    <w:p w:rsidR="007B2928" w:rsidRPr="00DF5FA5" w:rsidRDefault="007B2928" w:rsidP="00DF5FA5">
      <w:pPr>
        <w:spacing w:before="240" w:after="0" w:line="360" w:lineRule="auto"/>
        <w:jc w:val="both"/>
        <w:rPr>
          <w:b/>
          <w:sz w:val="22"/>
        </w:rPr>
      </w:pPr>
      <w:r w:rsidRPr="00DF5FA5">
        <w:rPr>
          <w:rFonts w:cs="Arial"/>
          <w:sz w:val="22"/>
          <w:lang w:val="es-ES"/>
        </w:rPr>
        <w:t xml:space="preserve">Para obtener la información deseada se realizaron búsquedas desde la Universidad de Ciencias Pinar del Río, en idioma español e inglés, en bases de datos disponibles que incluyeron: SciELO, Medline, Scopus, Medscape, con el buscador Google Académico, </w:t>
      </w:r>
      <w:r w:rsidRPr="00DF5FA5">
        <w:rPr>
          <w:rFonts w:eastAsia="Times New Roman" w:cs="Arial"/>
          <w:sz w:val="22"/>
          <w:bdr w:val="none" w:sz="0" w:space="0" w:color="auto" w:frame="1"/>
          <w:lang w:val="es-ES" w:eastAsia="pt-BR"/>
        </w:rPr>
        <w:t>con las palabras clave en inglés (glycocalyx, endothelium, proteoglycans) y en español (glicocalix, endotelio, proteoglicanos).</w:t>
      </w:r>
      <w:r w:rsidR="00760C2E" w:rsidRPr="00DF5FA5">
        <w:rPr>
          <w:rFonts w:cs="Arial"/>
          <w:sz w:val="22"/>
          <w:lang w:val="es-ES"/>
        </w:rPr>
        <w:t xml:space="preserve"> El análisis documental, la sistematización y contrastación de la información científica realizada, a partir de una exhaustiva revisión bibliográfica sobre el tema, permitieron sistematizar las evidencias científicas disponibles</w:t>
      </w:r>
      <w:r w:rsidR="00D85090">
        <w:rPr>
          <w:rFonts w:cs="Arial"/>
          <w:sz w:val="22"/>
          <w:lang w:val="es-ES"/>
        </w:rPr>
        <w:t>.</w:t>
      </w: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8446F" w:rsidRDefault="00E8446F" w:rsidP="00DF5FA5">
      <w:pPr>
        <w:spacing w:line="360" w:lineRule="auto"/>
        <w:jc w:val="both"/>
        <w:rPr>
          <w:rFonts w:eastAsia="Times New Roman"/>
          <w:b/>
          <w:color w:val="505050"/>
          <w:sz w:val="22"/>
          <w:bdr w:val="none" w:sz="0" w:space="0" w:color="auto" w:frame="1"/>
          <w:lang w:val="es-ES" w:eastAsia="pt-BR"/>
        </w:rPr>
      </w:pPr>
    </w:p>
    <w:p w:rsidR="00EF44A2" w:rsidRDefault="00EF44A2" w:rsidP="00DF5FA5">
      <w:pPr>
        <w:spacing w:line="360" w:lineRule="auto"/>
        <w:jc w:val="both"/>
        <w:rPr>
          <w:rFonts w:eastAsia="Times New Roman"/>
          <w:b/>
          <w:color w:val="505050"/>
          <w:sz w:val="22"/>
          <w:bdr w:val="none" w:sz="0" w:space="0" w:color="auto" w:frame="1"/>
          <w:lang w:val="es-ES" w:eastAsia="pt-BR"/>
        </w:rPr>
      </w:pPr>
    </w:p>
    <w:p w:rsidR="00EF44A2" w:rsidRDefault="00EF44A2" w:rsidP="00DF5FA5">
      <w:pPr>
        <w:spacing w:line="360" w:lineRule="auto"/>
        <w:jc w:val="both"/>
        <w:rPr>
          <w:rFonts w:eastAsia="Times New Roman"/>
          <w:b/>
          <w:color w:val="505050"/>
          <w:sz w:val="22"/>
          <w:bdr w:val="none" w:sz="0" w:space="0" w:color="auto" w:frame="1"/>
          <w:lang w:val="es-ES" w:eastAsia="pt-BR"/>
        </w:rPr>
      </w:pPr>
    </w:p>
    <w:p w:rsidR="00EF44A2" w:rsidRDefault="00EF44A2" w:rsidP="00DF5FA5">
      <w:pPr>
        <w:spacing w:line="360" w:lineRule="auto"/>
        <w:jc w:val="both"/>
        <w:rPr>
          <w:rFonts w:eastAsia="Times New Roman"/>
          <w:b/>
          <w:color w:val="505050"/>
          <w:sz w:val="22"/>
          <w:bdr w:val="none" w:sz="0" w:space="0" w:color="auto" w:frame="1"/>
          <w:lang w:val="es-ES" w:eastAsia="pt-BR"/>
        </w:rPr>
      </w:pPr>
    </w:p>
    <w:p w:rsidR="00EF44A2" w:rsidRDefault="00EF44A2" w:rsidP="00DF5FA5">
      <w:pPr>
        <w:spacing w:line="360" w:lineRule="auto"/>
        <w:jc w:val="both"/>
        <w:rPr>
          <w:rFonts w:eastAsia="Times New Roman"/>
          <w:b/>
          <w:color w:val="505050"/>
          <w:sz w:val="22"/>
          <w:bdr w:val="none" w:sz="0" w:space="0" w:color="auto" w:frame="1"/>
          <w:lang w:val="es-ES" w:eastAsia="pt-BR"/>
        </w:rPr>
      </w:pPr>
    </w:p>
    <w:p w:rsidR="00C90F1A" w:rsidRDefault="00C90F1A" w:rsidP="00DF5FA5">
      <w:pPr>
        <w:spacing w:line="360" w:lineRule="auto"/>
        <w:jc w:val="both"/>
        <w:rPr>
          <w:rFonts w:eastAsia="Times New Roman"/>
          <w:b/>
          <w:color w:val="505050"/>
          <w:sz w:val="22"/>
          <w:bdr w:val="none" w:sz="0" w:space="0" w:color="auto" w:frame="1"/>
          <w:lang w:val="es-ES" w:eastAsia="pt-BR"/>
        </w:rPr>
      </w:pPr>
    </w:p>
    <w:p w:rsidR="00C17F4E" w:rsidRDefault="00A564C4" w:rsidP="00DF5FA5">
      <w:pPr>
        <w:spacing w:line="360" w:lineRule="auto"/>
        <w:jc w:val="both"/>
        <w:rPr>
          <w:rFonts w:eastAsia="Times New Roman"/>
          <w:b/>
          <w:color w:val="505050"/>
          <w:sz w:val="22"/>
          <w:bdr w:val="none" w:sz="0" w:space="0" w:color="auto" w:frame="1"/>
          <w:lang w:val="es-ES" w:eastAsia="pt-BR"/>
        </w:rPr>
      </w:pPr>
      <w:r w:rsidRPr="00DF5FA5">
        <w:rPr>
          <w:rFonts w:eastAsia="Times New Roman"/>
          <w:b/>
          <w:color w:val="505050"/>
          <w:sz w:val="22"/>
          <w:bdr w:val="none" w:sz="0" w:space="0" w:color="auto" w:frame="1"/>
          <w:lang w:val="es-ES" w:eastAsia="pt-BR"/>
        </w:rPr>
        <w:lastRenderedPageBreak/>
        <w:t>DESARROLLO</w:t>
      </w:r>
    </w:p>
    <w:p w:rsidR="00754D55" w:rsidRPr="00DF5FA5" w:rsidRDefault="003E226A" w:rsidP="00DF5FA5">
      <w:pPr>
        <w:spacing w:line="360" w:lineRule="auto"/>
        <w:jc w:val="both"/>
        <w:rPr>
          <w:rFonts w:eastAsia="Times New Roman"/>
          <w:b/>
          <w:color w:val="505050"/>
          <w:sz w:val="22"/>
          <w:bdr w:val="none" w:sz="0" w:space="0" w:color="auto" w:frame="1"/>
          <w:lang w:val="es-ES" w:eastAsia="pt-BR"/>
        </w:rPr>
      </w:pPr>
      <w:r w:rsidRPr="00DF5FA5">
        <w:rPr>
          <w:rFonts w:eastAsiaTheme="minorHAnsi" w:cs="Arial"/>
          <w:sz w:val="22"/>
          <w:lang w:val="es-ES"/>
        </w:rPr>
        <w:t xml:space="preserve">El glicocálix endotelial se observó por primera vez por </w:t>
      </w:r>
      <w:r w:rsidR="000A5F15" w:rsidRPr="00DF5FA5">
        <w:rPr>
          <w:rFonts w:cs="Arial"/>
          <w:sz w:val="22"/>
          <w:lang w:val="es-ES"/>
        </w:rPr>
        <w:t>en el año 1966 por Luft J. H,</w:t>
      </w:r>
      <w:r w:rsidRPr="00DF5FA5">
        <w:rPr>
          <w:rFonts w:eastAsiaTheme="minorHAnsi" w:cs="Arial"/>
          <w:sz w:val="22"/>
          <w:lang w:val="es-ES"/>
        </w:rPr>
        <w:t xml:space="preserve"> utilizando microscopia electrónica. Desde su descubrimiento, surgió el i</w:t>
      </w:r>
      <w:r w:rsidR="00DF3BB6" w:rsidRPr="00DF5FA5">
        <w:rPr>
          <w:rFonts w:eastAsiaTheme="minorHAnsi" w:cs="Arial"/>
          <w:sz w:val="22"/>
          <w:lang w:val="es-ES"/>
        </w:rPr>
        <w:t>nterés de descubrir su papel fi</w:t>
      </w:r>
      <w:r w:rsidR="008417D0" w:rsidRPr="00DF5FA5">
        <w:rPr>
          <w:rFonts w:eastAsiaTheme="minorHAnsi" w:cs="Arial"/>
          <w:sz w:val="22"/>
          <w:lang w:val="es-ES"/>
        </w:rPr>
        <w:t xml:space="preserve">siológico. Comenzó con la </w:t>
      </w:r>
      <w:r w:rsidRPr="00DF5FA5">
        <w:rPr>
          <w:rFonts w:eastAsiaTheme="minorHAnsi" w:cs="Arial"/>
          <w:sz w:val="22"/>
          <w:lang w:val="es-ES"/>
        </w:rPr>
        <w:t>observación de glicocálix en hematocrito a través de un tubo capilar hasta modernas técnicas actuales de reconstrucción en tercera dimensión y el uso de diferentes técnicas de microscopia electrónica; desde entonces, múltiples hallazgos indic</w:t>
      </w:r>
      <w:r w:rsidR="00DF3BB6" w:rsidRPr="00DF5FA5">
        <w:rPr>
          <w:rFonts w:eastAsiaTheme="minorHAnsi" w:cs="Arial"/>
          <w:sz w:val="22"/>
          <w:lang w:val="es-ES"/>
        </w:rPr>
        <w:t>an una variedad de funciones fi</w:t>
      </w:r>
      <w:r w:rsidRPr="00DF5FA5">
        <w:rPr>
          <w:rFonts w:eastAsiaTheme="minorHAnsi" w:cs="Arial"/>
          <w:sz w:val="22"/>
          <w:lang w:val="es-ES"/>
        </w:rPr>
        <w:t>siológicas endoteliales</w:t>
      </w:r>
      <w:r w:rsidR="00271CBF" w:rsidRPr="00DF5FA5">
        <w:rPr>
          <w:rFonts w:eastAsiaTheme="minorHAnsi" w:cs="Arial"/>
          <w:sz w:val="22"/>
          <w:lang w:val="es-ES"/>
        </w:rPr>
        <w:t xml:space="preserve"> y su participación activa en las patologías vasculares</w:t>
      </w:r>
      <w:r w:rsidR="00BA50C6" w:rsidRPr="00DF5FA5">
        <w:rPr>
          <w:rFonts w:eastAsiaTheme="minorHAnsi" w:cs="Arial"/>
          <w:sz w:val="22"/>
          <w:lang w:val="es-ES"/>
        </w:rPr>
        <w:t xml:space="preserve"> </w:t>
      </w:r>
      <w:r w:rsidR="00BA50C6" w:rsidRPr="00DF5FA5">
        <w:rPr>
          <w:rFonts w:eastAsiaTheme="minorHAnsi" w:cs="Arial"/>
          <w:sz w:val="22"/>
          <w:vertAlign w:val="superscript"/>
          <w:lang w:val="es-ES"/>
        </w:rPr>
        <w:t>3</w:t>
      </w:r>
      <w:r w:rsidR="00271CBF" w:rsidRPr="00DF5FA5">
        <w:rPr>
          <w:rFonts w:eastAsiaTheme="minorHAnsi" w:cs="Arial"/>
          <w:sz w:val="22"/>
          <w:lang w:val="es-ES"/>
        </w:rPr>
        <w:t>.</w:t>
      </w:r>
    </w:p>
    <w:p w:rsidR="00754D55" w:rsidRPr="00DF5FA5" w:rsidRDefault="00C13739" w:rsidP="00DF5FA5">
      <w:pPr>
        <w:spacing w:line="360" w:lineRule="auto"/>
        <w:jc w:val="both"/>
        <w:rPr>
          <w:rFonts w:eastAsia="Times New Roman"/>
          <w:b/>
          <w:color w:val="505050"/>
          <w:sz w:val="22"/>
          <w:bdr w:val="none" w:sz="0" w:space="0" w:color="auto" w:frame="1"/>
          <w:lang w:val="es-ES" w:eastAsia="pt-BR"/>
        </w:rPr>
      </w:pPr>
      <w:r w:rsidRPr="00DF5FA5">
        <w:rPr>
          <w:rFonts w:eastAsiaTheme="minorHAnsi" w:cs="Arial"/>
          <w:sz w:val="22"/>
          <w:lang w:val="es-ES"/>
        </w:rPr>
        <w:t xml:space="preserve">El glicocálix endotelial es una estructura sin forma definida que recubre la </w:t>
      </w:r>
      <w:r w:rsidR="00754D55" w:rsidRPr="00DF5FA5">
        <w:rPr>
          <w:rFonts w:eastAsia="Times New Roman"/>
          <w:b/>
          <w:color w:val="505050"/>
          <w:sz w:val="22"/>
          <w:bdr w:val="none" w:sz="0" w:space="0" w:color="auto" w:frame="1"/>
          <w:lang w:val="es-ES" w:eastAsia="pt-BR"/>
        </w:rPr>
        <w:t xml:space="preserve"> </w:t>
      </w:r>
      <w:r w:rsidRPr="00DF5FA5">
        <w:rPr>
          <w:rFonts w:eastAsiaTheme="minorHAnsi" w:cs="Arial"/>
          <w:sz w:val="22"/>
          <w:lang w:val="es-ES"/>
        </w:rPr>
        <w:t>capa luminal del endotelio vascular y</w:t>
      </w:r>
      <w:r w:rsidR="004A3B37" w:rsidRPr="00DF5FA5">
        <w:rPr>
          <w:rFonts w:eastAsiaTheme="minorHAnsi" w:cs="Arial"/>
          <w:sz w:val="22"/>
          <w:lang w:val="es-ES"/>
        </w:rPr>
        <w:t xml:space="preserve"> </w:t>
      </w:r>
      <w:r w:rsidRPr="00DF5FA5">
        <w:rPr>
          <w:rFonts w:eastAsiaTheme="minorHAnsi" w:cs="Arial"/>
          <w:sz w:val="22"/>
          <w:lang w:val="es-ES"/>
        </w:rPr>
        <w:t>que está constituido, principalmente, por tres elementos: proteoglicanos, glucosaminoglicanos y glicoproteínas.</w:t>
      </w:r>
      <w:r w:rsidR="00B27B45" w:rsidRPr="00DF5FA5">
        <w:rPr>
          <w:rFonts w:eastAsia="TrebuchetMS" w:cs="TrebuchetMS"/>
          <w:sz w:val="22"/>
          <w:lang w:val="es-ES"/>
        </w:rPr>
        <w:t xml:space="preserve"> </w:t>
      </w:r>
      <w:r w:rsidR="00B27B45" w:rsidRPr="00DF5FA5">
        <w:rPr>
          <w:rFonts w:eastAsiaTheme="minorHAnsi" w:cs="Arial"/>
          <w:sz w:val="22"/>
          <w:lang w:val="es-ES"/>
        </w:rPr>
        <w:t>Es la capa luminal que recubre el endotelio del árbol vascular (arterias, venas, capilares). Según el método utilizado para la fijación en microscopía electrónica,</w:t>
      </w:r>
      <w:r w:rsidR="00365A56" w:rsidRPr="00DF5FA5">
        <w:rPr>
          <w:rFonts w:eastAsiaTheme="minorHAnsi" w:cs="Arial"/>
          <w:sz w:val="22"/>
          <w:lang w:val="es-ES"/>
        </w:rPr>
        <w:t xml:space="preserve"> </w:t>
      </w:r>
      <w:r w:rsidR="00B27B45" w:rsidRPr="00DF5FA5">
        <w:rPr>
          <w:rFonts w:eastAsiaTheme="minorHAnsi" w:cs="Arial"/>
          <w:sz w:val="22"/>
          <w:lang w:val="es-ES"/>
        </w:rPr>
        <w:t>pue</w:t>
      </w:r>
      <w:r w:rsidR="00365A56" w:rsidRPr="00DF5FA5">
        <w:rPr>
          <w:rFonts w:eastAsiaTheme="minorHAnsi" w:cs="Arial"/>
          <w:sz w:val="22"/>
          <w:lang w:val="es-ES"/>
        </w:rPr>
        <w:t>de verse  con el r</w:t>
      </w:r>
      <w:r w:rsidR="002D2AE9" w:rsidRPr="00DF5FA5">
        <w:rPr>
          <w:rFonts w:eastAsiaTheme="minorHAnsi" w:cs="Arial"/>
          <w:sz w:val="22"/>
          <w:lang w:val="es-ES"/>
        </w:rPr>
        <w:t>ojo de rutenio</w:t>
      </w:r>
      <w:r w:rsidR="009028C7" w:rsidRPr="00DF5FA5">
        <w:rPr>
          <w:rFonts w:eastAsiaTheme="minorHAnsi" w:cs="Arial"/>
          <w:sz w:val="22"/>
          <w:lang w:val="es-ES"/>
        </w:rPr>
        <w:t xml:space="preserve"> (</w:t>
      </w:r>
      <w:r w:rsidR="002F5FDE" w:rsidRPr="00DF5FA5">
        <w:rPr>
          <w:rFonts w:eastAsiaTheme="minorHAnsi" w:cs="Arial"/>
          <w:sz w:val="22"/>
          <w:lang w:val="es-ES"/>
        </w:rPr>
        <w:t>A, anexo</w:t>
      </w:r>
      <w:r w:rsidR="009028C7" w:rsidRPr="00DF5FA5">
        <w:rPr>
          <w:rFonts w:eastAsiaTheme="minorHAnsi" w:cs="Arial"/>
          <w:sz w:val="22"/>
          <w:lang w:val="es-ES"/>
        </w:rPr>
        <w:t xml:space="preserve"> 1)</w:t>
      </w:r>
      <w:r w:rsidR="002D2AE9" w:rsidRPr="00DF5FA5">
        <w:rPr>
          <w:rFonts w:eastAsiaTheme="minorHAnsi" w:cs="Arial"/>
          <w:sz w:val="22"/>
          <w:lang w:val="es-ES"/>
        </w:rPr>
        <w:t>,</w:t>
      </w:r>
      <w:r w:rsidR="00365A56" w:rsidRPr="00DF5FA5">
        <w:rPr>
          <w:rFonts w:eastAsiaTheme="minorHAnsi" w:cs="Arial"/>
          <w:sz w:val="22"/>
          <w:lang w:val="es-ES"/>
        </w:rPr>
        <w:t xml:space="preserve"> como un material amorfo </w:t>
      </w:r>
      <w:r w:rsidR="002A4098" w:rsidRPr="00DF5FA5">
        <w:rPr>
          <w:rFonts w:eastAsiaTheme="minorHAnsi" w:cs="Arial"/>
          <w:sz w:val="22"/>
          <w:lang w:val="es-ES"/>
        </w:rPr>
        <w:t xml:space="preserve"> </w:t>
      </w:r>
      <w:r w:rsidR="00365A56" w:rsidRPr="00DF5FA5">
        <w:rPr>
          <w:rFonts w:eastAsiaTheme="minorHAnsi" w:cs="Arial"/>
          <w:sz w:val="22"/>
          <w:lang w:val="es-ES"/>
        </w:rPr>
        <w:t>o</w:t>
      </w:r>
      <w:r w:rsidR="00111F6F" w:rsidRPr="00DF5FA5">
        <w:rPr>
          <w:rFonts w:eastAsiaTheme="minorHAnsi" w:cs="Arial"/>
          <w:sz w:val="22"/>
          <w:lang w:val="es-ES"/>
        </w:rPr>
        <w:t xml:space="preserve"> </w:t>
      </w:r>
      <w:r w:rsidR="002A4098" w:rsidRPr="00DF5FA5">
        <w:rPr>
          <w:rFonts w:eastAsiaTheme="minorHAnsi" w:cs="Arial"/>
          <w:sz w:val="22"/>
          <w:lang w:val="es-ES"/>
        </w:rPr>
        <w:t>grumoso y con a</w:t>
      </w:r>
      <w:r w:rsidR="007B3AD5" w:rsidRPr="00DF5FA5">
        <w:rPr>
          <w:rFonts w:eastAsiaTheme="minorHAnsi" w:cs="Arial"/>
          <w:sz w:val="22"/>
          <w:lang w:val="es-ES"/>
        </w:rPr>
        <w:t xml:space="preserve">zul </w:t>
      </w:r>
      <w:r w:rsidR="002F5FDE" w:rsidRPr="00DF5FA5">
        <w:rPr>
          <w:rFonts w:eastAsiaTheme="minorHAnsi" w:cs="Arial"/>
          <w:sz w:val="22"/>
          <w:lang w:val="es-ES"/>
        </w:rPr>
        <w:t>alciano (</w:t>
      </w:r>
      <w:r w:rsidR="00BF44DA" w:rsidRPr="00DF5FA5">
        <w:rPr>
          <w:rFonts w:eastAsiaTheme="minorHAnsi" w:cs="Arial"/>
          <w:sz w:val="22"/>
          <w:lang w:val="es-ES"/>
        </w:rPr>
        <w:t>B</w:t>
      </w:r>
      <w:r w:rsidR="00A270CE" w:rsidRPr="00DF5FA5">
        <w:rPr>
          <w:rFonts w:eastAsiaTheme="minorHAnsi" w:cs="Arial"/>
          <w:sz w:val="22"/>
          <w:lang w:val="es-ES"/>
        </w:rPr>
        <w:t>, anexo1</w:t>
      </w:r>
      <w:r w:rsidR="00BF44DA" w:rsidRPr="00DF5FA5">
        <w:rPr>
          <w:rFonts w:eastAsiaTheme="minorHAnsi" w:cs="Arial"/>
          <w:sz w:val="22"/>
          <w:lang w:val="es-ES"/>
        </w:rPr>
        <w:t>)</w:t>
      </w:r>
      <w:r w:rsidR="00AE2693" w:rsidRPr="00DF5FA5">
        <w:rPr>
          <w:rFonts w:eastAsiaTheme="minorHAnsi" w:cs="Arial"/>
          <w:sz w:val="22"/>
          <w:lang w:val="es-ES"/>
        </w:rPr>
        <w:t>,</w:t>
      </w:r>
      <w:r w:rsidR="007B3AD5" w:rsidRPr="00DF5FA5">
        <w:rPr>
          <w:rFonts w:eastAsiaTheme="minorHAnsi" w:cs="Arial"/>
          <w:sz w:val="22"/>
          <w:lang w:val="es-ES"/>
        </w:rPr>
        <w:t xml:space="preserve"> </w:t>
      </w:r>
      <w:r w:rsidR="002A4098" w:rsidRPr="00DF5FA5">
        <w:rPr>
          <w:rFonts w:eastAsiaTheme="minorHAnsi" w:cs="Arial"/>
          <w:sz w:val="22"/>
          <w:lang w:val="es-ES"/>
        </w:rPr>
        <w:t>como una malla de finos filamentos</w:t>
      </w:r>
      <w:r w:rsidR="006E7390" w:rsidRPr="00DF5FA5">
        <w:rPr>
          <w:rFonts w:eastAsiaTheme="minorHAnsi" w:cs="Arial"/>
          <w:sz w:val="22"/>
          <w:vertAlign w:val="superscript"/>
          <w:lang w:val="es-ES"/>
        </w:rPr>
        <w:t>4</w:t>
      </w:r>
      <w:r w:rsidR="002A4098" w:rsidRPr="00DF5FA5">
        <w:rPr>
          <w:rFonts w:eastAsiaTheme="minorHAnsi" w:cs="Arial"/>
          <w:sz w:val="22"/>
          <w:lang w:val="es-ES"/>
        </w:rPr>
        <w:t>.</w:t>
      </w:r>
    </w:p>
    <w:p w:rsidR="00754D55" w:rsidRPr="00DF5FA5" w:rsidRDefault="006552DD" w:rsidP="00DF5FA5">
      <w:pPr>
        <w:spacing w:line="360" w:lineRule="auto"/>
        <w:jc w:val="both"/>
        <w:rPr>
          <w:rFonts w:eastAsia="Times New Roman"/>
          <w:b/>
          <w:color w:val="505050"/>
          <w:sz w:val="22"/>
          <w:bdr w:val="none" w:sz="0" w:space="0" w:color="auto" w:frame="1"/>
          <w:lang w:val="es-ES" w:eastAsia="pt-BR"/>
        </w:rPr>
      </w:pPr>
      <w:r w:rsidRPr="00DF5FA5">
        <w:rPr>
          <w:rFonts w:eastAsiaTheme="minorHAnsi" w:cs="Arial"/>
          <w:sz w:val="22"/>
          <w:lang w:val="es-ES"/>
        </w:rPr>
        <w:t xml:space="preserve">El </w:t>
      </w:r>
      <w:r w:rsidR="00C73C04" w:rsidRPr="00DF5FA5">
        <w:rPr>
          <w:rFonts w:eastAsiaTheme="minorHAnsi" w:cs="Arial"/>
          <w:sz w:val="22"/>
          <w:lang w:val="es-ES"/>
        </w:rPr>
        <w:t>glicocálix endotelial</w:t>
      </w:r>
      <w:r w:rsidRPr="00DF5FA5">
        <w:rPr>
          <w:rFonts w:eastAsiaTheme="minorHAnsi" w:cs="Arial"/>
          <w:sz w:val="22"/>
          <w:lang w:val="es-ES"/>
        </w:rPr>
        <w:t xml:space="preserve"> tiene funciones de </w:t>
      </w:r>
      <w:r w:rsidR="00E24CEA" w:rsidRPr="00DF5FA5">
        <w:rPr>
          <w:rFonts w:eastAsiaTheme="minorHAnsi" w:cs="Arial"/>
          <w:sz w:val="22"/>
          <w:lang w:val="es-ES"/>
        </w:rPr>
        <w:t>regulación</w:t>
      </w:r>
      <w:r w:rsidRPr="00DF5FA5">
        <w:rPr>
          <w:rFonts w:eastAsiaTheme="minorHAnsi" w:cs="Arial"/>
          <w:sz w:val="22"/>
          <w:lang w:val="es-ES"/>
        </w:rPr>
        <w:t xml:space="preserve"> de la permeabilidad vascular a las </w:t>
      </w:r>
      <w:r w:rsidR="00E24CEA" w:rsidRPr="00DF5FA5">
        <w:rPr>
          <w:rFonts w:eastAsiaTheme="minorHAnsi" w:cs="Arial"/>
          <w:sz w:val="22"/>
          <w:lang w:val="es-ES"/>
        </w:rPr>
        <w:t>moléculas</w:t>
      </w:r>
      <w:r w:rsidRPr="00DF5FA5">
        <w:rPr>
          <w:rFonts w:eastAsiaTheme="minorHAnsi" w:cs="Arial"/>
          <w:sz w:val="22"/>
          <w:lang w:val="es-ES"/>
        </w:rPr>
        <w:t xml:space="preserve"> y </w:t>
      </w:r>
      <w:r w:rsidR="00E24CEA" w:rsidRPr="00DF5FA5">
        <w:rPr>
          <w:rFonts w:eastAsiaTheme="minorHAnsi" w:cs="Arial"/>
          <w:sz w:val="22"/>
          <w:lang w:val="es-ES"/>
        </w:rPr>
        <w:t>líquidos</w:t>
      </w:r>
      <w:r w:rsidRPr="00DF5FA5">
        <w:rPr>
          <w:rFonts w:eastAsiaTheme="minorHAnsi" w:cs="Arial"/>
          <w:sz w:val="22"/>
          <w:lang w:val="es-ES"/>
        </w:rPr>
        <w:t xml:space="preserve"> (agua y solutos), la </w:t>
      </w:r>
      <w:r w:rsidR="00E24CEA" w:rsidRPr="00DF5FA5">
        <w:rPr>
          <w:rFonts w:eastAsiaTheme="minorHAnsi" w:cs="Arial"/>
          <w:sz w:val="22"/>
          <w:lang w:val="es-ES"/>
        </w:rPr>
        <w:t>filtración</w:t>
      </w:r>
      <w:r w:rsidRPr="00DF5FA5">
        <w:rPr>
          <w:rFonts w:eastAsiaTheme="minorHAnsi" w:cs="Arial"/>
          <w:sz w:val="22"/>
          <w:lang w:val="es-ES"/>
        </w:rPr>
        <w:t xml:space="preserve"> glomerular, la permeabilidad de </w:t>
      </w:r>
      <w:r w:rsidR="00E24CEA" w:rsidRPr="00DF5FA5">
        <w:rPr>
          <w:rFonts w:eastAsiaTheme="minorHAnsi" w:cs="Arial"/>
          <w:sz w:val="22"/>
          <w:lang w:val="es-ES"/>
        </w:rPr>
        <w:t>macromoléculas</w:t>
      </w:r>
      <w:r w:rsidRPr="00DF5FA5">
        <w:rPr>
          <w:rFonts w:eastAsiaTheme="minorHAnsi" w:cs="Arial"/>
          <w:sz w:val="22"/>
          <w:lang w:val="es-ES"/>
        </w:rPr>
        <w:t xml:space="preserve"> (</w:t>
      </w:r>
      <w:r w:rsidR="00E24CEA" w:rsidRPr="00DF5FA5">
        <w:rPr>
          <w:rFonts w:eastAsiaTheme="minorHAnsi" w:cs="Arial"/>
          <w:sz w:val="22"/>
          <w:lang w:val="es-ES"/>
        </w:rPr>
        <w:t>proteínas</w:t>
      </w:r>
      <w:r w:rsidRPr="00DF5FA5">
        <w:rPr>
          <w:rFonts w:eastAsiaTheme="minorHAnsi" w:cs="Arial"/>
          <w:sz w:val="22"/>
          <w:lang w:val="es-ES"/>
        </w:rPr>
        <w:t xml:space="preserve">), hematocrito capilar y flujo </w:t>
      </w:r>
      <w:r w:rsidR="00E24CEA" w:rsidRPr="00DF5FA5">
        <w:rPr>
          <w:rFonts w:eastAsiaTheme="minorHAnsi" w:cs="Arial"/>
          <w:sz w:val="22"/>
          <w:lang w:val="es-ES"/>
        </w:rPr>
        <w:t>sanguíneo</w:t>
      </w:r>
      <w:r w:rsidRPr="00DF5FA5">
        <w:rPr>
          <w:rFonts w:eastAsiaTheme="minorHAnsi" w:cs="Arial"/>
          <w:sz w:val="22"/>
          <w:lang w:val="es-ES"/>
        </w:rPr>
        <w:t xml:space="preserve"> capilar, la </w:t>
      </w:r>
      <w:r w:rsidR="00360F1A" w:rsidRPr="00DF5FA5">
        <w:rPr>
          <w:rFonts w:eastAsiaTheme="minorHAnsi" w:cs="Arial"/>
          <w:sz w:val="22"/>
          <w:lang w:val="es-ES"/>
        </w:rPr>
        <w:t>coagulación</w:t>
      </w:r>
      <w:r w:rsidRPr="00DF5FA5">
        <w:rPr>
          <w:rFonts w:eastAsiaTheme="minorHAnsi" w:cs="Arial"/>
          <w:sz w:val="22"/>
          <w:lang w:val="es-ES"/>
        </w:rPr>
        <w:t xml:space="preserve"> (localmente),</w:t>
      </w:r>
      <w:r w:rsidR="003631A2" w:rsidRPr="00DF5FA5">
        <w:rPr>
          <w:rFonts w:eastAsiaTheme="minorHAnsi" w:cs="Arial"/>
          <w:sz w:val="22"/>
          <w:lang w:val="es-ES"/>
        </w:rPr>
        <w:t xml:space="preserve"> </w:t>
      </w:r>
      <w:r w:rsidRPr="00DF5FA5">
        <w:rPr>
          <w:rFonts w:eastAsiaTheme="minorHAnsi" w:cs="Arial"/>
          <w:sz w:val="22"/>
          <w:lang w:val="es-ES"/>
        </w:rPr>
        <w:t xml:space="preserve">y las cascadas de </w:t>
      </w:r>
      <w:r w:rsidR="00360F1A" w:rsidRPr="00DF5FA5">
        <w:rPr>
          <w:rFonts w:eastAsiaTheme="minorHAnsi" w:cs="Arial"/>
          <w:sz w:val="22"/>
          <w:lang w:val="es-ES"/>
        </w:rPr>
        <w:t>fibrinólisis</w:t>
      </w:r>
      <w:r w:rsidRPr="00DF5FA5">
        <w:rPr>
          <w:rFonts w:eastAsiaTheme="minorHAnsi" w:cs="Arial"/>
          <w:sz w:val="22"/>
          <w:lang w:val="es-ES"/>
        </w:rPr>
        <w:t xml:space="preserve"> y </w:t>
      </w:r>
      <w:r w:rsidR="00360F1A" w:rsidRPr="00DF5FA5">
        <w:rPr>
          <w:rFonts w:eastAsiaTheme="minorHAnsi" w:cs="Arial"/>
          <w:sz w:val="22"/>
          <w:lang w:val="es-ES"/>
        </w:rPr>
        <w:t>coagulación</w:t>
      </w:r>
      <w:r w:rsidRPr="00DF5FA5">
        <w:rPr>
          <w:rFonts w:eastAsiaTheme="minorHAnsi" w:cs="Arial"/>
          <w:sz w:val="22"/>
          <w:lang w:val="es-ES"/>
        </w:rPr>
        <w:t xml:space="preserve"> vascular. </w:t>
      </w:r>
      <w:r w:rsidR="00360F1A" w:rsidRPr="00DF5FA5">
        <w:rPr>
          <w:rFonts w:eastAsiaTheme="minorHAnsi" w:cs="Arial"/>
          <w:sz w:val="22"/>
          <w:lang w:val="es-ES"/>
        </w:rPr>
        <w:t>Además</w:t>
      </w:r>
      <w:r w:rsidRPr="00DF5FA5">
        <w:rPr>
          <w:rFonts w:eastAsiaTheme="minorHAnsi" w:cs="Arial"/>
          <w:sz w:val="22"/>
          <w:lang w:val="es-ES"/>
        </w:rPr>
        <w:t xml:space="preserve">, previene la </w:t>
      </w:r>
      <w:r w:rsidR="00360F1A" w:rsidRPr="00DF5FA5">
        <w:rPr>
          <w:rFonts w:eastAsiaTheme="minorHAnsi" w:cs="Arial"/>
          <w:sz w:val="22"/>
          <w:lang w:val="es-ES"/>
        </w:rPr>
        <w:t>adhesión</w:t>
      </w:r>
      <w:r w:rsidRPr="00DF5FA5">
        <w:rPr>
          <w:rFonts w:eastAsiaTheme="minorHAnsi" w:cs="Arial"/>
          <w:sz w:val="22"/>
          <w:lang w:val="es-ES"/>
        </w:rPr>
        <w:t xml:space="preserve"> de plaquetas y leucocitos al endotelio y funciona como barrera a la </w:t>
      </w:r>
      <w:r w:rsidR="00360F1A" w:rsidRPr="00DF5FA5">
        <w:rPr>
          <w:rFonts w:eastAsiaTheme="minorHAnsi" w:cs="Arial"/>
          <w:sz w:val="22"/>
          <w:lang w:val="es-ES"/>
        </w:rPr>
        <w:t>filtración</w:t>
      </w:r>
      <w:r w:rsidRPr="00DF5FA5">
        <w:rPr>
          <w:rFonts w:eastAsiaTheme="minorHAnsi" w:cs="Arial"/>
          <w:sz w:val="22"/>
          <w:lang w:val="es-ES"/>
        </w:rPr>
        <w:t xml:space="preserve"> de </w:t>
      </w:r>
      <w:r w:rsidR="00360F1A" w:rsidRPr="00DF5FA5">
        <w:rPr>
          <w:rFonts w:eastAsiaTheme="minorHAnsi" w:cs="Arial"/>
          <w:sz w:val="22"/>
          <w:lang w:val="es-ES"/>
        </w:rPr>
        <w:t>lipoproteínas</w:t>
      </w:r>
      <w:r w:rsidRPr="00DF5FA5">
        <w:rPr>
          <w:rFonts w:eastAsiaTheme="minorHAnsi" w:cs="Arial"/>
          <w:sz w:val="22"/>
          <w:lang w:val="es-ES"/>
        </w:rPr>
        <w:t xml:space="preserve">, sin embargo, una de sus funciones más importantes es la de modulador entre las fuerzas </w:t>
      </w:r>
      <w:r w:rsidR="00360F1A" w:rsidRPr="00DF5FA5">
        <w:rPr>
          <w:rFonts w:eastAsiaTheme="minorHAnsi" w:cs="Arial"/>
          <w:sz w:val="22"/>
          <w:lang w:val="es-ES"/>
        </w:rPr>
        <w:t>mecánicas</w:t>
      </w:r>
      <w:r w:rsidRPr="00DF5FA5">
        <w:rPr>
          <w:rFonts w:eastAsiaTheme="minorHAnsi" w:cs="Arial"/>
          <w:sz w:val="22"/>
          <w:lang w:val="es-ES"/>
        </w:rPr>
        <w:t xml:space="preserve"> tangenciales del torrente </w:t>
      </w:r>
      <w:r w:rsidR="00360F1A" w:rsidRPr="00DF5FA5">
        <w:rPr>
          <w:rFonts w:eastAsiaTheme="minorHAnsi" w:cs="Arial"/>
          <w:sz w:val="22"/>
          <w:lang w:val="es-ES"/>
        </w:rPr>
        <w:t>sanguíneo</w:t>
      </w:r>
      <w:r w:rsidRPr="00DF5FA5">
        <w:rPr>
          <w:rFonts w:eastAsiaTheme="minorHAnsi" w:cs="Arial"/>
          <w:sz w:val="22"/>
          <w:lang w:val="es-ES"/>
        </w:rPr>
        <w:t xml:space="preserve"> y las </w:t>
      </w:r>
      <w:r w:rsidR="00360F1A" w:rsidRPr="00DF5FA5">
        <w:rPr>
          <w:rFonts w:eastAsiaTheme="minorHAnsi" w:cs="Arial"/>
          <w:sz w:val="22"/>
          <w:lang w:val="es-ES"/>
        </w:rPr>
        <w:t>células</w:t>
      </w:r>
      <w:r w:rsidRPr="00DF5FA5">
        <w:rPr>
          <w:rFonts w:eastAsiaTheme="minorHAnsi" w:cs="Arial"/>
          <w:sz w:val="22"/>
          <w:lang w:val="es-ES"/>
        </w:rPr>
        <w:t xml:space="preserve"> del endotelio vascular</w:t>
      </w:r>
      <w:r w:rsidRPr="00DF5FA5">
        <w:rPr>
          <w:rFonts w:eastAsiaTheme="minorHAnsi" w:cs="Arial"/>
          <w:sz w:val="22"/>
          <w:vertAlign w:val="superscript"/>
          <w:lang w:val="es-ES"/>
        </w:rPr>
        <w:t>4</w:t>
      </w:r>
      <w:r w:rsidRPr="00DF5FA5">
        <w:rPr>
          <w:rFonts w:eastAsiaTheme="minorHAnsi" w:cs="Arial"/>
          <w:sz w:val="22"/>
          <w:lang w:val="es-ES"/>
        </w:rPr>
        <w:t>.</w:t>
      </w:r>
    </w:p>
    <w:p w:rsidR="00754D55" w:rsidRPr="00DF5FA5" w:rsidRDefault="00625F13" w:rsidP="00DF5FA5">
      <w:pPr>
        <w:spacing w:line="360" w:lineRule="auto"/>
        <w:jc w:val="both"/>
        <w:rPr>
          <w:rFonts w:eastAsia="Times New Roman"/>
          <w:b/>
          <w:color w:val="505050"/>
          <w:sz w:val="22"/>
          <w:bdr w:val="none" w:sz="0" w:space="0" w:color="auto" w:frame="1"/>
          <w:lang w:val="es-ES" w:eastAsia="pt-BR"/>
        </w:rPr>
      </w:pPr>
      <w:r w:rsidRPr="00DF5FA5">
        <w:rPr>
          <w:rFonts w:eastAsiaTheme="minorHAnsi" w:cs="Arial"/>
          <w:sz w:val="22"/>
          <w:lang w:val="es-ES"/>
        </w:rPr>
        <w:t xml:space="preserve">En el modelo clasico de Starling se describen 4 fuerzas que </w:t>
      </w:r>
      <w:r w:rsidR="00384D4B" w:rsidRPr="00DF5FA5">
        <w:rPr>
          <w:rFonts w:eastAsiaTheme="minorHAnsi" w:cs="Arial"/>
          <w:sz w:val="22"/>
          <w:lang w:val="es-ES"/>
        </w:rPr>
        <w:t>actúan</w:t>
      </w:r>
      <w:r w:rsidRPr="00DF5FA5">
        <w:rPr>
          <w:rFonts w:eastAsiaTheme="minorHAnsi" w:cs="Arial"/>
          <w:sz w:val="22"/>
          <w:lang w:val="es-ES"/>
        </w:rPr>
        <w:t xml:space="preserve"> a nivel del capilar. La presión </w:t>
      </w:r>
      <w:r w:rsidR="00384D4B" w:rsidRPr="00DF5FA5">
        <w:rPr>
          <w:rFonts w:eastAsiaTheme="minorHAnsi" w:cs="Arial"/>
          <w:sz w:val="22"/>
          <w:lang w:val="es-ES"/>
        </w:rPr>
        <w:t>hidrostática</w:t>
      </w:r>
      <w:r w:rsidRPr="00DF5FA5">
        <w:rPr>
          <w:rFonts w:eastAsiaTheme="minorHAnsi" w:cs="Arial"/>
          <w:sz w:val="22"/>
          <w:lang w:val="es-ES"/>
        </w:rPr>
        <w:t xml:space="preserve"> del capilar (PHc), presion </w:t>
      </w:r>
      <w:r w:rsidR="00406EBF" w:rsidRPr="00DF5FA5">
        <w:rPr>
          <w:rFonts w:eastAsiaTheme="minorHAnsi" w:cs="Arial"/>
          <w:sz w:val="22"/>
          <w:lang w:val="es-ES"/>
        </w:rPr>
        <w:t xml:space="preserve">hidrostática del </w:t>
      </w:r>
      <w:r w:rsidR="00384D4B" w:rsidRPr="00DF5FA5">
        <w:rPr>
          <w:rFonts w:eastAsiaTheme="minorHAnsi" w:cs="Arial"/>
          <w:sz w:val="22"/>
          <w:lang w:val="es-ES"/>
        </w:rPr>
        <w:t>líquido</w:t>
      </w:r>
      <w:r w:rsidR="00406EBF" w:rsidRPr="00DF5FA5">
        <w:rPr>
          <w:rFonts w:eastAsiaTheme="minorHAnsi" w:cs="Arial"/>
          <w:sz w:val="22"/>
          <w:lang w:val="es-ES"/>
        </w:rPr>
        <w:t xml:space="preserve"> intersticial (PHi), la presion oncotica (coloidosmotica) del capilar (POc), y la presion oncotica del </w:t>
      </w:r>
      <w:r w:rsidR="00384D4B" w:rsidRPr="00DF5FA5">
        <w:rPr>
          <w:rFonts w:eastAsiaTheme="minorHAnsi" w:cs="Arial"/>
          <w:sz w:val="22"/>
          <w:lang w:val="es-ES"/>
        </w:rPr>
        <w:t>líquido</w:t>
      </w:r>
      <w:r w:rsidR="00406EBF" w:rsidRPr="00DF5FA5">
        <w:rPr>
          <w:rFonts w:eastAsiaTheme="minorHAnsi" w:cs="Arial"/>
          <w:sz w:val="22"/>
          <w:lang w:val="es-ES"/>
        </w:rPr>
        <w:t xml:space="preserve"> intersticial o del intersticio (POi).</w:t>
      </w:r>
      <w:r w:rsidR="00DC0089" w:rsidRPr="00DF5FA5">
        <w:rPr>
          <w:rFonts w:eastAsia="AGaramondPro-Regular" w:cs="AGaramondPro-Regular"/>
          <w:sz w:val="22"/>
          <w:lang w:val="es-ES"/>
        </w:rPr>
        <w:t xml:space="preserve"> </w:t>
      </w:r>
      <w:r w:rsidR="00DC0089" w:rsidRPr="00DF5FA5">
        <w:rPr>
          <w:rFonts w:eastAsiaTheme="minorHAnsi" w:cs="Arial"/>
          <w:sz w:val="22"/>
          <w:lang w:val="es-ES"/>
        </w:rPr>
        <w:t>Cada una de estas fuerzas exhibe una magnitud y un sentido. La fuerza resultante es la que determina</w:t>
      </w:r>
      <w:r w:rsidR="00BA1475" w:rsidRPr="00DF5FA5">
        <w:rPr>
          <w:rFonts w:eastAsiaTheme="minorHAnsi" w:cs="Arial"/>
          <w:sz w:val="22"/>
          <w:lang w:val="es-ES"/>
        </w:rPr>
        <w:t xml:space="preserve"> </w:t>
      </w:r>
      <w:r w:rsidR="00DC0089" w:rsidRPr="00DF5FA5">
        <w:rPr>
          <w:rFonts w:eastAsiaTheme="minorHAnsi" w:cs="Arial"/>
          <w:sz w:val="22"/>
          <w:lang w:val="es-ES"/>
        </w:rPr>
        <w:t xml:space="preserve">si el agua sale a </w:t>
      </w:r>
      <w:r w:rsidR="00B758C9" w:rsidRPr="00DF5FA5">
        <w:rPr>
          <w:rFonts w:eastAsiaTheme="minorHAnsi" w:cs="Arial"/>
          <w:sz w:val="22"/>
          <w:lang w:val="es-ES"/>
        </w:rPr>
        <w:t>través</w:t>
      </w:r>
      <w:r w:rsidR="00DC0089" w:rsidRPr="00DF5FA5">
        <w:rPr>
          <w:rFonts w:eastAsiaTheme="minorHAnsi" w:cs="Arial"/>
          <w:sz w:val="22"/>
          <w:lang w:val="es-ES"/>
        </w:rPr>
        <w:t xml:space="preserve"> del endotelio, se filtra,</w:t>
      </w:r>
      <w:r w:rsidR="00BA1475" w:rsidRPr="00DF5FA5">
        <w:rPr>
          <w:rFonts w:eastAsiaTheme="minorHAnsi" w:cs="Arial"/>
          <w:sz w:val="22"/>
          <w:lang w:val="es-ES"/>
        </w:rPr>
        <w:t xml:space="preserve"> </w:t>
      </w:r>
      <w:r w:rsidR="00DC0089" w:rsidRPr="00DF5FA5">
        <w:rPr>
          <w:rFonts w:eastAsiaTheme="minorHAnsi" w:cs="Arial"/>
          <w:sz w:val="22"/>
          <w:lang w:val="es-ES"/>
        </w:rPr>
        <w:t xml:space="preserve">o si el agua ingresa a </w:t>
      </w:r>
      <w:r w:rsidR="00B758C9" w:rsidRPr="00DF5FA5">
        <w:rPr>
          <w:rFonts w:eastAsiaTheme="minorHAnsi" w:cs="Arial"/>
          <w:sz w:val="22"/>
          <w:lang w:val="es-ES"/>
        </w:rPr>
        <w:t>través</w:t>
      </w:r>
      <w:r w:rsidR="00DC0089" w:rsidRPr="00DF5FA5">
        <w:rPr>
          <w:rFonts w:eastAsiaTheme="minorHAnsi" w:cs="Arial"/>
          <w:sz w:val="22"/>
          <w:lang w:val="es-ES"/>
        </w:rPr>
        <w:t xml:space="preserve"> del endotelio desde el</w:t>
      </w:r>
      <w:r w:rsidR="00BA1475" w:rsidRPr="00DF5FA5">
        <w:rPr>
          <w:rFonts w:eastAsiaTheme="minorHAnsi" w:cs="Arial"/>
          <w:sz w:val="22"/>
          <w:lang w:val="es-ES"/>
        </w:rPr>
        <w:t xml:space="preserve"> </w:t>
      </w:r>
      <w:r w:rsidR="00DC0089" w:rsidRPr="00DF5FA5">
        <w:rPr>
          <w:rFonts w:eastAsiaTheme="minorHAnsi" w:cs="Arial"/>
          <w:sz w:val="22"/>
          <w:lang w:val="es-ES"/>
        </w:rPr>
        <w:t>intersticio hac</w:t>
      </w:r>
      <w:r w:rsidR="003E42D6" w:rsidRPr="00DF5FA5">
        <w:rPr>
          <w:rFonts w:eastAsiaTheme="minorHAnsi" w:cs="Arial"/>
          <w:sz w:val="22"/>
          <w:lang w:val="es-ES"/>
        </w:rPr>
        <w:t xml:space="preserve">ia el espacio intravascular, se </w:t>
      </w:r>
      <w:r w:rsidR="00DC0089" w:rsidRPr="00DF5FA5">
        <w:rPr>
          <w:rFonts w:eastAsiaTheme="minorHAnsi" w:cs="Arial"/>
          <w:sz w:val="22"/>
          <w:lang w:val="es-ES"/>
        </w:rPr>
        <w:t>absorbe</w:t>
      </w:r>
      <w:r w:rsidR="002D11DC" w:rsidRPr="00DF5FA5">
        <w:rPr>
          <w:rFonts w:eastAsiaTheme="minorHAnsi" w:cs="Arial"/>
          <w:sz w:val="22"/>
          <w:vertAlign w:val="superscript"/>
          <w:lang w:val="es-ES"/>
        </w:rPr>
        <w:t>5</w:t>
      </w:r>
      <w:r w:rsidR="00861BCF" w:rsidRPr="00DF5FA5">
        <w:rPr>
          <w:rFonts w:eastAsiaTheme="minorHAnsi" w:cs="Arial"/>
          <w:sz w:val="22"/>
          <w:lang w:val="es-ES"/>
        </w:rPr>
        <w:t>.</w:t>
      </w:r>
      <w:r w:rsidR="00861BCF" w:rsidRPr="00DF5FA5">
        <w:rPr>
          <w:rFonts w:eastAsia="AGaramondPro-Regular" w:cs="AGaramondPro-Regular"/>
          <w:sz w:val="22"/>
          <w:lang w:val="es-ES"/>
        </w:rPr>
        <w:t xml:space="preserve"> </w:t>
      </w:r>
      <w:r w:rsidR="00861BCF" w:rsidRPr="00DF5FA5">
        <w:rPr>
          <w:rFonts w:eastAsiaTheme="minorHAnsi" w:cs="Arial"/>
          <w:sz w:val="22"/>
          <w:lang w:val="es-ES"/>
        </w:rPr>
        <w:t>En el nuevo modelo,</w:t>
      </w:r>
      <w:r w:rsidR="003E42D6" w:rsidRPr="00DF5FA5">
        <w:rPr>
          <w:rFonts w:eastAsiaTheme="minorHAnsi" w:cs="Arial"/>
          <w:sz w:val="22"/>
          <w:lang w:val="es-ES"/>
        </w:rPr>
        <w:t xml:space="preserve"> el subglicocalix es el espacio </w:t>
      </w:r>
      <w:r w:rsidR="00861BCF" w:rsidRPr="00DF5FA5">
        <w:rPr>
          <w:rFonts w:eastAsiaTheme="minorHAnsi" w:cs="Arial"/>
          <w:sz w:val="22"/>
          <w:lang w:val="es-ES"/>
        </w:rPr>
        <w:t>entre el glicocalix y el endotelio, y este es pobre</w:t>
      </w:r>
      <w:r w:rsidR="003E42D6" w:rsidRPr="00DF5FA5">
        <w:rPr>
          <w:rFonts w:eastAsiaTheme="minorHAnsi" w:cs="Arial"/>
          <w:sz w:val="22"/>
          <w:lang w:val="es-ES"/>
        </w:rPr>
        <w:t xml:space="preserve"> </w:t>
      </w:r>
      <w:r w:rsidR="00861BCF" w:rsidRPr="00DF5FA5">
        <w:rPr>
          <w:rFonts w:eastAsiaTheme="minorHAnsi" w:cs="Arial"/>
          <w:sz w:val="22"/>
          <w:lang w:val="es-ES"/>
        </w:rPr>
        <w:t xml:space="preserve">en proteinas La presion oncotica del </w:t>
      </w:r>
      <w:r w:rsidR="006B181D" w:rsidRPr="00DF5FA5">
        <w:rPr>
          <w:rFonts w:eastAsiaTheme="minorHAnsi" w:cs="Arial"/>
          <w:sz w:val="22"/>
          <w:lang w:val="es-ES"/>
        </w:rPr>
        <w:t>líquido</w:t>
      </w:r>
      <w:r w:rsidR="00861BCF" w:rsidRPr="00DF5FA5">
        <w:rPr>
          <w:rFonts w:eastAsiaTheme="minorHAnsi" w:cs="Arial"/>
          <w:sz w:val="22"/>
          <w:lang w:val="es-ES"/>
        </w:rPr>
        <w:t xml:space="preserve"> intersticial</w:t>
      </w:r>
      <w:r w:rsidR="003E42D6" w:rsidRPr="00DF5FA5">
        <w:rPr>
          <w:rFonts w:eastAsiaTheme="minorHAnsi" w:cs="Arial"/>
          <w:sz w:val="22"/>
          <w:lang w:val="es-ES"/>
        </w:rPr>
        <w:t xml:space="preserve"> </w:t>
      </w:r>
      <w:r w:rsidR="00861BCF" w:rsidRPr="00DF5FA5">
        <w:rPr>
          <w:rFonts w:eastAsiaTheme="minorHAnsi" w:cs="Arial"/>
          <w:sz w:val="22"/>
          <w:lang w:val="es-ES"/>
        </w:rPr>
        <w:t xml:space="preserve">es sustituida por la presion del </w:t>
      </w:r>
      <w:r w:rsidR="00861BCF" w:rsidRPr="00DF5FA5">
        <w:rPr>
          <w:rFonts w:eastAsiaTheme="minorHAnsi" w:cs="Arial"/>
          <w:sz w:val="22"/>
          <w:lang w:val="es-ES"/>
        </w:rPr>
        <w:lastRenderedPageBreak/>
        <w:t>subglucocalix</w:t>
      </w:r>
      <w:r w:rsidR="003E42D6" w:rsidRPr="00DF5FA5">
        <w:rPr>
          <w:rFonts w:eastAsiaTheme="minorHAnsi" w:cs="Arial"/>
          <w:sz w:val="22"/>
          <w:lang w:val="es-ES"/>
        </w:rPr>
        <w:t xml:space="preserve"> (POsg). Es la presión </w:t>
      </w:r>
      <w:r w:rsidR="00861BCF" w:rsidRPr="00DF5FA5">
        <w:rPr>
          <w:rFonts w:eastAsiaTheme="minorHAnsi" w:cs="Arial"/>
          <w:sz w:val="22"/>
          <w:lang w:val="es-ES"/>
        </w:rPr>
        <w:t>oncotica de dicho espacio, la</w:t>
      </w:r>
      <w:r w:rsidR="003E42D6" w:rsidRPr="00DF5FA5">
        <w:rPr>
          <w:rFonts w:eastAsiaTheme="minorHAnsi" w:cs="Arial"/>
          <w:sz w:val="22"/>
          <w:lang w:val="es-ES"/>
        </w:rPr>
        <w:t xml:space="preserve"> </w:t>
      </w:r>
      <w:r w:rsidR="00861BCF" w:rsidRPr="00DF5FA5">
        <w:rPr>
          <w:rFonts w:eastAsiaTheme="minorHAnsi" w:cs="Arial"/>
          <w:sz w:val="22"/>
          <w:lang w:val="es-ES"/>
        </w:rPr>
        <w:t>que determina la diferencia entre presion oncotica</w:t>
      </w:r>
      <w:r w:rsidR="003E42D6" w:rsidRPr="00DF5FA5">
        <w:rPr>
          <w:rFonts w:eastAsiaTheme="minorHAnsi" w:cs="Arial"/>
          <w:sz w:val="22"/>
          <w:lang w:val="es-ES"/>
        </w:rPr>
        <w:t xml:space="preserve"> </w:t>
      </w:r>
      <w:r w:rsidR="00861BCF" w:rsidRPr="00DF5FA5">
        <w:rPr>
          <w:rFonts w:eastAsiaTheme="minorHAnsi" w:cs="Arial"/>
          <w:sz w:val="22"/>
          <w:lang w:val="es-ES"/>
        </w:rPr>
        <w:t>capilar y del subglicocalix (</w:t>
      </w:r>
      <w:r w:rsidR="00861BCF" w:rsidRPr="00DF5FA5">
        <w:rPr>
          <w:rFonts w:eastAsiaTheme="minorHAnsi" w:cs="Arial"/>
          <w:sz w:val="22"/>
          <w:lang w:val="pt-BR"/>
        </w:rPr>
        <w:t>Δ</w:t>
      </w:r>
      <w:r w:rsidR="00861BCF" w:rsidRPr="00DF5FA5">
        <w:rPr>
          <w:rFonts w:eastAsiaTheme="minorHAnsi" w:cs="Arial"/>
          <w:sz w:val="22"/>
          <w:lang w:val="es-ES"/>
        </w:rPr>
        <w:t>PO), y no la POi. Tanto</w:t>
      </w:r>
      <w:r w:rsidR="003E42D6" w:rsidRPr="00DF5FA5">
        <w:rPr>
          <w:rFonts w:eastAsiaTheme="minorHAnsi" w:cs="Arial"/>
          <w:sz w:val="22"/>
          <w:lang w:val="es-ES"/>
        </w:rPr>
        <w:t xml:space="preserve"> </w:t>
      </w:r>
      <w:r w:rsidR="00861BCF" w:rsidRPr="00DF5FA5">
        <w:rPr>
          <w:rFonts w:eastAsiaTheme="minorHAnsi" w:cs="Arial"/>
          <w:sz w:val="22"/>
          <w:lang w:val="es-ES"/>
        </w:rPr>
        <w:t xml:space="preserve">la PHi como la POsg son </w:t>
      </w:r>
      <w:r w:rsidR="00B758C9" w:rsidRPr="00DF5FA5">
        <w:rPr>
          <w:rFonts w:eastAsiaTheme="minorHAnsi" w:cs="Arial"/>
          <w:sz w:val="22"/>
          <w:lang w:val="es-ES"/>
        </w:rPr>
        <w:t>dinámicas</w:t>
      </w:r>
      <w:r w:rsidR="00861BCF" w:rsidRPr="00DF5FA5">
        <w:rPr>
          <w:rFonts w:eastAsiaTheme="minorHAnsi" w:cs="Arial"/>
          <w:sz w:val="22"/>
          <w:lang w:val="es-ES"/>
        </w:rPr>
        <w:t xml:space="preserve"> y cambian</w:t>
      </w:r>
      <w:r w:rsidR="003E42D6" w:rsidRPr="00DF5FA5">
        <w:rPr>
          <w:rFonts w:eastAsiaTheme="minorHAnsi" w:cs="Arial"/>
          <w:sz w:val="22"/>
          <w:lang w:val="es-ES"/>
        </w:rPr>
        <w:t xml:space="preserve"> segú</w:t>
      </w:r>
      <w:r w:rsidR="00861BCF" w:rsidRPr="00DF5FA5">
        <w:rPr>
          <w:rFonts w:eastAsiaTheme="minorHAnsi" w:cs="Arial"/>
          <w:sz w:val="22"/>
          <w:lang w:val="es-ES"/>
        </w:rPr>
        <w:t>n el flujo de agua desde o hacia el intersticio</w:t>
      </w:r>
      <w:r w:rsidR="00ED4D9F" w:rsidRPr="00DF5FA5">
        <w:rPr>
          <w:rFonts w:eastAsiaTheme="minorHAnsi" w:cs="Arial"/>
          <w:sz w:val="22"/>
          <w:vertAlign w:val="superscript"/>
          <w:lang w:val="es-ES"/>
        </w:rPr>
        <w:t>4</w:t>
      </w:r>
      <w:r w:rsidR="00861BCF" w:rsidRPr="00DF5FA5">
        <w:rPr>
          <w:rFonts w:eastAsiaTheme="minorHAnsi" w:cs="Arial"/>
          <w:sz w:val="22"/>
          <w:lang w:val="es-ES"/>
        </w:rPr>
        <w:t>.</w:t>
      </w:r>
    </w:p>
    <w:p w:rsidR="00625F13" w:rsidRPr="00DF5FA5" w:rsidRDefault="007231D4" w:rsidP="00DF5FA5">
      <w:pPr>
        <w:spacing w:line="360" w:lineRule="auto"/>
        <w:jc w:val="both"/>
        <w:rPr>
          <w:rFonts w:eastAsia="Times New Roman"/>
          <w:b/>
          <w:color w:val="505050"/>
          <w:sz w:val="22"/>
          <w:bdr w:val="none" w:sz="0" w:space="0" w:color="auto" w:frame="1"/>
          <w:lang w:val="es-ES" w:eastAsia="pt-BR"/>
        </w:rPr>
      </w:pPr>
      <w:r w:rsidRPr="00DF5FA5">
        <w:rPr>
          <w:rFonts w:eastAsiaTheme="minorHAnsi" w:cs="Arial"/>
          <w:sz w:val="22"/>
          <w:lang w:val="es-ES"/>
        </w:rPr>
        <w:t>Los determinantes de lesión del glicocálix pueden ser de varios tipos, por</w:t>
      </w:r>
      <w:r w:rsidR="004725CE" w:rsidRPr="00DF5FA5">
        <w:rPr>
          <w:rFonts w:eastAsiaTheme="minorHAnsi" w:cs="Arial"/>
          <w:sz w:val="22"/>
          <w:lang w:val="es-ES"/>
        </w:rPr>
        <w:t xml:space="preserve"> </w:t>
      </w:r>
      <w:r w:rsidRPr="00DF5FA5">
        <w:rPr>
          <w:rFonts w:eastAsiaTheme="minorHAnsi" w:cs="Arial"/>
          <w:sz w:val="22"/>
          <w:lang w:val="es-ES"/>
        </w:rPr>
        <w:t>ejemplo, incremento las fuerzas de tensión, especies reactivas de oxígeno (O2), aumento, a nivel plasmático, de</w:t>
      </w:r>
      <w:r w:rsidR="004725CE" w:rsidRPr="00DF5FA5">
        <w:rPr>
          <w:rFonts w:eastAsiaTheme="minorHAnsi" w:cs="Arial"/>
          <w:sz w:val="22"/>
          <w:lang w:val="es-ES"/>
        </w:rPr>
        <w:t xml:space="preserve"> </w:t>
      </w:r>
      <w:r w:rsidRPr="00DF5FA5">
        <w:rPr>
          <w:rFonts w:eastAsiaTheme="minorHAnsi" w:cs="Arial"/>
          <w:sz w:val="22"/>
          <w:lang w:val="es-ES"/>
        </w:rPr>
        <w:t>sustancias como el sodio (</w:t>
      </w:r>
      <w:r w:rsidR="00083753" w:rsidRPr="00DF5FA5">
        <w:rPr>
          <w:rFonts w:eastAsiaTheme="minorHAnsi" w:cs="Arial"/>
          <w:sz w:val="22"/>
          <w:lang w:val="es-ES"/>
        </w:rPr>
        <w:t>hiponatremia</w:t>
      </w:r>
      <w:r w:rsidRPr="00DF5FA5">
        <w:rPr>
          <w:rFonts w:eastAsiaTheme="minorHAnsi" w:cs="Arial"/>
          <w:sz w:val="22"/>
          <w:lang w:val="es-ES"/>
        </w:rPr>
        <w:t>), glucosa (hiperglicemia) y colesterol (hipercolesterolemia), y las moléculas</w:t>
      </w:r>
      <w:r w:rsidR="004725CE" w:rsidRPr="00DF5FA5">
        <w:rPr>
          <w:rFonts w:eastAsiaTheme="minorHAnsi" w:cs="Arial"/>
          <w:sz w:val="22"/>
          <w:lang w:val="es-ES"/>
        </w:rPr>
        <w:t xml:space="preserve"> </w:t>
      </w:r>
      <w:r w:rsidR="00AF415A" w:rsidRPr="00DF5FA5">
        <w:rPr>
          <w:rFonts w:eastAsiaTheme="minorHAnsi" w:cs="Arial"/>
          <w:sz w:val="22"/>
          <w:lang w:val="es-ES"/>
        </w:rPr>
        <w:t>proinflamatoria</w:t>
      </w:r>
      <w:r w:rsidRPr="00DF5FA5">
        <w:rPr>
          <w:rFonts w:eastAsiaTheme="minorHAnsi" w:cs="Arial"/>
          <w:sz w:val="22"/>
          <w:lang w:val="es-ES"/>
        </w:rPr>
        <w:t>. Cualquiera de las noxas citadas, individualmente o combinadas, lesionan el glicocálix y la disfunción</w:t>
      </w:r>
      <w:r w:rsidR="004725CE" w:rsidRPr="00DF5FA5">
        <w:rPr>
          <w:rFonts w:eastAsiaTheme="minorHAnsi" w:cs="Arial"/>
          <w:sz w:val="22"/>
          <w:lang w:val="es-ES"/>
        </w:rPr>
        <w:t xml:space="preserve"> </w:t>
      </w:r>
      <w:r w:rsidRPr="00DF5FA5">
        <w:rPr>
          <w:rFonts w:eastAsiaTheme="minorHAnsi" w:cs="Arial"/>
          <w:sz w:val="22"/>
          <w:lang w:val="es-ES"/>
        </w:rPr>
        <w:t>resultante se expresará clínicamente como disfunción endotelial, aumento de la permeabilidad vascular, paso de</w:t>
      </w:r>
      <w:r w:rsidR="004725CE" w:rsidRPr="00DF5FA5">
        <w:rPr>
          <w:rFonts w:eastAsiaTheme="minorHAnsi" w:cs="Arial"/>
          <w:sz w:val="22"/>
          <w:lang w:val="es-ES"/>
        </w:rPr>
        <w:t xml:space="preserve"> </w:t>
      </w:r>
      <w:r w:rsidRPr="00DF5FA5">
        <w:rPr>
          <w:rFonts w:eastAsiaTheme="minorHAnsi" w:cs="Arial"/>
          <w:sz w:val="22"/>
          <w:lang w:val="es-ES"/>
        </w:rPr>
        <w:t>lipoproteínas al subendotelio, activación de la coagulación o aumento de la adhesión de plaquetas y leucocitos al</w:t>
      </w:r>
      <w:r w:rsidR="004725CE" w:rsidRPr="00DF5FA5">
        <w:rPr>
          <w:rFonts w:eastAsiaTheme="minorHAnsi" w:cs="Arial"/>
          <w:sz w:val="22"/>
          <w:lang w:val="es-ES"/>
        </w:rPr>
        <w:t xml:space="preserve"> </w:t>
      </w:r>
      <w:r w:rsidRPr="00DF5FA5">
        <w:rPr>
          <w:rFonts w:eastAsiaTheme="minorHAnsi" w:cs="Arial"/>
          <w:sz w:val="22"/>
          <w:lang w:val="es-ES"/>
        </w:rPr>
        <w:t>endotelio</w:t>
      </w:r>
      <w:r w:rsidR="00ED4D9F" w:rsidRPr="00DF5FA5">
        <w:rPr>
          <w:rFonts w:eastAsiaTheme="minorHAnsi" w:cs="Arial"/>
          <w:sz w:val="22"/>
          <w:vertAlign w:val="superscript"/>
          <w:lang w:val="es-ES"/>
        </w:rPr>
        <w:t>5</w:t>
      </w:r>
      <w:r w:rsidRPr="00DF5FA5">
        <w:rPr>
          <w:rFonts w:eastAsiaTheme="minorHAnsi" w:cs="Arial"/>
          <w:sz w:val="22"/>
          <w:lang w:val="es-ES"/>
        </w:rPr>
        <w:t>.</w:t>
      </w:r>
    </w:p>
    <w:p w:rsidR="00296A1A" w:rsidRPr="00DF5FA5" w:rsidRDefault="00296A1A" w:rsidP="00DF5FA5">
      <w:pPr>
        <w:autoSpaceDE w:val="0"/>
        <w:autoSpaceDN w:val="0"/>
        <w:adjustRightInd w:val="0"/>
        <w:spacing w:after="0" w:line="360" w:lineRule="auto"/>
        <w:jc w:val="both"/>
        <w:rPr>
          <w:rFonts w:eastAsiaTheme="minorHAnsi" w:cs="Arial"/>
          <w:sz w:val="22"/>
          <w:lang w:val="es-ES"/>
        </w:rPr>
      </w:pPr>
      <w:r w:rsidRPr="00DF5FA5">
        <w:rPr>
          <w:rFonts w:eastAsiaTheme="minorHAnsi" w:cs="Arial"/>
          <w:sz w:val="22"/>
          <w:lang w:val="es-ES"/>
        </w:rPr>
        <w:t xml:space="preserve">El glicocálix endotelial puede ser evaluado de manera directa e indirecta. </w:t>
      </w:r>
      <w:r w:rsidRPr="00DF5FA5">
        <w:rPr>
          <w:rFonts w:eastAsiaTheme="minorHAnsi" w:cs="Arial"/>
          <w:i/>
          <w:iCs/>
          <w:sz w:val="22"/>
          <w:lang w:val="es-ES"/>
        </w:rPr>
        <w:t xml:space="preserve">In vivo </w:t>
      </w:r>
      <w:r w:rsidRPr="00DF5FA5">
        <w:rPr>
          <w:rFonts w:eastAsiaTheme="minorHAnsi" w:cs="Arial"/>
          <w:sz w:val="22"/>
          <w:lang w:val="es-ES"/>
        </w:rPr>
        <w:t>el glicocálix no puede ser observado de manera directa, por lo que se han desarrollado técnicas especiales que permiten visualizar el espacio que existe entre los eritrocitos y el endotelio de vasos sublinguales y retinianos; de esta manera, se determina la amplitud que corresp</w:t>
      </w:r>
      <w:r w:rsidR="00851406" w:rsidRPr="00DF5FA5">
        <w:rPr>
          <w:rFonts w:eastAsiaTheme="minorHAnsi" w:cs="Arial"/>
          <w:sz w:val="22"/>
          <w:lang w:val="es-ES"/>
        </w:rPr>
        <w:t xml:space="preserve">onde al </w:t>
      </w:r>
      <w:r w:rsidR="00AF659A" w:rsidRPr="00DF5FA5">
        <w:rPr>
          <w:rFonts w:eastAsiaTheme="minorHAnsi" w:cs="Arial"/>
          <w:sz w:val="22"/>
          <w:lang w:val="es-ES"/>
        </w:rPr>
        <w:t xml:space="preserve">glicocálix. </w:t>
      </w:r>
      <w:r w:rsidRPr="00DF5FA5">
        <w:rPr>
          <w:rFonts w:eastAsiaTheme="minorHAnsi" w:cs="Arial"/>
          <w:sz w:val="22"/>
          <w:lang w:val="es-ES"/>
        </w:rPr>
        <w:t>Recientemente, se ha desarrollado un novedoso videomicros</w:t>
      </w:r>
      <w:r w:rsidR="00851406" w:rsidRPr="00DF5FA5">
        <w:rPr>
          <w:rFonts w:eastAsiaTheme="minorHAnsi" w:cs="Arial"/>
          <w:sz w:val="22"/>
          <w:lang w:val="es-ES"/>
        </w:rPr>
        <w:t xml:space="preserve">copio con software incorporado </w:t>
      </w:r>
      <w:r w:rsidRPr="00DF5FA5">
        <w:rPr>
          <w:rFonts w:eastAsiaTheme="minorHAnsi" w:cs="Arial"/>
          <w:sz w:val="22"/>
          <w:lang w:val="es-ES"/>
        </w:rPr>
        <w:t>que, utilizando los vasos sublinguales, permite evaluar la microcirculación al establecer la región límite perfundida (</w:t>
      </w:r>
      <w:r w:rsidRPr="00DF5FA5">
        <w:rPr>
          <w:rFonts w:eastAsiaTheme="minorHAnsi" w:cs="Arial"/>
          <w:i/>
          <w:iCs/>
          <w:sz w:val="22"/>
          <w:lang w:val="es-ES"/>
        </w:rPr>
        <w:t xml:space="preserve">PBR </w:t>
      </w:r>
      <w:r w:rsidRPr="00DF5FA5">
        <w:rPr>
          <w:rFonts w:eastAsiaTheme="minorHAnsi" w:cs="Arial"/>
          <w:sz w:val="22"/>
          <w:lang w:val="es-ES"/>
        </w:rPr>
        <w:t xml:space="preserve">de sus siglas en inglés), la cual se relaciona de manera inversamente proporcional con el tamaño del glicocálix; en otras palabras, un PBR alto indica menor grosor del glicocálix. A este respecto, se ha demostrado que el PBR se encuentra muy elevado en pacientes críticos al comparar </w:t>
      </w:r>
      <w:r w:rsidR="00851406" w:rsidRPr="00DF5FA5">
        <w:rPr>
          <w:rFonts w:eastAsiaTheme="minorHAnsi" w:cs="Arial"/>
          <w:sz w:val="22"/>
          <w:lang w:val="es-ES"/>
        </w:rPr>
        <w:t>su valor con sujetos sanos</w:t>
      </w:r>
      <w:r w:rsidRPr="00DF5FA5">
        <w:rPr>
          <w:rFonts w:eastAsiaTheme="minorHAnsi" w:cs="Arial"/>
          <w:sz w:val="22"/>
          <w:lang w:val="es-ES"/>
        </w:rPr>
        <w:t xml:space="preserve">. En pacientes con sepsis se considera que un PBR mayor de 2.0 </w:t>
      </w:r>
      <w:r w:rsidRPr="00DF5FA5">
        <w:rPr>
          <w:rFonts w:eastAsiaTheme="minorHAnsi" w:cs="Arial"/>
          <w:sz w:val="22"/>
          <w:lang w:val="pt-BR"/>
        </w:rPr>
        <w:t>μ</w:t>
      </w:r>
      <w:r w:rsidRPr="00DF5FA5">
        <w:rPr>
          <w:rFonts w:eastAsiaTheme="minorHAnsi" w:cs="Arial"/>
          <w:sz w:val="22"/>
          <w:lang w:val="es-ES"/>
        </w:rPr>
        <w:t>m es indicativo de lesión severa del glicocálix endotelial</w:t>
      </w:r>
      <w:r w:rsidR="002D11DC" w:rsidRPr="00DF5FA5">
        <w:rPr>
          <w:rFonts w:eastAsiaTheme="minorHAnsi" w:cs="Arial"/>
          <w:sz w:val="22"/>
          <w:vertAlign w:val="superscript"/>
          <w:lang w:val="es-ES"/>
        </w:rPr>
        <w:t>6</w:t>
      </w:r>
      <w:r w:rsidRPr="00DF5FA5">
        <w:rPr>
          <w:rFonts w:eastAsiaTheme="minorHAnsi" w:cs="Arial"/>
          <w:sz w:val="22"/>
          <w:lang w:val="es-ES"/>
        </w:rPr>
        <w:t>.</w:t>
      </w:r>
    </w:p>
    <w:p w:rsidR="00757336" w:rsidRPr="00DF5FA5" w:rsidRDefault="00757336" w:rsidP="00DF5FA5">
      <w:pPr>
        <w:autoSpaceDE w:val="0"/>
        <w:autoSpaceDN w:val="0"/>
        <w:adjustRightInd w:val="0"/>
        <w:spacing w:after="0" w:line="360" w:lineRule="auto"/>
        <w:jc w:val="both"/>
        <w:rPr>
          <w:rFonts w:eastAsiaTheme="minorHAnsi" w:cs="Arial"/>
          <w:sz w:val="22"/>
          <w:lang w:val="es-ES"/>
        </w:rPr>
      </w:pPr>
    </w:p>
    <w:p w:rsidR="00757336" w:rsidRPr="00DF5FA5" w:rsidRDefault="006F1ED7" w:rsidP="00DF5FA5">
      <w:pPr>
        <w:autoSpaceDE w:val="0"/>
        <w:autoSpaceDN w:val="0"/>
        <w:adjustRightInd w:val="0"/>
        <w:spacing w:after="0" w:line="360" w:lineRule="auto"/>
        <w:jc w:val="both"/>
        <w:rPr>
          <w:rFonts w:eastAsiaTheme="minorHAnsi" w:cs="Arial"/>
          <w:sz w:val="22"/>
          <w:vertAlign w:val="superscript"/>
          <w:lang w:val="es-ES"/>
        </w:rPr>
      </w:pPr>
      <w:r w:rsidRPr="00DF5FA5">
        <w:rPr>
          <w:rFonts w:eastAsiaTheme="minorHAnsi" w:cs="Arial"/>
          <w:sz w:val="22"/>
          <w:lang w:val="es-ES"/>
        </w:rPr>
        <w:t>El factor de dañ</w:t>
      </w:r>
      <w:r w:rsidR="00AF659A" w:rsidRPr="00DF5FA5">
        <w:rPr>
          <w:rFonts w:eastAsiaTheme="minorHAnsi" w:cs="Arial"/>
          <w:sz w:val="22"/>
          <w:lang w:val="es-ES"/>
        </w:rPr>
        <w:t>o endotelial en</w:t>
      </w:r>
      <w:r w:rsidRPr="00DF5FA5">
        <w:rPr>
          <w:rFonts w:eastAsiaTheme="minorHAnsi" w:cs="Arial"/>
          <w:sz w:val="22"/>
          <w:lang w:val="es-ES"/>
        </w:rPr>
        <w:t xml:space="preserve"> la hiperglicemia, el blanco clínico sería la restauración del glicocálix, para ello se administra el fármaco sulodexide (mezcla de heparina, dermatán sulfato y condritín sulfato) que inhibe la heparanasa y a la MMP. Los resultados en diabéticos tipo II han sido alentadores</w:t>
      </w:r>
      <w:r w:rsidR="004822CF" w:rsidRPr="00DF5FA5">
        <w:rPr>
          <w:rFonts w:eastAsiaTheme="minorHAnsi" w:cs="Arial"/>
          <w:sz w:val="22"/>
          <w:lang w:val="es-ES"/>
        </w:rPr>
        <w:t>.</w:t>
      </w:r>
      <w:r w:rsidR="004F4C7E" w:rsidRPr="00DF5FA5">
        <w:rPr>
          <w:rFonts w:eastAsiaTheme="minorHAnsi" w:cs="Arial"/>
          <w:sz w:val="22"/>
          <w:lang w:val="es-ES"/>
        </w:rPr>
        <w:t xml:space="preserve"> </w:t>
      </w:r>
      <w:r w:rsidR="004F4C7E" w:rsidRPr="00DF5FA5">
        <w:rPr>
          <w:rFonts w:eastAsiaTheme="minorHAnsi" w:cs="Arial"/>
          <w:sz w:val="22"/>
          <w:vertAlign w:val="superscript"/>
          <w:lang w:val="es-ES"/>
        </w:rPr>
        <w:t>7</w:t>
      </w:r>
    </w:p>
    <w:p w:rsidR="00F8514D" w:rsidRPr="00FB24CC" w:rsidRDefault="001D0490" w:rsidP="00DF5FA5">
      <w:pPr>
        <w:autoSpaceDE w:val="0"/>
        <w:autoSpaceDN w:val="0"/>
        <w:adjustRightInd w:val="0"/>
        <w:spacing w:after="0" w:line="360" w:lineRule="auto"/>
        <w:jc w:val="both"/>
        <w:rPr>
          <w:rFonts w:eastAsiaTheme="minorHAnsi" w:cs="Arial"/>
          <w:sz w:val="22"/>
          <w:lang w:val="es-ES"/>
        </w:rPr>
      </w:pPr>
      <w:r w:rsidRPr="00DF5FA5">
        <w:rPr>
          <w:rFonts w:eastAsiaTheme="minorHAnsi" w:cs="Arial"/>
          <w:sz w:val="22"/>
          <w:lang w:val="es-ES"/>
        </w:rPr>
        <w:t>En muchas condiciones patológicas, las alteraciones en la permeabilidad vascular son causadas, en part</w:t>
      </w:r>
      <w:r w:rsidR="004822CF" w:rsidRPr="00DF5FA5">
        <w:rPr>
          <w:rFonts w:eastAsiaTheme="minorHAnsi" w:cs="Arial"/>
          <w:sz w:val="22"/>
          <w:lang w:val="es-ES"/>
        </w:rPr>
        <w:t xml:space="preserve">e, por la ruptura del </w:t>
      </w:r>
      <w:r w:rsidR="00C22C2A" w:rsidRPr="00DF5FA5">
        <w:rPr>
          <w:rFonts w:eastAsiaTheme="minorHAnsi" w:cs="Arial"/>
          <w:sz w:val="22"/>
          <w:lang w:val="es-ES"/>
        </w:rPr>
        <w:t>glicocálix</w:t>
      </w:r>
      <w:r w:rsidRPr="00DF5FA5">
        <w:rPr>
          <w:rFonts w:eastAsiaTheme="minorHAnsi" w:cs="Arial"/>
          <w:sz w:val="22"/>
          <w:lang w:val="es-ES"/>
        </w:rPr>
        <w:t xml:space="preserve">. Los estudios de degradación enzimática del </w:t>
      </w:r>
      <w:r w:rsidR="00C22C2A" w:rsidRPr="00DF5FA5">
        <w:rPr>
          <w:rFonts w:eastAsiaTheme="minorHAnsi" w:cs="Arial"/>
          <w:sz w:val="22"/>
          <w:lang w:val="es-ES"/>
        </w:rPr>
        <w:t>glicocálix</w:t>
      </w:r>
      <w:r w:rsidRPr="00DF5FA5">
        <w:rPr>
          <w:rFonts w:eastAsiaTheme="minorHAnsi" w:cs="Arial"/>
          <w:sz w:val="22"/>
          <w:lang w:val="es-ES"/>
        </w:rPr>
        <w:t xml:space="preserve">, junto con medidas directas de filtración de fluidos, han </w:t>
      </w:r>
      <w:r w:rsidRPr="00DF5FA5">
        <w:rPr>
          <w:rFonts w:eastAsiaTheme="minorHAnsi" w:cs="Arial"/>
          <w:sz w:val="22"/>
          <w:lang w:val="es-ES"/>
        </w:rPr>
        <w:lastRenderedPageBreak/>
        <w:t xml:space="preserve">demostrado que un </w:t>
      </w:r>
      <w:r w:rsidR="00C22C2A" w:rsidRPr="00DF5FA5">
        <w:rPr>
          <w:rFonts w:eastAsiaTheme="minorHAnsi" w:cs="Arial"/>
          <w:sz w:val="22"/>
          <w:lang w:val="es-ES"/>
        </w:rPr>
        <w:t>glicocálix</w:t>
      </w:r>
      <w:r w:rsidRPr="00DF5FA5">
        <w:rPr>
          <w:rFonts w:eastAsiaTheme="minorHAnsi" w:cs="Arial"/>
          <w:sz w:val="22"/>
          <w:lang w:val="es-ES"/>
        </w:rPr>
        <w:t xml:space="preserve"> intacto contribuye con más del 60 % de la resistencia a la filtración de fluidos a tr</w:t>
      </w:r>
      <w:r w:rsidR="009A0959" w:rsidRPr="00DF5FA5">
        <w:rPr>
          <w:rFonts w:eastAsiaTheme="minorHAnsi" w:cs="Arial"/>
          <w:sz w:val="22"/>
          <w:lang w:val="es-ES"/>
        </w:rPr>
        <w:t>avés de la pared capilar.</w:t>
      </w:r>
      <w:r w:rsidRPr="00DF5FA5">
        <w:rPr>
          <w:rFonts w:eastAsiaTheme="minorHAnsi" w:cs="Arial"/>
          <w:sz w:val="22"/>
          <w:lang w:val="es-ES"/>
        </w:rPr>
        <w:t xml:space="preserve"> La degradación del </w:t>
      </w:r>
      <w:r w:rsidR="00C22C2A" w:rsidRPr="00DF5FA5">
        <w:rPr>
          <w:rFonts w:eastAsiaTheme="minorHAnsi" w:cs="Arial"/>
          <w:sz w:val="22"/>
          <w:lang w:val="es-ES"/>
        </w:rPr>
        <w:t>glicocálix</w:t>
      </w:r>
      <w:r w:rsidRPr="00DF5FA5">
        <w:rPr>
          <w:rFonts w:eastAsiaTheme="minorHAnsi" w:cs="Arial"/>
          <w:sz w:val="22"/>
          <w:lang w:val="es-ES"/>
        </w:rPr>
        <w:t xml:space="preserve"> en varios órganos da como resultado en hallazgos similares. Por ejemplo, la perfusión de los capilares miocárdicos con hialuronidasa causó la pérdida casi completa del </w:t>
      </w:r>
      <w:r w:rsidR="00C22C2A" w:rsidRPr="00DF5FA5">
        <w:rPr>
          <w:rFonts w:eastAsiaTheme="minorHAnsi" w:cs="Arial"/>
          <w:sz w:val="22"/>
          <w:lang w:val="es-ES"/>
        </w:rPr>
        <w:t>glicocálix</w:t>
      </w:r>
      <w:r w:rsidRPr="00DF5FA5">
        <w:rPr>
          <w:rFonts w:eastAsiaTheme="minorHAnsi" w:cs="Arial"/>
          <w:sz w:val="22"/>
          <w:lang w:val="es-ES"/>
        </w:rPr>
        <w:t xml:space="preserve"> y resultó en un edem</w:t>
      </w:r>
      <w:r w:rsidR="003D5008" w:rsidRPr="00DF5FA5">
        <w:rPr>
          <w:rFonts w:eastAsiaTheme="minorHAnsi" w:cs="Arial"/>
          <w:sz w:val="22"/>
          <w:lang w:val="es-ES"/>
        </w:rPr>
        <w:t>a miocárdico significativo</w:t>
      </w:r>
      <w:r w:rsidR="003D5008" w:rsidRPr="00DF5FA5">
        <w:rPr>
          <w:rFonts w:eastAsiaTheme="minorHAnsi" w:cs="Arial"/>
          <w:sz w:val="22"/>
          <w:vertAlign w:val="superscript"/>
          <w:lang w:val="es-ES"/>
        </w:rPr>
        <w:t>8</w:t>
      </w:r>
      <w:r w:rsidR="003D5008" w:rsidRPr="00DF5FA5">
        <w:rPr>
          <w:rFonts w:eastAsiaTheme="minorHAnsi" w:cs="Arial"/>
          <w:sz w:val="22"/>
          <w:lang w:val="es-ES"/>
        </w:rPr>
        <w:t>.</w:t>
      </w:r>
      <w:r w:rsidRPr="00DF5FA5">
        <w:rPr>
          <w:rFonts w:eastAsiaTheme="minorHAnsi" w:cs="Arial"/>
          <w:sz w:val="22"/>
          <w:lang w:val="es-ES"/>
        </w:rPr>
        <w:t xml:space="preserve">También se usaron heparinasa y pronasa para demostrar el papel del </w:t>
      </w:r>
      <w:r w:rsidR="00C22C2A" w:rsidRPr="00DF5FA5">
        <w:rPr>
          <w:rFonts w:eastAsiaTheme="minorHAnsi" w:cs="Arial"/>
          <w:sz w:val="22"/>
          <w:lang w:val="es-ES"/>
        </w:rPr>
        <w:t>glicocálix</w:t>
      </w:r>
      <w:r w:rsidRPr="00DF5FA5">
        <w:rPr>
          <w:rFonts w:eastAsiaTheme="minorHAnsi" w:cs="Arial"/>
          <w:sz w:val="22"/>
          <w:lang w:val="es-ES"/>
        </w:rPr>
        <w:t xml:space="preserve"> coronario en la permeabilidad arteriolar. En arteriolas perfundidas aisladas de corazones porcinos, tanto la heparinasa como la pronasa aumentaron el coeficiente aparente de permeabilidad de solutos (Ps) a la albúmina y la lactalbúmina, lo que demuestra un papel importante del </w:t>
      </w:r>
      <w:r w:rsidR="00C74B08" w:rsidRPr="00DF5FA5">
        <w:rPr>
          <w:rFonts w:eastAsiaTheme="minorHAnsi" w:cs="Arial"/>
          <w:sz w:val="22"/>
          <w:lang w:val="es-ES"/>
        </w:rPr>
        <w:t>glicocálix</w:t>
      </w:r>
      <w:r w:rsidRPr="00DF5FA5">
        <w:rPr>
          <w:rFonts w:eastAsiaTheme="minorHAnsi" w:cs="Arial"/>
          <w:sz w:val="22"/>
          <w:lang w:val="es-ES"/>
        </w:rPr>
        <w:t xml:space="preserve"> en la limi</w:t>
      </w:r>
      <w:r w:rsidR="002E267D" w:rsidRPr="00DF5FA5">
        <w:rPr>
          <w:rFonts w:eastAsiaTheme="minorHAnsi" w:cs="Arial"/>
          <w:sz w:val="22"/>
          <w:lang w:val="es-ES"/>
        </w:rPr>
        <w:t>tación del flujo de solutos.</w:t>
      </w:r>
      <w:r w:rsidRPr="00DF5FA5">
        <w:rPr>
          <w:rFonts w:eastAsiaTheme="minorHAnsi" w:cs="Arial"/>
          <w:sz w:val="22"/>
          <w:lang w:val="es-ES"/>
        </w:rPr>
        <w:t xml:space="preserve"> Asimismo, la perfusión de pulmones de ratón con heparinasa provoca edema intersticial significativo y aumentos en la presión de la arteria pulmonar</w:t>
      </w:r>
      <w:r w:rsidR="00E2654B" w:rsidRPr="00DF5FA5">
        <w:rPr>
          <w:rFonts w:eastAsiaTheme="minorHAnsi" w:cs="Arial"/>
          <w:sz w:val="22"/>
          <w:vertAlign w:val="superscript"/>
          <w:lang w:val="es-ES"/>
        </w:rPr>
        <w:t>8</w:t>
      </w:r>
      <w:r w:rsidR="00FB24CC">
        <w:rPr>
          <w:rFonts w:eastAsiaTheme="minorHAnsi" w:cs="Arial"/>
          <w:sz w:val="22"/>
          <w:lang w:val="es-ES"/>
        </w:rPr>
        <w:t>.</w:t>
      </w:r>
    </w:p>
    <w:p w:rsidR="00F8514D" w:rsidRPr="00DF5FA5" w:rsidRDefault="00F8514D" w:rsidP="00DF5FA5">
      <w:pPr>
        <w:autoSpaceDE w:val="0"/>
        <w:autoSpaceDN w:val="0"/>
        <w:adjustRightInd w:val="0"/>
        <w:spacing w:after="0" w:line="360" w:lineRule="auto"/>
        <w:jc w:val="both"/>
        <w:rPr>
          <w:rFonts w:eastAsiaTheme="minorHAnsi" w:cs="Arial"/>
          <w:sz w:val="22"/>
          <w:vertAlign w:val="superscript"/>
          <w:lang w:val="es-ES"/>
        </w:rPr>
      </w:pPr>
    </w:p>
    <w:p w:rsidR="00E604B7" w:rsidRPr="00DF5FA5" w:rsidRDefault="00E604B7" w:rsidP="00DF5FA5">
      <w:pPr>
        <w:autoSpaceDE w:val="0"/>
        <w:autoSpaceDN w:val="0"/>
        <w:adjustRightInd w:val="0"/>
        <w:spacing w:after="0" w:line="360" w:lineRule="auto"/>
        <w:jc w:val="both"/>
        <w:rPr>
          <w:rFonts w:eastAsiaTheme="minorHAnsi" w:cs="Arial"/>
          <w:sz w:val="22"/>
          <w:vertAlign w:val="superscript"/>
          <w:lang w:val="es-ES"/>
        </w:rPr>
      </w:pPr>
      <w:r w:rsidRPr="00DF5FA5">
        <w:rPr>
          <w:sz w:val="22"/>
          <w:lang w:val="es-ES"/>
        </w:rPr>
        <w:t xml:space="preserve">Trabajos recientes han destacado un papel crítico del </w:t>
      </w:r>
      <w:r w:rsidR="00FE7073" w:rsidRPr="00DF5FA5">
        <w:rPr>
          <w:sz w:val="22"/>
          <w:lang w:val="es-ES"/>
        </w:rPr>
        <w:t>glicocálix</w:t>
      </w:r>
      <w:r w:rsidRPr="00DF5FA5">
        <w:rPr>
          <w:sz w:val="22"/>
          <w:lang w:val="es-ES"/>
        </w:rPr>
        <w:t xml:space="preserve"> endotelial en la reparación pulmonar</w:t>
      </w:r>
      <w:r w:rsidR="00E67CD8" w:rsidRPr="00DF5FA5">
        <w:rPr>
          <w:sz w:val="22"/>
          <w:lang w:val="es-ES"/>
        </w:rPr>
        <w:t xml:space="preserve"> en la Enfermedad pulmonar obstructiva crónica</w:t>
      </w:r>
      <w:r w:rsidR="00E83B77" w:rsidRPr="00DF5FA5">
        <w:rPr>
          <w:sz w:val="22"/>
          <w:lang w:val="es-ES"/>
        </w:rPr>
        <w:t>, ya que</w:t>
      </w:r>
      <w:r w:rsidRPr="00DF5FA5">
        <w:rPr>
          <w:sz w:val="22"/>
          <w:lang w:val="es-ES"/>
        </w:rPr>
        <w:t xml:space="preserve"> el </w:t>
      </w:r>
      <w:r w:rsidR="00FE7073" w:rsidRPr="00DF5FA5">
        <w:rPr>
          <w:sz w:val="22"/>
          <w:lang w:val="es-ES"/>
        </w:rPr>
        <w:t>glicocálix</w:t>
      </w:r>
      <w:r w:rsidRPr="00DF5FA5">
        <w:rPr>
          <w:sz w:val="22"/>
          <w:lang w:val="es-ES"/>
        </w:rPr>
        <w:t xml:space="preserve"> endotelial se degradó, liberando octasacáridos de sulfato de heparina con alto contenido de sulfato en la circulación durante la les</w:t>
      </w:r>
      <w:r w:rsidR="00E83B77" w:rsidRPr="00DF5FA5">
        <w:rPr>
          <w:sz w:val="22"/>
          <w:lang w:val="es-ES"/>
        </w:rPr>
        <w:t xml:space="preserve">ión pulmonar indirecta </w:t>
      </w:r>
      <w:r w:rsidRPr="00DF5FA5">
        <w:rPr>
          <w:sz w:val="22"/>
          <w:lang w:val="es-ES"/>
        </w:rPr>
        <w:t xml:space="preserve"> el espesor del </w:t>
      </w:r>
      <w:r w:rsidR="00FE7073" w:rsidRPr="00DF5FA5">
        <w:rPr>
          <w:sz w:val="22"/>
          <w:lang w:val="es-ES"/>
        </w:rPr>
        <w:t>glicocálix</w:t>
      </w:r>
      <w:r w:rsidRPr="00DF5FA5">
        <w:rPr>
          <w:sz w:val="22"/>
          <w:lang w:val="es-ES"/>
        </w:rPr>
        <w:t xml:space="preserve"> endotelial cremastérico se recuperó después de 72 h de degradación aguda del </w:t>
      </w:r>
      <w:r w:rsidR="00FE7073" w:rsidRPr="00DF5FA5">
        <w:rPr>
          <w:sz w:val="22"/>
          <w:lang w:val="es-ES"/>
        </w:rPr>
        <w:t>glicocálix</w:t>
      </w:r>
      <w:r w:rsidRPr="00DF5FA5">
        <w:rPr>
          <w:sz w:val="22"/>
          <w:lang w:val="es-ES"/>
        </w:rPr>
        <w:t xml:space="preserve"> </w:t>
      </w:r>
      <w:r w:rsidR="00FE7073" w:rsidRPr="00DF5FA5">
        <w:rPr>
          <w:sz w:val="22"/>
          <w:lang w:val="es-ES"/>
        </w:rPr>
        <w:t>con inyección de TNF-α,</w:t>
      </w:r>
      <w:r w:rsidRPr="00DF5FA5">
        <w:rPr>
          <w:sz w:val="22"/>
          <w:lang w:val="es-ES"/>
        </w:rPr>
        <w:t xml:space="preserve"> mejorar la señal de reparación del </w:t>
      </w:r>
      <w:r w:rsidR="000D1B8E" w:rsidRPr="00DF5FA5">
        <w:rPr>
          <w:sz w:val="22"/>
          <w:lang w:val="es-ES"/>
        </w:rPr>
        <w:t>glicocálix</w:t>
      </w:r>
      <w:r w:rsidRPr="00DF5FA5">
        <w:rPr>
          <w:sz w:val="22"/>
          <w:lang w:val="es-ES"/>
        </w:rPr>
        <w:t xml:space="preserve"> inhibidora de la sepsis era un enfoque potencial para reconstituir la capa del </w:t>
      </w:r>
      <w:r w:rsidR="000D1B8E" w:rsidRPr="00DF5FA5">
        <w:rPr>
          <w:sz w:val="22"/>
          <w:lang w:val="es-ES"/>
        </w:rPr>
        <w:t>glicocálix</w:t>
      </w:r>
      <w:r w:rsidR="00896751" w:rsidRPr="00DF5FA5">
        <w:rPr>
          <w:sz w:val="22"/>
          <w:lang w:val="es-ES"/>
        </w:rPr>
        <w:t xml:space="preserve"> y recuperar su función </w:t>
      </w:r>
      <w:r w:rsidR="00F8159E" w:rsidRPr="00DF5FA5">
        <w:rPr>
          <w:sz w:val="22"/>
          <w:vertAlign w:val="superscript"/>
          <w:lang w:val="es-ES"/>
        </w:rPr>
        <w:t>10</w:t>
      </w:r>
      <w:r w:rsidRPr="00DF5FA5">
        <w:rPr>
          <w:sz w:val="22"/>
          <w:lang w:val="es-ES"/>
        </w:rPr>
        <w:t>.</w:t>
      </w:r>
    </w:p>
    <w:p w:rsidR="00F8514D" w:rsidRPr="00DF5FA5" w:rsidRDefault="00F8514D" w:rsidP="00DF5FA5">
      <w:pPr>
        <w:pStyle w:val="bbc-hhl7in"/>
        <w:shd w:val="clear" w:color="auto" w:fill="FDFDFD"/>
        <w:spacing w:before="0" w:beforeAutospacing="0" w:after="0" w:afterAutospacing="0" w:line="360" w:lineRule="auto"/>
        <w:jc w:val="both"/>
        <w:rPr>
          <w:rFonts w:ascii="Verdana" w:hAnsi="Verdana" w:cs="Helvetica"/>
          <w:color w:val="141414"/>
          <w:sz w:val="22"/>
          <w:szCs w:val="22"/>
          <w:lang w:val="es-ES"/>
        </w:rPr>
      </w:pPr>
    </w:p>
    <w:p w:rsidR="00102250" w:rsidRPr="00DF5FA5" w:rsidRDefault="00102250" w:rsidP="00DF5FA5">
      <w:pPr>
        <w:pStyle w:val="bbc-hhl7in"/>
        <w:shd w:val="clear" w:color="auto" w:fill="FDFDFD"/>
        <w:spacing w:before="0" w:beforeAutospacing="0" w:after="0" w:afterAutospacing="0" w:line="360" w:lineRule="auto"/>
        <w:jc w:val="both"/>
        <w:rPr>
          <w:rFonts w:ascii="Verdana" w:hAnsi="Verdana" w:cs="Helvetica"/>
          <w:color w:val="141414"/>
          <w:sz w:val="22"/>
          <w:szCs w:val="22"/>
          <w:lang w:val="es-ES"/>
        </w:rPr>
      </w:pPr>
      <w:r w:rsidRPr="00DF5FA5">
        <w:rPr>
          <w:rFonts w:ascii="Verdana" w:hAnsi="Verdana" w:cs="Helvetica"/>
          <w:color w:val="141414"/>
          <w:sz w:val="22"/>
          <w:szCs w:val="22"/>
          <w:lang w:val="es-ES"/>
        </w:rPr>
        <w:t>Por otro lado, el glicocálix juega un papel muy importante en el crecimiento y </w:t>
      </w:r>
      <w:r w:rsidRPr="00DF5FA5">
        <w:rPr>
          <w:rFonts w:ascii="Verdana" w:hAnsi="Verdana" w:cs="Helvetica"/>
          <w:bCs/>
          <w:color w:val="141414"/>
          <w:sz w:val="22"/>
          <w:szCs w:val="22"/>
          <w:lang w:val="es-ES"/>
        </w:rPr>
        <w:t>la migración de las células tumorales</w:t>
      </w:r>
      <w:r w:rsidRPr="00DF5FA5">
        <w:rPr>
          <w:rFonts w:ascii="Verdana" w:hAnsi="Verdana" w:cs="Helvetica"/>
          <w:color w:val="141414"/>
          <w:sz w:val="22"/>
          <w:szCs w:val="22"/>
          <w:lang w:val="es-ES"/>
        </w:rPr>
        <w:t> (metástasis</w:t>
      </w:r>
      <w:r w:rsidR="000D1B8E" w:rsidRPr="00DF5FA5">
        <w:rPr>
          <w:rFonts w:ascii="Verdana" w:hAnsi="Verdana" w:cs="Helvetica"/>
          <w:color w:val="141414"/>
          <w:sz w:val="22"/>
          <w:szCs w:val="22"/>
          <w:lang w:val="es-ES"/>
        </w:rPr>
        <w:t>).</w:t>
      </w:r>
      <w:r w:rsidR="00334525" w:rsidRPr="00DF5FA5">
        <w:rPr>
          <w:rFonts w:ascii="Verdana" w:hAnsi="Verdana" w:cs="Helvetica"/>
          <w:color w:val="141414"/>
          <w:sz w:val="22"/>
          <w:szCs w:val="22"/>
          <w:lang w:val="es-ES"/>
        </w:rPr>
        <w:t xml:space="preserve"> </w:t>
      </w:r>
      <w:r w:rsidR="00EE6AB5" w:rsidRPr="00DF5FA5">
        <w:rPr>
          <w:rFonts w:ascii="Verdana" w:hAnsi="Verdana"/>
          <w:color w:val="1A1A1A"/>
          <w:sz w:val="22"/>
          <w:szCs w:val="22"/>
          <w:shd w:val="clear" w:color="auto" w:fill="FFFFFF"/>
          <w:lang w:val="es-ES"/>
        </w:rPr>
        <w:t>El efecto Warburg considerado uno de los mecanismos de las células tumorales para obtene</w:t>
      </w:r>
      <w:r w:rsidR="000D1B8E" w:rsidRPr="00DF5FA5">
        <w:rPr>
          <w:rFonts w:ascii="Verdana" w:hAnsi="Verdana"/>
          <w:color w:val="1A1A1A"/>
          <w:sz w:val="22"/>
          <w:szCs w:val="22"/>
          <w:shd w:val="clear" w:color="auto" w:fill="FFFFFF"/>
          <w:lang w:val="es-ES"/>
        </w:rPr>
        <w:t>r energía a través de glicocalix</w:t>
      </w:r>
      <w:r w:rsidR="00EE6AB5" w:rsidRPr="00DF5FA5">
        <w:rPr>
          <w:rFonts w:ascii="Verdana" w:hAnsi="Verdana"/>
          <w:color w:val="1A1A1A"/>
          <w:sz w:val="22"/>
          <w:szCs w:val="22"/>
          <w:shd w:val="clear" w:color="auto" w:fill="FFFFFF"/>
          <w:lang w:val="es-ES"/>
        </w:rPr>
        <w:t xml:space="preserve"> aeróbica, ha sido uno de los mecanismos enigmáticos más estudiado. Sin embargo, hoy tras varias décadas de investigación se sabe</w:t>
      </w:r>
      <w:r w:rsidR="00515F51" w:rsidRPr="00DF5FA5">
        <w:rPr>
          <w:rFonts w:ascii="Verdana" w:hAnsi="Verdana"/>
          <w:color w:val="1A1A1A"/>
          <w:sz w:val="22"/>
          <w:szCs w:val="22"/>
          <w:shd w:val="clear" w:color="auto" w:fill="FFFFFF"/>
          <w:lang w:val="es-ES"/>
        </w:rPr>
        <w:t>, que las células tumorales, re</w:t>
      </w:r>
      <w:r w:rsidR="00EE6AB5" w:rsidRPr="00DF5FA5">
        <w:rPr>
          <w:rFonts w:ascii="Verdana" w:hAnsi="Verdana"/>
          <w:color w:val="1A1A1A"/>
          <w:sz w:val="22"/>
          <w:szCs w:val="22"/>
          <w:shd w:val="clear" w:color="auto" w:fill="FFFFFF"/>
          <w:lang w:val="es-ES"/>
        </w:rPr>
        <w:t xml:space="preserve">estructuran su metabolismo energético mediante la construcción de bloques que satisfacen las necesidades anabólicas y de crecimiento rápido, con un aporte de mayor de glucosa y nutrientes. </w:t>
      </w:r>
      <w:r w:rsidR="00EE6AB5" w:rsidRPr="006D1B98">
        <w:rPr>
          <w:rFonts w:ascii="Verdana" w:hAnsi="Verdana"/>
          <w:color w:val="1A1A1A"/>
          <w:sz w:val="22"/>
          <w:szCs w:val="22"/>
          <w:shd w:val="clear" w:color="auto" w:fill="FFFFFF"/>
          <w:lang w:val="es-ES"/>
        </w:rPr>
        <w:t>Esta reprogramación metabólica favorece el aporte de nutrientes para la construcción de bloques relacionados principalmente co</w:t>
      </w:r>
      <w:r w:rsidR="00C32A5A" w:rsidRPr="006D1B98">
        <w:rPr>
          <w:rFonts w:ascii="Verdana" w:hAnsi="Verdana"/>
          <w:color w:val="1A1A1A"/>
          <w:sz w:val="22"/>
          <w:szCs w:val="22"/>
          <w:shd w:val="clear" w:color="auto" w:fill="FFFFFF"/>
          <w:lang w:val="es-ES"/>
        </w:rPr>
        <w:t>n la síntesis de glicanos</w:t>
      </w:r>
      <w:r w:rsidR="00C32A5A" w:rsidRPr="006D1B98">
        <w:rPr>
          <w:rFonts w:ascii="Verdana" w:hAnsi="Verdana"/>
          <w:color w:val="1A1A1A"/>
          <w:sz w:val="22"/>
          <w:szCs w:val="22"/>
          <w:shd w:val="clear" w:color="auto" w:fill="FFFFFF"/>
          <w:vertAlign w:val="superscript"/>
          <w:lang w:val="es-ES"/>
        </w:rPr>
        <w:t>11</w:t>
      </w:r>
      <w:r w:rsidR="00EE6AB5" w:rsidRPr="006D1B98">
        <w:rPr>
          <w:rFonts w:ascii="Verdana" w:hAnsi="Verdana"/>
          <w:color w:val="1A1A1A"/>
          <w:sz w:val="22"/>
          <w:szCs w:val="22"/>
          <w:shd w:val="clear" w:color="auto" w:fill="FFFFFF"/>
          <w:lang w:val="es-ES"/>
        </w:rPr>
        <w:t>.</w:t>
      </w:r>
    </w:p>
    <w:p w:rsidR="003116CC" w:rsidRPr="00DF5FA5" w:rsidRDefault="003116CC" w:rsidP="00DF5FA5">
      <w:pPr>
        <w:spacing w:line="360" w:lineRule="auto"/>
        <w:jc w:val="both"/>
        <w:rPr>
          <w:color w:val="1A1A1A"/>
          <w:sz w:val="22"/>
          <w:shd w:val="clear" w:color="auto" w:fill="FFFFFF"/>
        </w:rPr>
      </w:pPr>
      <w:r w:rsidRPr="00DF5FA5">
        <w:rPr>
          <w:color w:val="1A1A1A"/>
          <w:sz w:val="22"/>
          <w:shd w:val="clear" w:color="auto" w:fill="FFFFFF"/>
        </w:rPr>
        <w:t xml:space="preserve">El GCX de las células tumorales circulantes y las células endoteliales de los vasos sanguíneos son los aspectos probables que regulan el espaciamiento y el sitio de las interacciones entre los receptores y los ligandos. La interacción entre el GCX </w:t>
      </w:r>
      <w:r w:rsidRPr="00DF5FA5">
        <w:rPr>
          <w:color w:val="1A1A1A"/>
          <w:sz w:val="22"/>
          <w:shd w:val="clear" w:color="auto" w:fill="FFFFFF"/>
        </w:rPr>
        <w:lastRenderedPageBreak/>
        <w:t>del endotelio de los vasos sanguíneos y las células tumorales circulantes, se ha considerado como la teoría “semilla- suelo”. En la cual se considera a la célula tumoral como la semilla, y al suelo como el órgano distante, que permite el microambiente adecuado para el crecimiento, angiogénesis, invasión y sobrevida</w:t>
      </w:r>
      <w:r w:rsidR="00C32A5A" w:rsidRPr="00DF5FA5">
        <w:rPr>
          <w:color w:val="1A1A1A"/>
          <w:sz w:val="22"/>
          <w:shd w:val="clear" w:color="auto" w:fill="FFFFFF"/>
          <w:vertAlign w:val="superscript"/>
        </w:rPr>
        <w:t>11</w:t>
      </w:r>
      <w:r w:rsidRPr="00DF5FA5">
        <w:rPr>
          <w:color w:val="1A1A1A"/>
          <w:sz w:val="22"/>
          <w:shd w:val="clear" w:color="auto" w:fill="FFFFFF"/>
        </w:rPr>
        <w:t>.</w:t>
      </w:r>
    </w:p>
    <w:p w:rsidR="0060570E" w:rsidRPr="00DF5FA5" w:rsidRDefault="0060570E" w:rsidP="00DF5FA5">
      <w:pPr>
        <w:spacing w:line="360" w:lineRule="auto"/>
        <w:jc w:val="both"/>
        <w:rPr>
          <w:color w:val="1A1A1A"/>
          <w:sz w:val="22"/>
          <w:shd w:val="clear" w:color="auto" w:fill="FFFFFF"/>
        </w:rPr>
      </w:pPr>
      <w:r w:rsidRPr="00DF5FA5">
        <w:rPr>
          <w:color w:val="1A1A1A"/>
          <w:sz w:val="22"/>
          <w:shd w:val="clear" w:color="auto" w:fill="FFFFFF"/>
        </w:rPr>
        <w:t xml:space="preserve">La importancia clínica del </w:t>
      </w:r>
      <w:r w:rsidR="00C74CB3" w:rsidRPr="00DF5FA5">
        <w:rPr>
          <w:color w:val="1A1A1A"/>
          <w:sz w:val="22"/>
          <w:shd w:val="clear" w:color="auto" w:fill="FFFFFF"/>
        </w:rPr>
        <w:t>glicocalix</w:t>
      </w:r>
      <w:r w:rsidRPr="00DF5FA5">
        <w:rPr>
          <w:color w:val="1A1A1A"/>
          <w:sz w:val="22"/>
          <w:shd w:val="clear" w:color="auto" w:fill="FFFFFF"/>
        </w:rPr>
        <w:t xml:space="preserve"> nos lleva a pensar que la profundización en su estudio</w:t>
      </w:r>
      <w:r w:rsidR="00E14623" w:rsidRPr="00DF5FA5">
        <w:rPr>
          <w:color w:val="1A1A1A"/>
          <w:sz w:val="22"/>
          <w:shd w:val="clear" w:color="auto" w:fill="FFFFFF"/>
        </w:rPr>
        <w:t>, permitirá</w:t>
      </w:r>
      <w:r w:rsidRPr="00DF5FA5">
        <w:rPr>
          <w:color w:val="1A1A1A"/>
          <w:sz w:val="22"/>
          <w:shd w:val="clear" w:color="auto" w:fill="FFFFFF"/>
        </w:rPr>
        <w:t xml:space="preserve"> conocer la fisiopatología de numerosas enfermedades.</w:t>
      </w:r>
    </w:p>
    <w:p w:rsidR="00025ABE" w:rsidRDefault="00025ABE" w:rsidP="00DF5FA5">
      <w:pPr>
        <w:spacing w:line="360" w:lineRule="auto"/>
        <w:jc w:val="both"/>
        <w:rPr>
          <w:b/>
          <w:color w:val="1A1A1A"/>
          <w:sz w:val="22"/>
          <w:shd w:val="clear" w:color="auto" w:fill="FFFFFF"/>
        </w:rPr>
      </w:pPr>
    </w:p>
    <w:p w:rsidR="00025ABE" w:rsidRDefault="00025ABE" w:rsidP="00DF5FA5">
      <w:pPr>
        <w:spacing w:line="360" w:lineRule="auto"/>
        <w:jc w:val="both"/>
        <w:rPr>
          <w:b/>
          <w:color w:val="1A1A1A"/>
          <w:sz w:val="22"/>
          <w:shd w:val="clear" w:color="auto" w:fill="FFFFFF"/>
        </w:rPr>
      </w:pPr>
    </w:p>
    <w:p w:rsidR="00025ABE" w:rsidRDefault="00025ABE" w:rsidP="00DF5FA5">
      <w:pPr>
        <w:spacing w:line="360" w:lineRule="auto"/>
        <w:jc w:val="both"/>
        <w:rPr>
          <w:b/>
          <w:color w:val="1A1A1A"/>
          <w:sz w:val="22"/>
          <w:shd w:val="clear" w:color="auto" w:fill="FFFFFF"/>
        </w:rPr>
      </w:pPr>
    </w:p>
    <w:p w:rsidR="00025ABE" w:rsidRDefault="00025ABE" w:rsidP="00DF5FA5">
      <w:pPr>
        <w:spacing w:line="360" w:lineRule="auto"/>
        <w:jc w:val="both"/>
        <w:rPr>
          <w:b/>
          <w:color w:val="1A1A1A"/>
          <w:sz w:val="22"/>
          <w:shd w:val="clear" w:color="auto" w:fill="FFFFFF"/>
        </w:rPr>
      </w:pPr>
    </w:p>
    <w:p w:rsidR="00025ABE" w:rsidRDefault="00025ABE"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F56673" w:rsidRDefault="00F56673" w:rsidP="00DF5FA5">
      <w:pPr>
        <w:spacing w:line="360" w:lineRule="auto"/>
        <w:jc w:val="both"/>
        <w:rPr>
          <w:b/>
          <w:color w:val="1A1A1A"/>
          <w:sz w:val="22"/>
          <w:shd w:val="clear" w:color="auto" w:fill="FFFFFF"/>
        </w:rPr>
      </w:pPr>
    </w:p>
    <w:p w:rsidR="00C94488" w:rsidRPr="00DF5FA5" w:rsidRDefault="00DF5FA5" w:rsidP="00DF5FA5">
      <w:pPr>
        <w:spacing w:line="360" w:lineRule="auto"/>
        <w:jc w:val="both"/>
        <w:rPr>
          <w:b/>
          <w:color w:val="1A1A1A"/>
          <w:sz w:val="22"/>
          <w:shd w:val="clear" w:color="auto" w:fill="FFFFFF"/>
        </w:rPr>
      </w:pPr>
      <w:r w:rsidRPr="00DF5FA5">
        <w:rPr>
          <w:b/>
          <w:color w:val="1A1A1A"/>
          <w:sz w:val="22"/>
          <w:shd w:val="clear" w:color="auto" w:fill="FFFFFF"/>
        </w:rPr>
        <w:lastRenderedPageBreak/>
        <w:t>CONCLUSIONES</w:t>
      </w:r>
    </w:p>
    <w:p w:rsidR="007C4933" w:rsidRDefault="008B6F0D" w:rsidP="00DF5FA5">
      <w:pPr>
        <w:spacing w:line="360" w:lineRule="auto"/>
        <w:jc w:val="both"/>
        <w:rPr>
          <w:sz w:val="22"/>
          <w:lang w:val="es-ES"/>
        </w:rPr>
      </w:pPr>
      <w:r w:rsidRPr="00DF5FA5">
        <w:rPr>
          <w:sz w:val="22"/>
          <w:lang w:val="es-ES"/>
        </w:rPr>
        <w:t>El glicocálix</w:t>
      </w:r>
      <w:r w:rsidR="007E06F3" w:rsidRPr="00DF5FA5">
        <w:rPr>
          <w:sz w:val="22"/>
          <w:lang w:val="es-ES"/>
        </w:rPr>
        <w:t xml:space="preserve"> </w:t>
      </w:r>
      <w:r w:rsidRPr="00DF5FA5">
        <w:rPr>
          <w:sz w:val="22"/>
          <w:lang w:val="es-ES"/>
        </w:rPr>
        <w:t xml:space="preserve"> es fundamental para mantener la integridad de la</w:t>
      </w:r>
      <w:r w:rsidR="005005AD" w:rsidRPr="00DF5FA5">
        <w:rPr>
          <w:sz w:val="22"/>
          <w:lang w:val="es-ES"/>
        </w:rPr>
        <w:t xml:space="preserve"> función endotelial. Sus modifi</w:t>
      </w:r>
      <w:r w:rsidRPr="00DF5FA5">
        <w:rPr>
          <w:sz w:val="22"/>
          <w:lang w:val="es-ES"/>
        </w:rPr>
        <w:t xml:space="preserve">caciones estructurales y disfunción impactan en </w:t>
      </w:r>
      <w:r w:rsidR="007E06F3" w:rsidRPr="00DF5FA5">
        <w:rPr>
          <w:sz w:val="22"/>
          <w:lang w:val="es-ES"/>
        </w:rPr>
        <w:t>la</w:t>
      </w:r>
      <w:r w:rsidRPr="00DF5FA5">
        <w:rPr>
          <w:sz w:val="22"/>
          <w:lang w:val="es-ES"/>
        </w:rPr>
        <w:t xml:space="preserve"> función de</w:t>
      </w:r>
      <w:r w:rsidR="00AA1863" w:rsidRPr="00DF5FA5">
        <w:rPr>
          <w:sz w:val="22"/>
          <w:lang w:val="es-ES"/>
        </w:rPr>
        <w:t>l mismo</w:t>
      </w:r>
      <w:r w:rsidR="0027420F" w:rsidRPr="00DF5FA5">
        <w:rPr>
          <w:sz w:val="22"/>
          <w:lang w:val="es-ES"/>
        </w:rPr>
        <w:t>. D</w:t>
      </w:r>
      <w:r w:rsidRPr="00DF5FA5">
        <w:rPr>
          <w:sz w:val="22"/>
          <w:lang w:val="es-ES"/>
        </w:rPr>
        <w:t>iferentes</w:t>
      </w:r>
      <w:r w:rsidR="007A22BA" w:rsidRPr="00DF5FA5">
        <w:rPr>
          <w:sz w:val="22"/>
          <w:lang w:val="es-ES"/>
        </w:rPr>
        <w:t xml:space="preserve"> mecanismos fi</w:t>
      </w:r>
      <w:r w:rsidRPr="00DF5FA5">
        <w:rPr>
          <w:sz w:val="22"/>
          <w:lang w:val="es-ES"/>
        </w:rPr>
        <w:t>siopatológicos alteran esta importante estructura,</w:t>
      </w:r>
      <w:r w:rsidR="00067C8C" w:rsidRPr="00DF5FA5">
        <w:rPr>
          <w:sz w:val="22"/>
          <w:lang w:val="es-ES"/>
        </w:rPr>
        <w:t xml:space="preserve"> </w:t>
      </w:r>
      <w:r w:rsidRPr="00DF5FA5">
        <w:rPr>
          <w:sz w:val="22"/>
          <w:lang w:val="es-ES"/>
        </w:rPr>
        <w:t>lo que se traduce en incremento de la permeabilidad</w:t>
      </w:r>
      <w:r w:rsidR="00067C8C" w:rsidRPr="00DF5FA5">
        <w:rPr>
          <w:sz w:val="22"/>
          <w:lang w:val="es-ES"/>
        </w:rPr>
        <w:t xml:space="preserve"> </w:t>
      </w:r>
      <w:r w:rsidRPr="00DF5FA5">
        <w:rPr>
          <w:sz w:val="22"/>
          <w:lang w:val="es-ES"/>
        </w:rPr>
        <w:t>capilar y disfunción microcirculatoria y celular</w:t>
      </w:r>
      <w:r w:rsidR="00BB7826" w:rsidRPr="00DF5FA5">
        <w:rPr>
          <w:sz w:val="22"/>
          <w:lang w:val="es-ES"/>
        </w:rPr>
        <w:t>.</w:t>
      </w:r>
      <w:r w:rsidR="000C7592" w:rsidRPr="00DF5FA5">
        <w:rPr>
          <w:rFonts w:eastAsia="TrebuchetMS" w:cs="TrebuchetMS"/>
          <w:sz w:val="22"/>
          <w:lang w:val="es-ES"/>
        </w:rPr>
        <w:t xml:space="preserve"> </w:t>
      </w:r>
      <w:r w:rsidR="00C74CB3" w:rsidRPr="00DF5FA5">
        <w:rPr>
          <w:sz w:val="22"/>
          <w:lang w:val="es-ES"/>
        </w:rPr>
        <w:t>Lo</w:t>
      </w:r>
      <w:r w:rsidR="00D67E82" w:rsidRPr="00DF5FA5">
        <w:rPr>
          <w:sz w:val="22"/>
          <w:lang w:val="es-ES"/>
        </w:rPr>
        <w:t xml:space="preserve"> que </w:t>
      </w:r>
      <w:r w:rsidR="000C7592" w:rsidRPr="00DF5FA5">
        <w:rPr>
          <w:sz w:val="22"/>
          <w:lang w:val="es-ES"/>
        </w:rPr>
        <w:t>lleva a pensar que esta estructura podría ser importante</w:t>
      </w:r>
      <w:r w:rsidR="00D67E82" w:rsidRPr="00DF5FA5">
        <w:rPr>
          <w:sz w:val="22"/>
          <w:lang w:val="es-ES"/>
        </w:rPr>
        <w:t xml:space="preserve"> </w:t>
      </w:r>
      <w:r w:rsidR="000C7592" w:rsidRPr="00DF5FA5">
        <w:rPr>
          <w:sz w:val="22"/>
          <w:lang w:val="es-ES"/>
        </w:rPr>
        <w:t>en la fisiopatología de estos padecimientos. Así, aparece la</w:t>
      </w:r>
      <w:r w:rsidR="00D67E82" w:rsidRPr="00DF5FA5">
        <w:rPr>
          <w:sz w:val="22"/>
          <w:lang w:val="es-ES"/>
        </w:rPr>
        <w:t xml:space="preserve"> </w:t>
      </w:r>
      <w:r w:rsidR="000C7592" w:rsidRPr="00DF5FA5">
        <w:rPr>
          <w:sz w:val="22"/>
          <w:lang w:val="es-ES"/>
        </w:rPr>
        <w:t>posibilidad de terapéuticas dirigidas a proteger o restaurar</w:t>
      </w:r>
      <w:r w:rsidR="00EA28D2" w:rsidRPr="00DF5FA5">
        <w:rPr>
          <w:sz w:val="22"/>
          <w:lang w:val="es-ES"/>
        </w:rPr>
        <w:t xml:space="preserve"> </w:t>
      </w:r>
      <w:r w:rsidR="000C7592" w:rsidRPr="00DF5FA5">
        <w:rPr>
          <w:sz w:val="22"/>
          <w:lang w:val="es-ES"/>
        </w:rPr>
        <w:t xml:space="preserve">el </w:t>
      </w:r>
      <w:r w:rsidR="00C74CB3" w:rsidRPr="00DF5FA5">
        <w:rPr>
          <w:sz w:val="22"/>
          <w:lang w:val="es-ES"/>
        </w:rPr>
        <w:t>glicocálix</w:t>
      </w:r>
      <w:r w:rsidR="000C7592" w:rsidRPr="00DF5FA5">
        <w:rPr>
          <w:sz w:val="22"/>
          <w:lang w:val="es-ES"/>
        </w:rPr>
        <w:t xml:space="preserve"> endotelial como un tratamiento diferente en</w:t>
      </w:r>
      <w:r w:rsidR="00EA28D2" w:rsidRPr="00DF5FA5">
        <w:rPr>
          <w:sz w:val="22"/>
          <w:lang w:val="es-ES"/>
        </w:rPr>
        <w:t xml:space="preserve"> </w:t>
      </w:r>
      <w:r w:rsidR="000C7592" w:rsidRPr="00DF5FA5">
        <w:rPr>
          <w:sz w:val="22"/>
          <w:lang w:val="es-ES"/>
        </w:rPr>
        <w:t>estas enfermedades.</w:t>
      </w: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8B23EF" w:rsidRDefault="008B23EF" w:rsidP="00DF5FA5">
      <w:pPr>
        <w:spacing w:line="360" w:lineRule="auto"/>
        <w:jc w:val="both"/>
        <w:rPr>
          <w:b/>
          <w:sz w:val="22"/>
          <w:lang w:val="es-ES"/>
        </w:rPr>
      </w:pPr>
    </w:p>
    <w:p w:rsidR="00240502" w:rsidRPr="007C4933" w:rsidRDefault="0068270B" w:rsidP="00DF5FA5">
      <w:pPr>
        <w:spacing w:line="360" w:lineRule="auto"/>
        <w:jc w:val="both"/>
        <w:rPr>
          <w:sz w:val="22"/>
          <w:lang w:val="es-ES"/>
        </w:rPr>
      </w:pPr>
      <w:r w:rsidRPr="00DF5FA5">
        <w:rPr>
          <w:b/>
          <w:sz w:val="22"/>
          <w:lang w:val="es-ES"/>
        </w:rPr>
        <w:lastRenderedPageBreak/>
        <w:t>REFERENCIAS BIBLIOGRÁFICAS</w:t>
      </w:r>
    </w:p>
    <w:p w:rsidR="00240502" w:rsidRPr="003870C8" w:rsidRDefault="00240502" w:rsidP="004775C4">
      <w:pPr>
        <w:pStyle w:val="PargrafodaLista"/>
        <w:numPr>
          <w:ilvl w:val="0"/>
          <w:numId w:val="1"/>
        </w:numPr>
        <w:spacing w:line="360" w:lineRule="auto"/>
        <w:jc w:val="both"/>
        <w:rPr>
          <w:sz w:val="22"/>
          <w:lang w:val="es-ES"/>
        </w:rPr>
      </w:pPr>
      <w:r w:rsidRPr="003870C8">
        <w:rPr>
          <w:sz w:val="22"/>
          <w:shd w:val="clear" w:color="auto" w:fill="FFFFFF"/>
        </w:rPr>
        <w:t>Echandi K, Hernández F. Comparación de dos métodos de fijación para la estabilización de glicocálix bacteriano. Rev Biomed. 1998; 9(1): 7-11.  </w:t>
      </w:r>
    </w:p>
    <w:p w:rsidR="00BF41E1" w:rsidRPr="00BF41E1" w:rsidRDefault="00733018" w:rsidP="004775C4">
      <w:pPr>
        <w:pStyle w:val="PargrafodaLista"/>
        <w:numPr>
          <w:ilvl w:val="0"/>
          <w:numId w:val="1"/>
        </w:numPr>
        <w:spacing w:line="360" w:lineRule="auto"/>
        <w:jc w:val="both"/>
        <w:rPr>
          <w:sz w:val="22"/>
          <w:lang w:val="es-ES"/>
        </w:rPr>
      </w:pPr>
      <w:r w:rsidRPr="00733018">
        <w:rPr>
          <w:rFonts w:cs="Arial"/>
          <w:color w:val="000000"/>
          <w:sz w:val="22"/>
        </w:rPr>
        <w:t xml:space="preserve">Frati-Munari Alberto </w:t>
      </w:r>
      <w:r w:rsidR="00A4239B" w:rsidRPr="00733018">
        <w:rPr>
          <w:rFonts w:cs="Arial"/>
          <w:color w:val="000000"/>
          <w:sz w:val="22"/>
        </w:rPr>
        <w:t xml:space="preserve">C... </w:t>
      </w:r>
      <w:r w:rsidRPr="00733018">
        <w:rPr>
          <w:rFonts w:cs="Arial"/>
          <w:color w:val="000000"/>
          <w:sz w:val="22"/>
        </w:rPr>
        <w:t>Importancia médica del glucocáliz endotelial. Arch. Cardiol. Méx.  [revista en la Internet]. 2013  Dic [citado  2022  Nov  16</w:t>
      </w:r>
      <w:proofErr w:type="gramStart"/>
      <w:r w:rsidRPr="00733018">
        <w:rPr>
          <w:rFonts w:cs="Arial"/>
          <w:color w:val="000000"/>
          <w:sz w:val="22"/>
        </w:rPr>
        <w:t>] ;</w:t>
      </w:r>
      <w:proofErr w:type="gramEnd"/>
      <w:r w:rsidRPr="00733018">
        <w:rPr>
          <w:rFonts w:cs="Arial"/>
          <w:color w:val="000000"/>
          <w:sz w:val="22"/>
        </w:rPr>
        <w:t>  83( 4 ): 303-312. Disponible en: http://www.scielo.org.mx/scielo.php?script=sci_arttext&amp;pid=S1405-99402013000400013&amp;lng=es.  </w:t>
      </w:r>
      <w:hyperlink r:id="rId20" w:history="1">
        <w:r w:rsidRPr="00733018">
          <w:rPr>
            <w:rStyle w:val="Hyperlink"/>
            <w:rFonts w:cs="Arial"/>
            <w:sz w:val="22"/>
          </w:rPr>
          <w:t>https://doi.org/10.1016/j.acmx.2013.04.015</w:t>
        </w:r>
      </w:hyperlink>
      <w:r w:rsidR="00A4239B" w:rsidRPr="00733018">
        <w:rPr>
          <w:rFonts w:cs="Arial"/>
          <w:color w:val="000000"/>
          <w:sz w:val="22"/>
        </w:rPr>
        <w:t>.</w:t>
      </w:r>
    </w:p>
    <w:p w:rsidR="0066457D" w:rsidRPr="00BF41E1" w:rsidRDefault="00BA50C6" w:rsidP="004775C4">
      <w:pPr>
        <w:pStyle w:val="PargrafodaLista"/>
        <w:numPr>
          <w:ilvl w:val="0"/>
          <w:numId w:val="1"/>
        </w:numPr>
        <w:spacing w:line="360" w:lineRule="auto"/>
        <w:jc w:val="both"/>
        <w:rPr>
          <w:sz w:val="22"/>
          <w:lang w:val="es-ES"/>
        </w:rPr>
      </w:pPr>
      <w:r w:rsidRPr="00BF41E1">
        <w:rPr>
          <w:rFonts w:cs="Arial"/>
          <w:color w:val="000000"/>
          <w:sz w:val="22"/>
        </w:rPr>
        <w:t>Carrillo Esper Raúl, Zepeda Mendoza Adriana Denise, Flores Rivera Oscar Iván, Díaz Girón Gidi Alejandro, González Martínez Itzel Monserrat, Araiza Garaygordobil Diego. Glicocálix. Una estructura a considerar en el enfermo grave. Med. crít. (Col. Mex. Med. Crít.)</w:t>
      </w:r>
      <w:r w:rsidR="007B0B78" w:rsidRPr="00BF41E1">
        <w:rPr>
          <w:rFonts w:cs="Arial"/>
          <w:color w:val="000000"/>
          <w:sz w:val="22"/>
        </w:rPr>
        <w:t>  [revista en la Internet]. 2017</w:t>
      </w:r>
      <w:r w:rsidRPr="00BF41E1">
        <w:rPr>
          <w:rFonts w:cs="Arial"/>
          <w:color w:val="000000"/>
          <w:sz w:val="22"/>
        </w:rPr>
        <w:t>  Jun [citado  2022  Nov  13</w:t>
      </w:r>
      <w:r w:rsidR="00A4239B" w:rsidRPr="00BF41E1">
        <w:rPr>
          <w:rFonts w:cs="Arial"/>
          <w:color w:val="000000"/>
          <w:sz w:val="22"/>
        </w:rPr>
        <w:t>];</w:t>
      </w:r>
      <w:r w:rsidRPr="00BF41E1">
        <w:rPr>
          <w:rFonts w:cs="Arial"/>
          <w:color w:val="000000"/>
          <w:sz w:val="22"/>
        </w:rPr>
        <w:t>  3</w:t>
      </w:r>
      <w:r w:rsidR="0066457D" w:rsidRPr="00BF41E1">
        <w:rPr>
          <w:rFonts w:cs="Arial"/>
          <w:color w:val="000000"/>
          <w:sz w:val="22"/>
        </w:rPr>
        <w:t>0</w:t>
      </w:r>
      <w:r w:rsidR="00A4239B" w:rsidRPr="00BF41E1">
        <w:rPr>
          <w:rFonts w:cs="Arial"/>
          <w:color w:val="000000"/>
          <w:sz w:val="22"/>
        </w:rPr>
        <w:t>(2)</w:t>
      </w:r>
      <w:r w:rsidR="0066457D" w:rsidRPr="00BF41E1">
        <w:rPr>
          <w:rFonts w:cs="Arial"/>
          <w:color w:val="000000"/>
          <w:sz w:val="22"/>
        </w:rPr>
        <w:t>: 130-136. Disponible en:</w:t>
      </w:r>
    </w:p>
    <w:p w:rsidR="00483428" w:rsidRPr="00BF41E1" w:rsidRDefault="00BA50C6" w:rsidP="004775C4">
      <w:pPr>
        <w:pStyle w:val="PargrafodaLista"/>
        <w:spacing w:line="360" w:lineRule="auto"/>
        <w:jc w:val="both"/>
        <w:rPr>
          <w:sz w:val="22"/>
          <w:lang w:val="es-ES"/>
        </w:rPr>
      </w:pPr>
      <w:r w:rsidRPr="00DF5FA5">
        <w:rPr>
          <w:rFonts w:cs="Arial"/>
          <w:color w:val="000000"/>
          <w:sz w:val="22"/>
          <w:lang w:val="es-ES"/>
        </w:rPr>
        <w:t>http://www.scielo.org.mx/scielo.php?script=sci_arttext&amp;pid=S2448-89092016000200130&amp;lng=es.  </w:t>
      </w:r>
      <w:r w:rsidRPr="00BF41E1">
        <w:rPr>
          <w:rFonts w:cs="Arial"/>
          <w:color w:val="000000"/>
          <w:sz w:val="22"/>
          <w:lang w:val="es-ES"/>
        </w:rPr>
        <w:t>Epub 30-Ago-2021.</w:t>
      </w:r>
    </w:p>
    <w:p w:rsidR="00CC5515" w:rsidRPr="00DF5FA5" w:rsidRDefault="00CC5515" w:rsidP="004775C4">
      <w:pPr>
        <w:pStyle w:val="PargrafodaLista"/>
        <w:numPr>
          <w:ilvl w:val="0"/>
          <w:numId w:val="1"/>
        </w:numPr>
        <w:spacing w:line="360" w:lineRule="auto"/>
        <w:jc w:val="both"/>
        <w:rPr>
          <w:rFonts w:cs="Arial"/>
          <w:color w:val="000000"/>
          <w:sz w:val="22"/>
          <w:lang w:val="es-ES"/>
        </w:rPr>
      </w:pPr>
      <w:r w:rsidRPr="00DF5FA5">
        <w:rPr>
          <w:rFonts w:cs="Arial"/>
          <w:color w:val="000000"/>
          <w:sz w:val="22"/>
          <w:lang w:val="es-ES"/>
        </w:rPr>
        <w:t>Carrillo Esper Raúl, Melgar Bieberach Rebeca Estela, Jacinto Flores Anilú Sarahi, Tapia Salazar Mauricio, Campa Mendoza Ángela Nallely. Glicocálix: estructura, composición, funciones y factores que lo lesionan. Rev. Fac. Med. (Méx.)  [revista en la Internet]. 2021  Dic [citado  2022  Oct  30</w:t>
      </w:r>
      <w:r w:rsidR="00F7610D" w:rsidRPr="00DF5FA5">
        <w:rPr>
          <w:rFonts w:cs="Arial"/>
          <w:color w:val="000000"/>
          <w:sz w:val="22"/>
          <w:lang w:val="es-ES"/>
        </w:rPr>
        <w:t>];</w:t>
      </w:r>
      <w:r w:rsidRPr="00DF5FA5">
        <w:rPr>
          <w:rFonts w:cs="Arial"/>
          <w:color w:val="000000"/>
          <w:sz w:val="22"/>
          <w:lang w:val="es-ES"/>
        </w:rPr>
        <w:t>  64</w:t>
      </w:r>
      <w:r w:rsidR="00F7610D" w:rsidRPr="00DF5FA5">
        <w:rPr>
          <w:rFonts w:cs="Arial"/>
          <w:color w:val="000000"/>
          <w:sz w:val="22"/>
          <w:lang w:val="es-ES"/>
        </w:rPr>
        <w:t>(6)</w:t>
      </w:r>
      <w:r w:rsidRPr="00DF5FA5">
        <w:rPr>
          <w:rFonts w:cs="Arial"/>
          <w:color w:val="000000"/>
          <w:sz w:val="22"/>
          <w:lang w:val="es-ES"/>
        </w:rPr>
        <w:t xml:space="preserve">: 45-54. Disponible en: </w:t>
      </w:r>
      <w:hyperlink r:id="rId21" w:history="1">
        <w:r w:rsidRPr="00DF5FA5">
          <w:rPr>
            <w:rStyle w:val="Hyperlink"/>
            <w:rFonts w:cs="Arial"/>
            <w:sz w:val="22"/>
            <w:lang w:val="es-ES"/>
          </w:rPr>
          <w:t>http://www.scielo.org.mx/scielo.php?script=sci_arttext&amp;pid=S0026</w:t>
        </w:r>
      </w:hyperlink>
      <w:r w:rsidRPr="00DF5FA5">
        <w:rPr>
          <w:rFonts w:cs="Arial"/>
          <w:color w:val="000000"/>
          <w:sz w:val="22"/>
          <w:lang w:val="es-ES"/>
        </w:rPr>
        <w:t xml:space="preserve"> </w:t>
      </w:r>
    </w:p>
    <w:p w:rsidR="006552DD" w:rsidRPr="00DF5FA5" w:rsidRDefault="006552DD" w:rsidP="004775C4">
      <w:pPr>
        <w:pStyle w:val="PargrafodaLista"/>
        <w:numPr>
          <w:ilvl w:val="0"/>
          <w:numId w:val="1"/>
        </w:numPr>
        <w:spacing w:line="360" w:lineRule="auto"/>
        <w:jc w:val="both"/>
        <w:rPr>
          <w:sz w:val="22"/>
          <w:lang w:val="es-ES"/>
        </w:rPr>
      </w:pPr>
      <w:r w:rsidRPr="00DF5FA5">
        <w:rPr>
          <w:rFonts w:cs="Arial"/>
          <w:color w:val="000000"/>
          <w:sz w:val="22"/>
          <w:lang w:val="es-ES"/>
        </w:rPr>
        <w:t>Vélez Jorge Luis, Montalvo Mario, Aguayo Santiago, Vélez Pablo Andrés, Velarde Gustavo, Jara González Fernando E. et a</w:t>
      </w:r>
      <w:bookmarkStart w:id="3" w:name="_GoBack"/>
      <w:bookmarkEnd w:id="3"/>
      <w:r w:rsidRPr="00DF5FA5">
        <w:rPr>
          <w:rFonts w:cs="Arial"/>
          <w:color w:val="000000"/>
          <w:sz w:val="22"/>
          <w:lang w:val="es-ES"/>
        </w:rPr>
        <w:t>l . Glicocálix endotelial: relevancia clínica y enfoque traslacional. Horiz. Med.  [Internet]. 2019  Oct [citado  2022  Oct  30</w:t>
      </w:r>
      <w:r w:rsidR="003B3B31" w:rsidRPr="00DF5FA5">
        <w:rPr>
          <w:rFonts w:cs="Arial"/>
          <w:color w:val="000000"/>
          <w:sz w:val="22"/>
          <w:lang w:val="es-ES"/>
        </w:rPr>
        <w:t>];</w:t>
      </w:r>
      <w:r w:rsidRPr="00DF5FA5">
        <w:rPr>
          <w:rFonts w:cs="Arial"/>
          <w:color w:val="000000"/>
          <w:sz w:val="22"/>
          <w:lang w:val="es-ES"/>
        </w:rPr>
        <w:t>  19</w:t>
      </w:r>
      <w:r w:rsidR="003B3B31" w:rsidRPr="00DF5FA5">
        <w:rPr>
          <w:rFonts w:cs="Arial"/>
          <w:color w:val="000000"/>
          <w:sz w:val="22"/>
          <w:lang w:val="es-ES"/>
        </w:rPr>
        <w:t>(4)</w:t>
      </w:r>
      <w:r w:rsidRPr="00DF5FA5">
        <w:rPr>
          <w:rFonts w:cs="Arial"/>
          <w:color w:val="000000"/>
          <w:sz w:val="22"/>
          <w:lang w:val="es-ES"/>
        </w:rPr>
        <w:t xml:space="preserve">: 84-92. Disponible en: http://www.scielo.org.pe/scielo.php?script=sci_arttext&amp;pid=S1727-558X2019000400012&amp;lng=es.  </w:t>
      </w:r>
      <w:hyperlink r:id="rId22" w:history="1">
        <w:r w:rsidR="003301C0" w:rsidRPr="00401036">
          <w:rPr>
            <w:rStyle w:val="Hyperlink"/>
            <w:rFonts w:cs="Arial"/>
            <w:sz w:val="22"/>
            <w:lang w:val="es-ES"/>
          </w:rPr>
          <w:t>http://dx.doi.org/10.24265/hori.v19n4.12</w:t>
        </w:r>
      </w:hyperlink>
      <w:r w:rsidRPr="00DF5FA5">
        <w:rPr>
          <w:rFonts w:cs="Arial"/>
          <w:color w:val="000000"/>
          <w:sz w:val="22"/>
          <w:lang w:val="es-ES"/>
        </w:rPr>
        <w:t>.</w:t>
      </w:r>
    </w:p>
    <w:p w:rsidR="00BF41E1" w:rsidRDefault="00F7671B" w:rsidP="004775C4">
      <w:pPr>
        <w:pStyle w:val="PargrafodaLista"/>
        <w:numPr>
          <w:ilvl w:val="0"/>
          <w:numId w:val="1"/>
        </w:numPr>
        <w:spacing w:line="360" w:lineRule="auto"/>
        <w:jc w:val="both"/>
        <w:rPr>
          <w:sz w:val="22"/>
          <w:lang w:val="es-ES"/>
        </w:rPr>
      </w:pPr>
      <w:r w:rsidRPr="00F7671B">
        <w:rPr>
          <w:sz w:val="22"/>
          <w:lang w:val="es-ES"/>
        </w:rPr>
        <w:t>Fernández Sarmiento J, Salazar Peláez LM, Villar Centeno JC. Alteraciones del Endotelio y su glicocálix en niños con sepsis que reciben reanimación hídrica con soluciones cristaloides [Internet]. Repositorio digital institucional. 2022 [citado 13 noviembre 2022]. Disponible en:</w:t>
      </w:r>
      <w:hyperlink r:id="rId23" w:history="1">
        <w:r w:rsidR="00BF41E1" w:rsidRPr="00401036">
          <w:rPr>
            <w:rStyle w:val="Hyperlink"/>
            <w:sz w:val="22"/>
            <w:lang w:val="es-ES"/>
          </w:rPr>
          <w:t>https://hdl.handle.net/10946/5764</w:t>
        </w:r>
      </w:hyperlink>
    </w:p>
    <w:p w:rsidR="00851406" w:rsidRPr="00BF41E1" w:rsidRDefault="00936A32" w:rsidP="004775C4">
      <w:pPr>
        <w:pStyle w:val="PargrafodaLista"/>
        <w:numPr>
          <w:ilvl w:val="0"/>
          <w:numId w:val="1"/>
        </w:numPr>
        <w:spacing w:line="360" w:lineRule="auto"/>
        <w:rPr>
          <w:sz w:val="22"/>
          <w:lang w:val="es-ES"/>
        </w:rPr>
      </w:pPr>
      <w:r w:rsidRPr="00BF41E1">
        <w:rPr>
          <w:sz w:val="22"/>
          <w:lang w:val="en-US"/>
        </w:rPr>
        <w:lastRenderedPageBreak/>
        <w:t xml:space="preserve">Sieve </w:t>
      </w:r>
      <w:proofErr w:type="gramStart"/>
      <w:r w:rsidRPr="00BF41E1">
        <w:rPr>
          <w:sz w:val="22"/>
          <w:lang w:val="en-US"/>
        </w:rPr>
        <w:t>I</w:t>
      </w:r>
      <w:proofErr w:type="gramEnd"/>
      <w:r w:rsidR="0046065A" w:rsidRPr="00BF41E1">
        <w:rPr>
          <w:sz w:val="22"/>
          <w:lang w:val="en-US"/>
        </w:rPr>
        <w:t>,</w:t>
      </w:r>
      <w:r w:rsidR="0046065A" w:rsidRPr="00BF41E1">
        <w:rPr>
          <w:rFonts w:cs="Segoe UI"/>
          <w:color w:val="212121"/>
          <w:sz w:val="22"/>
          <w:shd w:val="clear" w:color="auto" w:fill="FFFFFF"/>
          <w:lang w:val="en-US"/>
        </w:rPr>
        <w:t xml:space="preserve"> Münster-Kühnel AK, Hilfiker-Kleiner D</w:t>
      </w:r>
      <w:r w:rsidR="0046065A" w:rsidRPr="00BF41E1">
        <w:rPr>
          <w:sz w:val="22"/>
          <w:lang w:val="en-US"/>
        </w:rPr>
        <w:t xml:space="preserve"> </w:t>
      </w:r>
      <w:r w:rsidRPr="00BF41E1">
        <w:rPr>
          <w:sz w:val="22"/>
          <w:lang w:val="en-US"/>
        </w:rPr>
        <w:t xml:space="preserve">. Regulation and function of endothelial glycocalyx layer in vascular diseases. </w:t>
      </w:r>
      <w:r w:rsidRPr="00BF41E1">
        <w:rPr>
          <w:sz w:val="22"/>
          <w:lang w:val="es-ES"/>
        </w:rPr>
        <w:t>[Internet]. PubMed</w:t>
      </w:r>
      <w:r w:rsidR="00A22D13" w:rsidRPr="00BF41E1">
        <w:rPr>
          <w:sz w:val="22"/>
          <w:lang w:val="es-ES"/>
        </w:rPr>
        <w:t>. 2018</w:t>
      </w:r>
      <w:r w:rsidRPr="00BF41E1">
        <w:rPr>
          <w:sz w:val="22"/>
          <w:lang w:val="es-ES"/>
        </w:rPr>
        <w:t xml:space="preserve"> [citado 13 noviembre 2022]. Disponible en: </w:t>
      </w:r>
      <w:hyperlink r:id="rId24" w:history="1">
        <w:r w:rsidRPr="00BF41E1">
          <w:rPr>
            <w:rStyle w:val="Hyperlink"/>
            <w:sz w:val="22"/>
            <w:lang w:val="es-ES"/>
          </w:rPr>
          <w:t>https://pubmed.ncbi.nlm.nih.gov/28919014/</w:t>
        </w:r>
      </w:hyperlink>
    </w:p>
    <w:p w:rsidR="00936A32" w:rsidRPr="00DF5FA5" w:rsidRDefault="005A04B4" w:rsidP="004775C4">
      <w:pPr>
        <w:pStyle w:val="PargrafodaLista"/>
        <w:numPr>
          <w:ilvl w:val="0"/>
          <w:numId w:val="1"/>
        </w:numPr>
        <w:spacing w:line="360" w:lineRule="auto"/>
        <w:jc w:val="both"/>
        <w:rPr>
          <w:sz w:val="22"/>
          <w:lang w:val="es-ES"/>
        </w:rPr>
      </w:pPr>
      <w:r w:rsidRPr="00DF5FA5">
        <w:rPr>
          <w:sz w:val="22"/>
          <w:lang w:val="en-US"/>
        </w:rPr>
        <w:t>Chignalia AZ,</w:t>
      </w:r>
      <w:r w:rsidRPr="00DF5FA5">
        <w:rPr>
          <w:rFonts w:cs="Arial"/>
          <w:color w:val="212121"/>
          <w:sz w:val="22"/>
          <w:shd w:val="clear" w:color="auto" w:fill="FFFFFF"/>
          <w:lang w:val="en-US"/>
        </w:rPr>
        <w:t xml:space="preserve"> </w:t>
      </w:r>
      <w:r w:rsidRPr="00DF5FA5">
        <w:rPr>
          <w:sz w:val="22"/>
          <w:lang w:val="en-US"/>
        </w:rPr>
        <w:t>Yetimakman F, Christiaans SC, Unal S, Bayrakci B, Wagener BM, Russell RT, Kerby JD, Pittet JF.</w:t>
      </w:r>
      <w:r w:rsidR="00170D95" w:rsidRPr="00DF5FA5">
        <w:rPr>
          <w:sz w:val="22"/>
          <w:lang w:val="en-US"/>
        </w:rPr>
        <w:t xml:space="preserve"> The glycocalyx and Trauma: A Review [Internet]. National library of med</w:t>
      </w:r>
      <w:r w:rsidR="008D3400" w:rsidRPr="00DF5FA5">
        <w:rPr>
          <w:sz w:val="22"/>
          <w:lang w:val="en-US"/>
        </w:rPr>
        <w:t xml:space="preserve">icine. </w:t>
      </w:r>
      <w:r w:rsidR="008D3400" w:rsidRPr="00DF5FA5">
        <w:rPr>
          <w:sz w:val="22"/>
          <w:lang w:val="es-ES"/>
        </w:rPr>
        <w:t>2017</w:t>
      </w:r>
      <w:r w:rsidR="00170D95" w:rsidRPr="00DF5FA5">
        <w:rPr>
          <w:sz w:val="22"/>
          <w:lang w:val="es-ES"/>
        </w:rPr>
        <w:t xml:space="preserve"> [citado 13 noviembre 2022]. Disponible en: </w:t>
      </w:r>
      <w:hyperlink r:id="rId25" w:history="1">
        <w:r w:rsidR="008D3400" w:rsidRPr="00DF5FA5">
          <w:rPr>
            <w:rStyle w:val="Hyperlink"/>
            <w:sz w:val="22"/>
            <w:lang w:val="es-ES"/>
          </w:rPr>
          <w:t>https://www.ncbi.nlm.nih.gov/pmc/articles/PMC4792653/</w:t>
        </w:r>
      </w:hyperlink>
    </w:p>
    <w:p w:rsidR="008D3400" w:rsidRPr="00DF5FA5" w:rsidRDefault="005E7BF5" w:rsidP="004775C4">
      <w:pPr>
        <w:pStyle w:val="PargrafodaLista"/>
        <w:numPr>
          <w:ilvl w:val="0"/>
          <w:numId w:val="1"/>
        </w:numPr>
        <w:spacing w:line="360" w:lineRule="auto"/>
        <w:jc w:val="both"/>
        <w:rPr>
          <w:sz w:val="22"/>
          <w:lang w:val="es-ES"/>
        </w:rPr>
      </w:pPr>
      <w:r w:rsidRPr="00DF5FA5">
        <w:rPr>
          <w:sz w:val="22"/>
        </w:rPr>
        <w:t xml:space="preserve">Olmedilla Ishishi YL. Diferencias en la expresión de mediadores inflamatorios, niveles de Glicocálix y perfiles de MicroRNA en páncreas humanos de donantes en </w:t>
      </w:r>
      <w:r w:rsidR="004F29D9" w:rsidRPr="00DF5FA5">
        <w:rPr>
          <w:sz w:val="22"/>
        </w:rPr>
        <w:t>paradas cardiacas no controladas y donantes</w:t>
      </w:r>
      <w:r w:rsidRPr="00DF5FA5">
        <w:rPr>
          <w:sz w:val="22"/>
        </w:rPr>
        <w:t xml:space="preserve"> en muerte encefálica [Internet]. National lUniversidad Complutense de Madridibrary of medicine. 2018 [citado 13 noviembre 2022]. Disponible en: </w:t>
      </w:r>
      <w:hyperlink r:id="rId26" w:history="1">
        <w:r w:rsidRPr="00DF5FA5">
          <w:rPr>
            <w:rStyle w:val="Hyperlink"/>
            <w:sz w:val="22"/>
          </w:rPr>
          <w:t>https://www.eprints.ucm.es/id/eprint/50260/1/T40683.pd</w:t>
        </w:r>
      </w:hyperlink>
    </w:p>
    <w:p w:rsidR="00F7671B" w:rsidRPr="00F7671B" w:rsidRDefault="00896751" w:rsidP="004775C4">
      <w:pPr>
        <w:pStyle w:val="PargrafodaLista"/>
        <w:numPr>
          <w:ilvl w:val="0"/>
          <w:numId w:val="1"/>
        </w:numPr>
        <w:spacing w:line="360" w:lineRule="auto"/>
        <w:jc w:val="both"/>
        <w:rPr>
          <w:rStyle w:val="Hyperlink"/>
          <w:color w:val="auto"/>
          <w:sz w:val="22"/>
          <w:u w:val="none"/>
          <w:lang w:val="es-ES"/>
        </w:rPr>
      </w:pPr>
      <w:r w:rsidRPr="00DF5FA5">
        <w:rPr>
          <w:sz w:val="22"/>
          <w:lang w:val="en-US"/>
        </w:rPr>
        <w:t xml:space="preserve">JIANG T. Fibroblast growth factor 10 attenuates chronic obstructive pulmonary disease by protecting against glycocalyx impairment and endothelial apoptosis. </w:t>
      </w:r>
      <w:r w:rsidRPr="00DF5FA5">
        <w:rPr>
          <w:sz w:val="22"/>
          <w:lang w:val="es-ES"/>
        </w:rPr>
        <w:t xml:space="preserve">[Internet]. biblioteca virtual en salud. 2021 [citado 9 noviembre 2022]. Disponible en: </w:t>
      </w:r>
      <w:hyperlink r:id="rId27" w:history="1">
        <w:r w:rsidRPr="00DF5FA5">
          <w:rPr>
            <w:rStyle w:val="Hyperlink"/>
            <w:sz w:val="22"/>
            <w:lang w:val="es-ES"/>
          </w:rPr>
          <w:t>https:</w:t>
        </w:r>
        <w:r w:rsidR="0066457D" w:rsidRPr="00DF5FA5">
          <w:rPr>
            <w:rStyle w:val="Hyperlink"/>
            <w:sz w:val="22"/>
            <w:lang w:val="es-ES"/>
          </w:rPr>
          <w:t>www</w:t>
        </w:r>
        <w:r w:rsidRPr="00DF5FA5">
          <w:rPr>
            <w:rStyle w:val="Hyperlink"/>
            <w:sz w:val="22"/>
            <w:lang w:val="es-ES"/>
          </w:rPr>
          <w:t>//doi.org/10.1186/s12931-022-02193-5</w:t>
        </w:r>
      </w:hyperlink>
    </w:p>
    <w:p w:rsidR="00896751" w:rsidRPr="00F7671B" w:rsidRDefault="001C7856" w:rsidP="004775C4">
      <w:pPr>
        <w:pStyle w:val="PargrafodaLista"/>
        <w:numPr>
          <w:ilvl w:val="0"/>
          <w:numId w:val="1"/>
        </w:numPr>
        <w:spacing w:line="360" w:lineRule="auto"/>
        <w:jc w:val="both"/>
        <w:rPr>
          <w:sz w:val="22"/>
          <w:lang w:val="es-ES"/>
        </w:rPr>
      </w:pPr>
      <w:r w:rsidRPr="00F7671B">
        <w:rPr>
          <w:sz w:val="22"/>
          <w:lang w:val="es-ES"/>
        </w:rPr>
        <w:t xml:space="preserve">Jara González F. GLICOCALIX, SU ROL EN EL PACIENTE ONCOLÓGICO Y ENFOQUE TRASLACIONAL [Internet]. Latitud </w:t>
      </w:r>
      <w:r w:rsidR="00374108" w:rsidRPr="00F7671B">
        <w:rPr>
          <w:sz w:val="22"/>
          <w:lang w:val="es-ES"/>
        </w:rPr>
        <w:t>cero. Grupo</w:t>
      </w:r>
      <w:r w:rsidRPr="00F7671B">
        <w:rPr>
          <w:sz w:val="22"/>
          <w:lang w:val="es-ES"/>
        </w:rPr>
        <w:t xml:space="preserve"> de producción científica e investigación. 2019 [citado 14 noviembre 2022]. Disponible en: </w:t>
      </w:r>
      <w:hyperlink r:id="rId28" w:history="1">
        <w:r w:rsidRPr="00F7671B">
          <w:rPr>
            <w:rStyle w:val="Hyperlink"/>
            <w:sz w:val="22"/>
            <w:lang w:val="es-ES"/>
          </w:rPr>
          <w:t>https://www.atitud0gpci.wordpress.com</w:t>
        </w:r>
      </w:hyperlink>
    </w:p>
    <w:p w:rsidR="00C838CF" w:rsidRDefault="00C838CF" w:rsidP="004775C4">
      <w:pPr>
        <w:spacing w:line="360" w:lineRule="auto"/>
        <w:jc w:val="both"/>
        <w:rPr>
          <w:b/>
          <w:sz w:val="22"/>
          <w:lang w:val="es-ES"/>
        </w:rPr>
      </w:pPr>
    </w:p>
    <w:p w:rsidR="00C838CF" w:rsidRDefault="00C838CF" w:rsidP="004775C4">
      <w:pPr>
        <w:spacing w:line="360" w:lineRule="auto"/>
        <w:jc w:val="both"/>
        <w:rPr>
          <w:b/>
          <w:sz w:val="22"/>
          <w:lang w:val="es-ES"/>
        </w:rPr>
      </w:pPr>
    </w:p>
    <w:p w:rsidR="00C838CF" w:rsidRDefault="00C838CF" w:rsidP="00DF5FA5">
      <w:pPr>
        <w:spacing w:line="360" w:lineRule="auto"/>
        <w:jc w:val="both"/>
        <w:rPr>
          <w:b/>
          <w:sz w:val="22"/>
          <w:lang w:val="es-ES"/>
        </w:rPr>
      </w:pPr>
    </w:p>
    <w:p w:rsidR="00C838CF" w:rsidRDefault="00C838CF" w:rsidP="00DF5FA5">
      <w:pPr>
        <w:spacing w:line="360" w:lineRule="auto"/>
        <w:jc w:val="both"/>
        <w:rPr>
          <w:b/>
          <w:sz w:val="22"/>
          <w:lang w:val="es-ES"/>
        </w:rPr>
      </w:pPr>
    </w:p>
    <w:p w:rsidR="00C838CF" w:rsidRDefault="00C838CF" w:rsidP="00DF5FA5">
      <w:pPr>
        <w:spacing w:line="360" w:lineRule="auto"/>
        <w:jc w:val="both"/>
        <w:rPr>
          <w:b/>
          <w:sz w:val="22"/>
          <w:lang w:val="es-ES"/>
        </w:rPr>
      </w:pPr>
    </w:p>
    <w:p w:rsidR="00C838CF" w:rsidRDefault="00C838CF" w:rsidP="00DF5FA5">
      <w:pPr>
        <w:spacing w:line="360" w:lineRule="auto"/>
        <w:jc w:val="both"/>
        <w:rPr>
          <w:b/>
          <w:sz w:val="22"/>
          <w:lang w:val="es-ES"/>
        </w:rPr>
      </w:pPr>
    </w:p>
    <w:p w:rsidR="00153A80" w:rsidRDefault="00153A80" w:rsidP="00DF5FA5">
      <w:pPr>
        <w:spacing w:line="360" w:lineRule="auto"/>
        <w:jc w:val="both"/>
        <w:rPr>
          <w:b/>
          <w:sz w:val="22"/>
          <w:lang w:val="es-ES"/>
        </w:rPr>
      </w:pPr>
    </w:p>
    <w:p w:rsidR="004775C4" w:rsidRDefault="004775C4" w:rsidP="00DF5FA5">
      <w:pPr>
        <w:spacing w:line="360" w:lineRule="auto"/>
        <w:jc w:val="both"/>
        <w:rPr>
          <w:b/>
          <w:sz w:val="22"/>
          <w:lang w:val="es-ES"/>
        </w:rPr>
      </w:pPr>
    </w:p>
    <w:p w:rsidR="00AB74D2" w:rsidRPr="00DF5FA5" w:rsidRDefault="00677A42" w:rsidP="00DF5FA5">
      <w:pPr>
        <w:spacing w:line="360" w:lineRule="auto"/>
        <w:jc w:val="both"/>
        <w:rPr>
          <w:b/>
          <w:sz w:val="22"/>
          <w:lang w:val="es-ES"/>
        </w:rPr>
      </w:pPr>
      <w:r w:rsidRPr="00DF5FA5">
        <w:rPr>
          <w:b/>
          <w:sz w:val="22"/>
          <w:lang w:val="es-ES"/>
        </w:rPr>
        <w:lastRenderedPageBreak/>
        <w:t>ANEXOS</w:t>
      </w:r>
    </w:p>
    <w:p w:rsidR="00AB74D2" w:rsidRPr="00DF5FA5" w:rsidRDefault="00AB74D2" w:rsidP="00DF5FA5">
      <w:pPr>
        <w:pStyle w:val="PargrafodaLista"/>
        <w:spacing w:line="360" w:lineRule="auto"/>
        <w:jc w:val="both"/>
        <w:rPr>
          <w:sz w:val="22"/>
          <w:lang w:val="es-ES"/>
        </w:rPr>
      </w:pPr>
    </w:p>
    <w:p w:rsidR="00AB74D2" w:rsidRPr="00DF5FA5" w:rsidRDefault="00AB74D2" w:rsidP="00DF5FA5">
      <w:pPr>
        <w:pStyle w:val="PargrafodaLista"/>
        <w:spacing w:line="360" w:lineRule="auto"/>
        <w:jc w:val="both"/>
        <w:rPr>
          <w:sz w:val="22"/>
          <w:lang w:val="es-ES"/>
        </w:rPr>
      </w:pPr>
    </w:p>
    <w:p w:rsidR="001C7856" w:rsidRPr="00DF5FA5" w:rsidRDefault="00AB74D2" w:rsidP="00DF5FA5">
      <w:pPr>
        <w:pStyle w:val="PargrafodaLista"/>
        <w:spacing w:line="360" w:lineRule="auto"/>
        <w:jc w:val="both"/>
        <w:rPr>
          <w:sz w:val="22"/>
          <w:lang w:val="es-ES"/>
        </w:rPr>
      </w:pPr>
      <w:r w:rsidRPr="00DF5FA5">
        <w:rPr>
          <w:noProof/>
          <w:sz w:val="22"/>
          <w:lang w:val="pt-BR" w:eastAsia="pt-BR"/>
        </w:rPr>
        <w:drawing>
          <wp:inline distT="0" distB="0" distL="0" distR="0" wp14:anchorId="73BF077C">
            <wp:extent cx="5401310" cy="3401695"/>
            <wp:effectExtent l="0" t="0" r="889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1310" cy="3401695"/>
                    </a:xfrm>
                    <a:prstGeom prst="rect">
                      <a:avLst/>
                    </a:prstGeom>
                    <a:noFill/>
                  </pic:spPr>
                </pic:pic>
              </a:graphicData>
            </a:graphic>
          </wp:inline>
        </w:drawing>
      </w:r>
    </w:p>
    <w:p w:rsidR="008D3400" w:rsidRPr="00DF5FA5" w:rsidRDefault="00702373" w:rsidP="00DF5FA5">
      <w:pPr>
        <w:pStyle w:val="PargrafodaLista"/>
        <w:spacing w:line="360" w:lineRule="auto"/>
        <w:jc w:val="both"/>
        <w:rPr>
          <w:sz w:val="22"/>
          <w:lang w:val="es-ES"/>
        </w:rPr>
      </w:pPr>
      <w:r w:rsidRPr="00DF5FA5">
        <w:rPr>
          <w:sz w:val="22"/>
          <w:lang w:val="es-ES"/>
        </w:rPr>
        <w:t>Anexo 1</w:t>
      </w:r>
    </w:p>
    <w:sectPr w:rsidR="008D3400" w:rsidRPr="00DF5FA5" w:rsidSect="00DF5FA5">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MyriadPro-Light">
    <w:altName w:val="MS Gothic"/>
    <w:panose1 w:val="00000000000000000000"/>
    <w:charset w:val="80"/>
    <w:family w:val="swiss"/>
    <w:notTrueType/>
    <w:pitch w:val="default"/>
    <w:sig w:usb0="00000001" w:usb1="08070000" w:usb2="00000010" w:usb3="00000000" w:csb0="00020000" w:csb1="00000000"/>
  </w:font>
  <w:font w:name="TrebuchetMS">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75099"/>
    <w:multiLevelType w:val="multilevel"/>
    <w:tmpl w:val="66EA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A1EBF"/>
    <w:multiLevelType w:val="hybridMultilevel"/>
    <w:tmpl w:val="4A365B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D7"/>
    <w:rsid w:val="000202AB"/>
    <w:rsid w:val="00025ABE"/>
    <w:rsid w:val="0005130E"/>
    <w:rsid w:val="000570EA"/>
    <w:rsid w:val="0005761A"/>
    <w:rsid w:val="00063D8A"/>
    <w:rsid w:val="00067C8C"/>
    <w:rsid w:val="00083753"/>
    <w:rsid w:val="00091C7E"/>
    <w:rsid w:val="00097829"/>
    <w:rsid w:val="000A5F15"/>
    <w:rsid w:val="000C250A"/>
    <w:rsid w:val="000C3B79"/>
    <w:rsid w:val="000C561D"/>
    <w:rsid w:val="000C7592"/>
    <w:rsid w:val="000D1B8E"/>
    <w:rsid w:val="000F4593"/>
    <w:rsid w:val="00102250"/>
    <w:rsid w:val="00111F6F"/>
    <w:rsid w:val="00137371"/>
    <w:rsid w:val="00141650"/>
    <w:rsid w:val="001526F4"/>
    <w:rsid w:val="00153A80"/>
    <w:rsid w:val="00163867"/>
    <w:rsid w:val="00170D95"/>
    <w:rsid w:val="001A665E"/>
    <w:rsid w:val="001B6A00"/>
    <w:rsid w:val="001C7856"/>
    <w:rsid w:val="001D0490"/>
    <w:rsid w:val="001E3FFF"/>
    <w:rsid w:val="001F46BC"/>
    <w:rsid w:val="00240502"/>
    <w:rsid w:val="00240EB7"/>
    <w:rsid w:val="00271CBF"/>
    <w:rsid w:val="0027420F"/>
    <w:rsid w:val="00282FC0"/>
    <w:rsid w:val="002837EB"/>
    <w:rsid w:val="00296A1A"/>
    <w:rsid w:val="002A09C5"/>
    <w:rsid w:val="002A4098"/>
    <w:rsid w:val="002C0A18"/>
    <w:rsid w:val="002D11DC"/>
    <w:rsid w:val="002D2AE9"/>
    <w:rsid w:val="002E1482"/>
    <w:rsid w:val="002E267D"/>
    <w:rsid w:val="002F5FDE"/>
    <w:rsid w:val="00300E32"/>
    <w:rsid w:val="003116CA"/>
    <w:rsid w:val="003116CC"/>
    <w:rsid w:val="00321748"/>
    <w:rsid w:val="00323782"/>
    <w:rsid w:val="003301C0"/>
    <w:rsid w:val="00334525"/>
    <w:rsid w:val="00354909"/>
    <w:rsid w:val="00360F1A"/>
    <w:rsid w:val="003631A2"/>
    <w:rsid w:val="00365A56"/>
    <w:rsid w:val="00374108"/>
    <w:rsid w:val="00382015"/>
    <w:rsid w:val="00384D4B"/>
    <w:rsid w:val="003870C8"/>
    <w:rsid w:val="003B3A17"/>
    <w:rsid w:val="003B3B31"/>
    <w:rsid w:val="003D5008"/>
    <w:rsid w:val="003E226A"/>
    <w:rsid w:val="003E42D6"/>
    <w:rsid w:val="00406EBF"/>
    <w:rsid w:val="00426F30"/>
    <w:rsid w:val="0046065A"/>
    <w:rsid w:val="004725CE"/>
    <w:rsid w:val="004775C4"/>
    <w:rsid w:val="004822CF"/>
    <w:rsid w:val="00483428"/>
    <w:rsid w:val="004A3B37"/>
    <w:rsid w:val="004E73AA"/>
    <w:rsid w:val="004F29D9"/>
    <w:rsid w:val="004F4120"/>
    <w:rsid w:val="004F4C7E"/>
    <w:rsid w:val="004F6315"/>
    <w:rsid w:val="004F73DB"/>
    <w:rsid w:val="005005AD"/>
    <w:rsid w:val="00504E78"/>
    <w:rsid w:val="0051565E"/>
    <w:rsid w:val="00515F51"/>
    <w:rsid w:val="005208CC"/>
    <w:rsid w:val="00526720"/>
    <w:rsid w:val="00526A87"/>
    <w:rsid w:val="00540BAE"/>
    <w:rsid w:val="00552245"/>
    <w:rsid w:val="005608D1"/>
    <w:rsid w:val="005744A5"/>
    <w:rsid w:val="005828D7"/>
    <w:rsid w:val="005A04B4"/>
    <w:rsid w:val="005A2EB6"/>
    <w:rsid w:val="005A7EB6"/>
    <w:rsid w:val="005E3C00"/>
    <w:rsid w:val="005E5A18"/>
    <w:rsid w:val="005E764B"/>
    <w:rsid w:val="005E7BF5"/>
    <w:rsid w:val="00604201"/>
    <w:rsid w:val="0060570E"/>
    <w:rsid w:val="00625F13"/>
    <w:rsid w:val="0065079D"/>
    <w:rsid w:val="006552DD"/>
    <w:rsid w:val="00662C8F"/>
    <w:rsid w:val="0066457D"/>
    <w:rsid w:val="00677A42"/>
    <w:rsid w:val="00677EA6"/>
    <w:rsid w:val="0068270B"/>
    <w:rsid w:val="006B181D"/>
    <w:rsid w:val="006D1B98"/>
    <w:rsid w:val="006D24E1"/>
    <w:rsid w:val="006D6C9A"/>
    <w:rsid w:val="006E6D2F"/>
    <w:rsid w:val="006E7390"/>
    <w:rsid w:val="006F1ED7"/>
    <w:rsid w:val="00702373"/>
    <w:rsid w:val="00721670"/>
    <w:rsid w:val="007231D4"/>
    <w:rsid w:val="00733018"/>
    <w:rsid w:val="00745D20"/>
    <w:rsid w:val="00754D55"/>
    <w:rsid w:val="00757336"/>
    <w:rsid w:val="00760C2E"/>
    <w:rsid w:val="007705BE"/>
    <w:rsid w:val="00776DB1"/>
    <w:rsid w:val="00782127"/>
    <w:rsid w:val="00783A88"/>
    <w:rsid w:val="007A22BA"/>
    <w:rsid w:val="007B0B78"/>
    <w:rsid w:val="007B250D"/>
    <w:rsid w:val="007B2928"/>
    <w:rsid w:val="007B3AD5"/>
    <w:rsid w:val="007C0AD4"/>
    <w:rsid w:val="007C4933"/>
    <w:rsid w:val="007D29A8"/>
    <w:rsid w:val="007E06F3"/>
    <w:rsid w:val="007F6FAA"/>
    <w:rsid w:val="008417D0"/>
    <w:rsid w:val="00842C49"/>
    <w:rsid w:val="00845769"/>
    <w:rsid w:val="008458C4"/>
    <w:rsid w:val="00851406"/>
    <w:rsid w:val="00861BCF"/>
    <w:rsid w:val="00864582"/>
    <w:rsid w:val="008961C3"/>
    <w:rsid w:val="00896751"/>
    <w:rsid w:val="008B23EF"/>
    <w:rsid w:val="008B6F0D"/>
    <w:rsid w:val="008D0982"/>
    <w:rsid w:val="008D3400"/>
    <w:rsid w:val="008D4765"/>
    <w:rsid w:val="008D7873"/>
    <w:rsid w:val="008E078B"/>
    <w:rsid w:val="009028C7"/>
    <w:rsid w:val="009066C5"/>
    <w:rsid w:val="0093525C"/>
    <w:rsid w:val="00936A32"/>
    <w:rsid w:val="009549D1"/>
    <w:rsid w:val="009563C4"/>
    <w:rsid w:val="00962FAE"/>
    <w:rsid w:val="00963DC1"/>
    <w:rsid w:val="009A0959"/>
    <w:rsid w:val="009A27A7"/>
    <w:rsid w:val="009A548F"/>
    <w:rsid w:val="009B03EF"/>
    <w:rsid w:val="009D0EA8"/>
    <w:rsid w:val="009E1F16"/>
    <w:rsid w:val="00A06CB4"/>
    <w:rsid w:val="00A22D13"/>
    <w:rsid w:val="00A270CE"/>
    <w:rsid w:val="00A4239B"/>
    <w:rsid w:val="00A47E48"/>
    <w:rsid w:val="00A52313"/>
    <w:rsid w:val="00A564C4"/>
    <w:rsid w:val="00A63FDD"/>
    <w:rsid w:val="00A76DBE"/>
    <w:rsid w:val="00A920E6"/>
    <w:rsid w:val="00AA1863"/>
    <w:rsid w:val="00AB0792"/>
    <w:rsid w:val="00AB74D2"/>
    <w:rsid w:val="00AC6AEB"/>
    <w:rsid w:val="00AE2693"/>
    <w:rsid w:val="00AE2B58"/>
    <w:rsid w:val="00AE6AE5"/>
    <w:rsid w:val="00AF3859"/>
    <w:rsid w:val="00AF415A"/>
    <w:rsid w:val="00AF659A"/>
    <w:rsid w:val="00B02AF8"/>
    <w:rsid w:val="00B11106"/>
    <w:rsid w:val="00B12164"/>
    <w:rsid w:val="00B27B45"/>
    <w:rsid w:val="00B33445"/>
    <w:rsid w:val="00B4611B"/>
    <w:rsid w:val="00B723F0"/>
    <w:rsid w:val="00B758C9"/>
    <w:rsid w:val="00B93EBF"/>
    <w:rsid w:val="00BA1475"/>
    <w:rsid w:val="00BA50C6"/>
    <w:rsid w:val="00BB0720"/>
    <w:rsid w:val="00BB7826"/>
    <w:rsid w:val="00BE1BDE"/>
    <w:rsid w:val="00BE27A2"/>
    <w:rsid w:val="00BE2ABB"/>
    <w:rsid w:val="00BE2F88"/>
    <w:rsid w:val="00BF41E1"/>
    <w:rsid w:val="00BF44DA"/>
    <w:rsid w:val="00C13739"/>
    <w:rsid w:val="00C17F4E"/>
    <w:rsid w:val="00C22C2A"/>
    <w:rsid w:val="00C32A5A"/>
    <w:rsid w:val="00C42585"/>
    <w:rsid w:val="00C45C70"/>
    <w:rsid w:val="00C607A4"/>
    <w:rsid w:val="00C73C04"/>
    <w:rsid w:val="00C74B08"/>
    <w:rsid w:val="00C74CB3"/>
    <w:rsid w:val="00C838CF"/>
    <w:rsid w:val="00C90F1A"/>
    <w:rsid w:val="00C94488"/>
    <w:rsid w:val="00CA2A3C"/>
    <w:rsid w:val="00CC5515"/>
    <w:rsid w:val="00CD1E5D"/>
    <w:rsid w:val="00CD647A"/>
    <w:rsid w:val="00D11CBF"/>
    <w:rsid w:val="00D32485"/>
    <w:rsid w:val="00D43C95"/>
    <w:rsid w:val="00D46EB6"/>
    <w:rsid w:val="00D66AE8"/>
    <w:rsid w:val="00D67E82"/>
    <w:rsid w:val="00D7511C"/>
    <w:rsid w:val="00D85090"/>
    <w:rsid w:val="00D86178"/>
    <w:rsid w:val="00DC0089"/>
    <w:rsid w:val="00DC034D"/>
    <w:rsid w:val="00DF3BB6"/>
    <w:rsid w:val="00DF5FA5"/>
    <w:rsid w:val="00E07886"/>
    <w:rsid w:val="00E14623"/>
    <w:rsid w:val="00E213C4"/>
    <w:rsid w:val="00E24CEA"/>
    <w:rsid w:val="00E2654B"/>
    <w:rsid w:val="00E443D5"/>
    <w:rsid w:val="00E52B22"/>
    <w:rsid w:val="00E604B7"/>
    <w:rsid w:val="00E63577"/>
    <w:rsid w:val="00E67CD8"/>
    <w:rsid w:val="00E766D5"/>
    <w:rsid w:val="00E77D34"/>
    <w:rsid w:val="00E83B77"/>
    <w:rsid w:val="00E8446F"/>
    <w:rsid w:val="00EA28D2"/>
    <w:rsid w:val="00EA73AD"/>
    <w:rsid w:val="00EB2968"/>
    <w:rsid w:val="00EC6BA5"/>
    <w:rsid w:val="00ED4D9F"/>
    <w:rsid w:val="00EE6AB5"/>
    <w:rsid w:val="00EF44A2"/>
    <w:rsid w:val="00F05BA9"/>
    <w:rsid w:val="00F1077C"/>
    <w:rsid w:val="00F25731"/>
    <w:rsid w:val="00F56673"/>
    <w:rsid w:val="00F576CA"/>
    <w:rsid w:val="00F7610D"/>
    <w:rsid w:val="00F7671B"/>
    <w:rsid w:val="00F8159E"/>
    <w:rsid w:val="00F8514D"/>
    <w:rsid w:val="00FB24CC"/>
    <w:rsid w:val="00FE7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8D88F-3B53-49DC-8490-D6E85A0F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8D7"/>
    <w:pPr>
      <w:spacing w:after="200" w:line="276" w:lineRule="auto"/>
    </w:pPr>
    <w:rPr>
      <w:rFonts w:ascii="Verdana" w:eastAsia="Calibri" w:hAnsi="Verdana" w:cs="Times New Roman"/>
      <w:sz w:val="20"/>
      <w:lang w:val="es-MX"/>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bc-hhl7in">
    <w:name w:val="bbc-hhl7in"/>
    <w:basedOn w:val="Normal"/>
    <w:rsid w:val="00102250"/>
    <w:pPr>
      <w:spacing w:before="100" w:beforeAutospacing="1" w:after="100" w:afterAutospacing="1" w:line="240" w:lineRule="auto"/>
    </w:pPr>
    <w:rPr>
      <w:rFonts w:ascii="Times New Roman" w:eastAsia="Times New Roman" w:hAnsi="Times New Roman"/>
      <w:sz w:val="24"/>
      <w:szCs w:val="24"/>
      <w:lang w:val="pt-BR" w:eastAsia="pt-BR"/>
    </w:rPr>
  </w:style>
  <w:style w:type="paragraph" w:styleId="PargrafodaLista">
    <w:name w:val="List Paragraph"/>
    <w:basedOn w:val="Normal"/>
    <w:uiPriority w:val="34"/>
    <w:qFormat/>
    <w:rsid w:val="00240502"/>
    <w:pPr>
      <w:ind w:left="720"/>
      <w:contextualSpacing/>
    </w:pPr>
  </w:style>
  <w:style w:type="character" w:styleId="Hyperlink">
    <w:name w:val="Hyperlink"/>
    <w:basedOn w:val="Fontepargpadro"/>
    <w:uiPriority w:val="99"/>
    <w:unhideWhenUsed/>
    <w:rsid w:val="0038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61604">
      <w:bodyDiv w:val="1"/>
      <w:marLeft w:val="0"/>
      <w:marRight w:val="0"/>
      <w:marTop w:val="0"/>
      <w:marBottom w:val="0"/>
      <w:divBdr>
        <w:top w:val="none" w:sz="0" w:space="0" w:color="auto"/>
        <w:left w:val="none" w:sz="0" w:space="0" w:color="auto"/>
        <w:bottom w:val="none" w:sz="0" w:space="0" w:color="auto"/>
        <w:right w:val="none" w:sz="0" w:space="0" w:color="auto"/>
      </w:divBdr>
    </w:div>
    <w:div w:id="2015840523">
      <w:bodyDiv w:val="1"/>
      <w:marLeft w:val="0"/>
      <w:marRight w:val="0"/>
      <w:marTop w:val="0"/>
      <w:marBottom w:val="0"/>
      <w:divBdr>
        <w:top w:val="none" w:sz="0" w:space="0" w:color="auto"/>
        <w:left w:val="none" w:sz="0" w:space="0" w:color="auto"/>
        <w:bottom w:val="none" w:sz="0" w:space="0" w:color="auto"/>
        <w:right w:val="none" w:sz="0" w:space="0" w:color="auto"/>
      </w:divBdr>
      <w:divsChild>
        <w:div w:id="1268004172">
          <w:marLeft w:val="0"/>
          <w:marRight w:val="0"/>
          <w:marTop w:val="0"/>
          <w:marBottom w:val="0"/>
          <w:divBdr>
            <w:top w:val="none" w:sz="0" w:space="0" w:color="auto"/>
            <w:left w:val="none" w:sz="0" w:space="0" w:color="auto"/>
            <w:bottom w:val="none" w:sz="0" w:space="0" w:color="auto"/>
            <w:right w:val="none" w:sz="0" w:space="0" w:color="auto"/>
          </w:divBdr>
        </w:div>
        <w:div w:id="1160846051">
          <w:marLeft w:val="0"/>
          <w:marRight w:val="0"/>
          <w:marTop w:val="0"/>
          <w:marBottom w:val="0"/>
          <w:divBdr>
            <w:top w:val="none" w:sz="0" w:space="0" w:color="auto"/>
            <w:left w:val="none" w:sz="0" w:space="0" w:color="auto"/>
            <w:bottom w:val="none" w:sz="0" w:space="0" w:color="auto"/>
            <w:right w:val="none" w:sz="0" w:space="0" w:color="auto"/>
          </w:divBdr>
        </w:div>
        <w:div w:id="41748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mica.es/enciclopedia/Polisac%C3%A1rido.html" TargetMode="External"/><Relationship Id="rId13" Type="http://schemas.openxmlformats.org/officeDocument/2006/relationships/hyperlink" Target="https://www.quimica.es/enciclopedia/Enzima.html" TargetMode="External"/><Relationship Id="rId18" Type="http://schemas.openxmlformats.org/officeDocument/2006/relationships/hyperlink" Target="https://www.quimica.es/enciclopedia/Trasplante.html" TargetMode="External"/><Relationship Id="rId26" Type="http://schemas.openxmlformats.org/officeDocument/2006/relationships/hyperlink" Target="https://www.eprints.ucm.es/id/eprint/50260/1/T40683.pd" TargetMode="External"/><Relationship Id="rId3" Type="http://schemas.openxmlformats.org/officeDocument/2006/relationships/settings" Target="settings.xml"/><Relationship Id="rId21" Type="http://schemas.openxmlformats.org/officeDocument/2006/relationships/hyperlink" Target="http://www.scielo.org.mx/scielo.php?script=sci_arttext&amp;pid=S0026" TargetMode="External"/><Relationship Id="rId7" Type="http://schemas.openxmlformats.org/officeDocument/2006/relationships/hyperlink" Target="https://www.quimica.es/enciclopedia/Epitelio.html" TargetMode="External"/><Relationship Id="rId12" Type="http://schemas.openxmlformats.org/officeDocument/2006/relationships/hyperlink" Target="https://www.quimica.es/enciclopedia/Intestino_delgado.html" TargetMode="External"/><Relationship Id="rId17" Type="http://schemas.openxmlformats.org/officeDocument/2006/relationships/hyperlink" Target="https://www.quimica.es/enciclopedia/Transfusi%C3%B3n_de_sangre.html" TargetMode="External"/><Relationship Id="rId25" Type="http://schemas.openxmlformats.org/officeDocument/2006/relationships/hyperlink" Target="https://www.ncbi.nlm.nih.gov/pmc/articles/PMC4792653/" TargetMode="External"/><Relationship Id="rId2" Type="http://schemas.openxmlformats.org/officeDocument/2006/relationships/styles" Target="styles.xml"/><Relationship Id="rId16" Type="http://schemas.openxmlformats.org/officeDocument/2006/relationships/hyperlink" Target="https://www.quimica.es/enciclopedia/C%C3%A1ncer.html" TargetMode="External"/><Relationship Id="rId20" Type="http://schemas.openxmlformats.org/officeDocument/2006/relationships/hyperlink" Target="https://doi.org/10.1016/j.acmx.2013.04.015"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quimica.es/enciclopedia/Bacteria.html" TargetMode="External"/><Relationship Id="rId11" Type="http://schemas.openxmlformats.org/officeDocument/2006/relationships/hyperlink" Target="https://www.quimica.es/enciclopedia/Microvellosidad.html" TargetMode="External"/><Relationship Id="rId24" Type="http://schemas.openxmlformats.org/officeDocument/2006/relationships/hyperlink" Target="https://pubmed.ncbi.nlm.nih.gov/28919014/" TargetMode="External"/><Relationship Id="rId5" Type="http://schemas.openxmlformats.org/officeDocument/2006/relationships/hyperlink" Target="https://www.quimica.es/enciclopedia/Pol%C3%ADmero.html" TargetMode="External"/><Relationship Id="rId15" Type="http://schemas.openxmlformats.org/officeDocument/2006/relationships/hyperlink" Target="https://www.quimica.es/enciclopedia/Sistema_inmunol%C3%B3gico.html" TargetMode="External"/><Relationship Id="rId23" Type="http://schemas.openxmlformats.org/officeDocument/2006/relationships/hyperlink" Target="https://hdl.handle.net/10946/5764" TargetMode="External"/><Relationship Id="rId28" Type="http://schemas.openxmlformats.org/officeDocument/2006/relationships/hyperlink" Target="https://www.atitud0gpci.wordpress.com" TargetMode="External"/><Relationship Id="rId10" Type="http://schemas.openxmlformats.org/officeDocument/2006/relationships/hyperlink" Target="https://www.quimica.es/enciclopedia/Glicoprote%C3%ADna.html" TargetMode="External"/><Relationship Id="rId19" Type="http://schemas.openxmlformats.org/officeDocument/2006/relationships/hyperlink" Target="https://www.quimica.es/enciclopedia/Adherencia_celular.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quimica.es/enciclopedia/Plaqueta.html" TargetMode="External"/><Relationship Id="rId14" Type="http://schemas.openxmlformats.org/officeDocument/2006/relationships/hyperlink" Target="https://www.quimica.es/enciclopedia/Membrana_citoplasm%C3%A1tica.html" TargetMode="External"/><Relationship Id="rId22" Type="http://schemas.openxmlformats.org/officeDocument/2006/relationships/hyperlink" Target="http://dx.doi.org/10.24265/hori.v19n4.12" TargetMode="External"/><Relationship Id="rId27" Type="http://schemas.openxmlformats.org/officeDocument/2006/relationships/hyperlink" Target="https://doi.org/10.1186/s12931-022-02193-5"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13</Pages>
  <Words>3281</Words>
  <Characters>17721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278</cp:revision>
  <dcterms:created xsi:type="dcterms:W3CDTF">2022-11-09T02:36:00Z</dcterms:created>
  <dcterms:modified xsi:type="dcterms:W3CDTF">2022-11-16T03:08:00Z</dcterms:modified>
</cp:coreProperties>
</file>