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8A" w:rsidRPr="00AF2368" w:rsidRDefault="008E1A98" w:rsidP="0080038A">
      <w:pPr>
        <w:spacing w:line="384" w:lineRule="auto"/>
        <w:jc w:val="center"/>
        <w:rPr>
          <w:rFonts w:ascii="Verdana" w:hAnsi="Verdana"/>
          <w:b/>
          <w:sz w:val="28"/>
          <w:szCs w:val="28"/>
        </w:rPr>
      </w:pPr>
      <w:r>
        <w:rPr>
          <w:rFonts w:ascii="Verdana" w:hAnsi="Verdana" w:cs="Arial"/>
          <w:b/>
          <w:bCs/>
          <w:sz w:val="28"/>
          <w:szCs w:val="28"/>
        </w:rPr>
        <w:t xml:space="preserve">INFLUENCIA DEL SEXO EN LA </w:t>
      </w:r>
      <w:r w:rsidR="0080038A">
        <w:rPr>
          <w:rFonts w:ascii="Verdana" w:hAnsi="Verdana" w:cs="Arial"/>
          <w:b/>
          <w:bCs/>
          <w:sz w:val="28"/>
          <w:szCs w:val="28"/>
        </w:rPr>
        <w:t>MORFOMETRÍA ENCEFÁLICA</w:t>
      </w:r>
      <w:r>
        <w:rPr>
          <w:rFonts w:ascii="Verdana" w:hAnsi="Verdana" w:cs="Arial"/>
          <w:b/>
          <w:bCs/>
          <w:sz w:val="28"/>
          <w:szCs w:val="28"/>
        </w:rPr>
        <w:t xml:space="preserve"> Y VENTRICULAR  </w:t>
      </w:r>
      <w:r w:rsidR="0080038A">
        <w:rPr>
          <w:rFonts w:ascii="Verdana" w:hAnsi="Verdana" w:cs="Arial"/>
          <w:b/>
          <w:bCs/>
          <w:sz w:val="28"/>
          <w:szCs w:val="28"/>
        </w:rPr>
        <w:t>EN  ADULTOS CON FUNCIONES COGNITIVAS</w:t>
      </w:r>
      <w:r>
        <w:rPr>
          <w:rFonts w:ascii="Verdana" w:hAnsi="Verdana" w:cs="Arial"/>
          <w:b/>
          <w:bCs/>
          <w:sz w:val="28"/>
          <w:szCs w:val="28"/>
        </w:rPr>
        <w:t xml:space="preserve"> GLOBALES </w:t>
      </w:r>
      <w:r w:rsidR="0080038A">
        <w:rPr>
          <w:rFonts w:ascii="Verdana" w:hAnsi="Verdana" w:cs="Arial"/>
          <w:b/>
          <w:bCs/>
          <w:sz w:val="28"/>
          <w:szCs w:val="28"/>
        </w:rPr>
        <w:t xml:space="preserve"> NORMALES </w:t>
      </w:r>
    </w:p>
    <w:p w:rsidR="0080038A" w:rsidRPr="00AF2368" w:rsidRDefault="0080038A" w:rsidP="0080038A">
      <w:pPr>
        <w:spacing w:line="384" w:lineRule="auto"/>
        <w:jc w:val="both"/>
        <w:rPr>
          <w:rFonts w:ascii="Verdana" w:hAnsi="Verdana" w:cs="Arial"/>
          <w:color w:val="0000AC"/>
        </w:rPr>
      </w:pPr>
      <w:r w:rsidRPr="00AF2368">
        <w:rPr>
          <w:rFonts w:ascii="Verdana" w:hAnsi="Verdana" w:cs="Arial"/>
        </w:rPr>
        <w:t>Katherine Hernández Cortés</w:t>
      </w:r>
      <w:r>
        <w:rPr>
          <w:rFonts w:ascii="Verdana" w:eastAsia="Times New Roman" w:hAnsi="Verdana" w:cs="Arial"/>
          <w:vertAlign w:val="superscript"/>
        </w:rPr>
        <w:t xml:space="preserve"> 1</w:t>
      </w:r>
      <w:r w:rsidRPr="00AF2368">
        <w:rPr>
          <w:rFonts w:ascii="Verdana" w:hAnsi="Verdana" w:cs="Arial"/>
          <w:color w:val="0000AC"/>
          <w:vertAlign w:val="superscript"/>
        </w:rPr>
        <w:t>*</w:t>
      </w:r>
      <w:r w:rsidRPr="00AF2368">
        <w:rPr>
          <w:rFonts w:ascii="Verdana" w:hAnsi="Verdana" w:cs="Arial"/>
          <w:color w:val="0000AC"/>
        </w:rPr>
        <w:t xml:space="preserve"> http://orcid.org/0000-0001-9293-9450</w:t>
      </w:r>
    </w:p>
    <w:p w:rsidR="0080038A" w:rsidRPr="0080038A" w:rsidRDefault="0080038A" w:rsidP="0080038A">
      <w:pPr>
        <w:spacing w:after="200" w:line="384" w:lineRule="auto"/>
        <w:jc w:val="both"/>
        <w:rPr>
          <w:rFonts w:ascii="Verdana" w:eastAsiaTheme="minorHAnsi" w:hAnsi="Verdana" w:cs="Arial"/>
          <w:color w:val="0000AC"/>
        </w:rPr>
      </w:pPr>
      <w:r w:rsidRPr="00AF2368">
        <w:rPr>
          <w:rFonts w:ascii="Verdana" w:eastAsiaTheme="minorHAnsi" w:hAnsi="Verdana" w:cs="Arial"/>
          <w:color w:val="auto"/>
        </w:rPr>
        <w:t>Arquímes Montoya – Pedrón</w:t>
      </w:r>
      <w:r>
        <w:rPr>
          <w:rFonts w:ascii="Verdana" w:eastAsiaTheme="minorHAnsi" w:hAnsi="Verdana" w:cs="Arial"/>
          <w:color w:val="auto"/>
          <w:vertAlign w:val="superscript"/>
        </w:rPr>
        <w:t>2</w:t>
      </w:r>
      <w:r w:rsidRPr="00AF2368">
        <w:rPr>
          <w:rFonts w:ascii="Verdana" w:eastAsiaTheme="minorHAnsi" w:hAnsi="Verdana" w:cs="Arial"/>
          <w:color w:val="auto"/>
        </w:rPr>
        <w:t>:</w:t>
      </w:r>
      <w:r w:rsidRPr="00AF2368">
        <w:rPr>
          <w:rFonts w:ascii="Verdana" w:eastAsiaTheme="minorHAnsi" w:hAnsi="Verdana" w:cs="Arial"/>
          <w:color w:val="0000AC"/>
        </w:rPr>
        <w:t>https://orcid.org/0000-0001-9415-4585</w:t>
      </w:r>
    </w:p>
    <w:p w:rsidR="0080038A" w:rsidRPr="00AF2368" w:rsidRDefault="0080038A" w:rsidP="0080038A">
      <w:pPr>
        <w:spacing w:after="200" w:line="384" w:lineRule="auto"/>
        <w:jc w:val="both"/>
        <w:rPr>
          <w:rFonts w:ascii="Verdana" w:eastAsiaTheme="minorHAnsi" w:hAnsi="Verdana" w:cs="Arial"/>
          <w:color w:val="0000AC"/>
        </w:rPr>
      </w:pPr>
      <w:r w:rsidRPr="00AF2368">
        <w:rPr>
          <w:rFonts w:ascii="Verdana" w:eastAsiaTheme="minorHAnsi" w:hAnsi="Verdana" w:cs="Arial"/>
          <w:color w:val="auto"/>
        </w:rPr>
        <w:t xml:space="preserve">Nelsa María Sagaró-del Campo </w:t>
      </w:r>
      <w:r>
        <w:rPr>
          <w:rFonts w:ascii="Verdana" w:eastAsiaTheme="minorHAnsi" w:hAnsi="Verdana" w:cs="Arial"/>
          <w:color w:val="auto"/>
          <w:vertAlign w:val="superscript"/>
        </w:rPr>
        <w:t>3</w:t>
      </w:r>
      <w:r w:rsidRPr="00AF2368">
        <w:rPr>
          <w:rFonts w:ascii="Verdana" w:eastAsiaTheme="minorHAnsi" w:hAnsi="Verdana" w:cs="Arial"/>
          <w:color w:val="auto"/>
        </w:rPr>
        <w:t>:</w:t>
      </w:r>
      <w:r w:rsidRPr="00AF2368">
        <w:rPr>
          <w:rFonts w:ascii="Verdana" w:eastAsiaTheme="minorHAnsi" w:hAnsi="Verdana" w:cs="Arial"/>
          <w:color w:val="0000AC"/>
        </w:rPr>
        <w:t>https://orcid.org/0000-0002-1964-8830</w:t>
      </w:r>
    </w:p>
    <w:p w:rsidR="0080038A" w:rsidRDefault="00BE1FC1" w:rsidP="0080038A">
      <w:pPr>
        <w:spacing w:line="384" w:lineRule="auto"/>
        <w:jc w:val="both"/>
        <w:rPr>
          <w:rFonts w:ascii="Verdana" w:hAnsi="Verdana"/>
        </w:rPr>
      </w:pPr>
      <w:r>
        <w:rPr>
          <w:rFonts w:ascii="Verdana" w:hAnsi="Verdana"/>
          <w:vertAlign w:val="superscript"/>
        </w:rPr>
        <w:t>1</w:t>
      </w:r>
      <w:r w:rsidR="0080038A" w:rsidRPr="00AF2368">
        <w:rPr>
          <w:rFonts w:ascii="Verdana" w:hAnsi="Verdana"/>
        </w:rPr>
        <w:t xml:space="preserve"> Especialista de Primer Grado en Anatomía Humana. Máster en Medicina Bioenergética y Natural. Profesor Asistente de la Universidad de Ciencias Médicas de Santiago de Cuba. Investigador Agregado. (Autor para la correspondencia:</w:t>
      </w:r>
      <w:r w:rsidR="0080038A" w:rsidRPr="0080038A">
        <w:rPr>
          <w:rFonts w:ascii="Verdana" w:hAnsi="Verdana"/>
          <w:color w:val="0000C8"/>
        </w:rPr>
        <w:t>(ksusanahernandezcortes@gmail.com)</w:t>
      </w:r>
    </w:p>
    <w:p w:rsidR="0080038A" w:rsidRDefault="0080038A" w:rsidP="0080038A">
      <w:pPr>
        <w:spacing w:line="384" w:lineRule="auto"/>
        <w:jc w:val="both"/>
        <w:rPr>
          <w:rFonts w:ascii="Verdana" w:hAnsi="Verdana"/>
        </w:rPr>
      </w:pPr>
      <w:r>
        <w:rPr>
          <w:rFonts w:ascii="Verdana" w:hAnsi="Verdana"/>
          <w:vertAlign w:val="superscript"/>
        </w:rPr>
        <w:t xml:space="preserve"> 2</w:t>
      </w:r>
      <w:r w:rsidRPr="00AF2368">
        <w:rPr>
          <w:rFonts w:ascii="Verdana" w:hAnsi="Verdana"/>
        </w:rPr>
        <w:t xml:space="preserve"> Doctor en Ciencias Médicas. Especialista de Primer y Segundo Grado en Neurofisiología Clínica. Profesor Titular e Investigador Titular. Jefe del servicio de Neurofisiología del Hospital General Docente Dr. Juan Bruno Zayas Alfonso. Santiago de Cuba.</w:t>
      </w:r>
    </w:p>
    <w:p w:rsidR="0080038A" w:rsidRPr="008769E7" w:rsidRDefault="0080038A" w:rsidP="0080038A">
      <w:pPr>
        <w:spacing w:line="384" w:lineRule="auto"/>
        <w:jc w:val="both"/>
        <w:rPr>
          <w:rFonts w:ascii="Verdana" w:hAnsi="Verdana"/>
        </w:rPr>
      </w:pPr>
      <w:r>
        <w:rPr>
          <w:rFonts w:ascii="Verdana" w:hAnsi="Verdana"/>
          <w:vertAlign w:val="superscript"/>
        </w:rPr>
        <w:t>3</w:t>
      </w:r>
      <w:r w:rsidRPr="00AF2368">
        <w:rPr>
          <w:rFonts w:ascii="Verdana" w:hAnsi="Verdana"/>
        </w:rPr>
        <w:t>Doctor en Ciencias Médicas</w:t>
      </w:r>
      <w:r w:rsidRPr="008769E7">
        <w:rPr>
          <w:rFonts w:ascii="Verdana" w:hAnsi="Verdana" w:cs="Arial"/>
        </w:rPr>
        <w:t>. Profesor e Investigador Titular de la Academia de Ciencias de Cuba.  Especialista de Primer y Segundo Grado en</w:t>
      </w:r>
      <w:r w:rsidRPr="000029BF">
        <w:rPr>
          <w:rFonts w:ascii="Verdana" w:hAnsi="Verdana" w:cs="Arial"/>
        </w:rPr>
        <w:t>Bioestadística</w:t>
      </w:r>
      <w:r w:rsidRPr="008769E7">
        <w:rPr>
          <w:rFonts w:ascii="Verdana" w:hAnsi="Verdana" w:cs="Arial"/>
        </w:rPr>
        <w:t xml:space="preserve">. Metodóloga de la Dirección de Post Grado e Investigación de </w:t>
      </w:r>
      <w:r w:rsidRPr="008769E7">
        <w:rPr>
          <w:rFonts w:ascii="Verdana" w:hAnsi="Verdana" w:cs="Arial"/>
          <w:color w:val="000000"/>
        </w:rPr>
        <w:t>la Universidad de Ciencias Médicas de  Santiago de Cuba. Facultad de Medicina 1.</w:t>
      </w:r>
    </w:p>
    <w:p w:rsidR="0080038A" w:rsidRPr="00BE1FC1" w:rsidRDefault="0080038A" w:rsidP="0080038A">
      <w:pPr>
        <w:spacing w:line="384" w:lineRule="auto"/>
        <w:jc w:val="both"/>
        <w:rPr>
          <w:rFonts w:ascii="Verdana" w:hAnsi="Verdana" w:cs="Arial"/>
          <w:b/>
        </w:rPr>
      </w:pPr>
      <w:r w:rsidRPr="00BE1FC1">
        <w:rPr>
          <w:rFonts w:ascii="Verdana" w:hAnsi="Verdana" w:cs="Arial"/>
          <w:b/>
        </w:rPr>
        <w:t>Resumen</w:t>
      </w:r>
    </w:p>
    <w:p w:rsidR="0080038A" w:rsidRPr="00C5389C" w:rsidRDefault="0080038A" w:rsidP="0080038A">
      <w:pPr>
        <w:spacing w:line="384" w:lineRule="auto"/>
        <w:jc w:val="both"/>
        <w:rPr>
          <w:rFonts w:ascii="Verdana" w:hAnsi="Verdana" w:cs="Arial"/>
        </w:rPr>
      </w:pPr>
      <w:r w:rsidRPr="00C5389C">
        <w:rPr>
          <w:rFonts w:ascii="Verdana" w:hAnsi="Verdana" w:cs="Arial"/>
          <w:b/>
        </w:rPr>
        <w:t>Introducción:</w:t>
      </w:r>
      <w:r w:rsidRPr="00C5389C">
        <w:rPr>
          <w:rFonts w:ascii="Verdana" w:hAnsi="Verdana" w:cs="Arial"/>
        </w:rPr>
        <w:t xml:space="preserve"> Se ha hecho indispensable conocer los cambios estructurales y cognitivos que caracterizan el desarrollo de los adultos durante el envejecimiento y las raíces biológicas de estos cambios para comprender las transformaciones del cerebro relacionadas con el sexo</w:t>
      </w:r>
      <w:r w:rsidRPr="00C5389C">
        <w:rPr>
          <w:rFonts w:ascii="Verdana" w:hAnsi="Verdana" w:cs="Arial"/>
          <w:lang w:val="es-CO"/>
        </w:rPr>
        <w:t xml:space="preserve">. </w:t>
      </w:r>
      <w:r w:rsidRPr="00C5389C">
        <w:rPr>
          <w:rFonts w:ascii="Verdana" w:hAnsi="Verdana" w:cs="Arial"/>
          <w:b/>
          <w:lang w:val="es-CO"/>
        </w:rPr>
        <w:t>Objetivo:</w:t>
      </w:r>
      <w:r w:rsidRPr="00C5389C">
        <w:rPr>
          <w:rFonts w:ascii="Verdana" w:hAnsi="Verdana" w:cs="Arial"/>
          <w:lang w:val="es-CO"/>
        </w:rPr>
        <w:t xml:space="preserve"> Determinar la  influencia del sexo en los cambios estructurales encefálicos en adultos con funciones cognitivas globales normales en imágenes de Tomografía Axial Computarizada (TAC) craneal. </w:t>
      </w:r>
      <w:r w:rsidRPr="00C5389C">
        <w:rPr>
          <w:rFonts w:ascii="Verdana" w:hAnsi="Verdana" w:cs="Arial"/>
          <w:b/>
          <w:lang w:val="es-CO"/>
        </w:rPr>
        <w:t>Material y Métodos</w:t>
      </w:r>
      <w:r w:rsidRPr="00C5389C">
        <w:rPr>
          <w:rFonts w:ascii="Verdana" w:hAnsi="Verdana" w:cs="Arial"/>
          <w:lang w:val="es-CO"/>
        </w:rPr>
        <w:t xml:space="preserve">: </w:t>
      </w:r>
      <w:r w:rsidRPr="00C5389C">
        <w:rPr>
          <w:rFonts w:ascii="Verdana" w:hAnsi="Verdana" w:cs="Arial"/>
        </w:rPr>
        <w:t xml:space="preserve">La población de estudio se conformó por 320 personas con indicación de TAC  monocorte en el período de febrero de 2019 a diciembre </w:t>
      </w:r>
      <w:r w:rsidRPr="00C5389C">
        <w:rPr>
          <w:rFonts w:ascii="Verdana" w:hAnsi="Verdana" w:cs="Arial"/>
        </w:rPr>
        <w:lastRenderedPageBreak/>
        <w:t xml:space="preserve">de 2021. Se emplearon técnicas de segmentación en neuroimagen y análisis estadístico multivariado con </w:t>
      </w:r>
      <w:r w:rsidR="00C5389C" w:rsidRPr="00C5389C">
        <w:rPr>
          <w:rFonts w:ascii="Verdana" w:hAnsi="Verdana" w:cs="Arial"/>
        </w:rPr>
        <w:t>re muestreo</w:t>
      </w:r>
      <w:r w:rsidRPr="00C5389C">
        <w:rPr>
          <w:rFonts w:ascii="Verdana" w:hAnsi="Verdana" w:cs="Arial"/>
        </w:rPr>
        <w:t xml:space="preserve">. </w:t>
      </w:r>
      <w:r w:rsidRPr="00C5389C">
        <w:rPr>
          <w:rFonts w:ascii="Verdana" w:hAnsi="Verdana" w:cs="Arial"/>
          <w:lang w:val="es-CO"/>
        </w:rPr>
        <w:t xml:space="preserve">Como </w:t>
      </w:r>
      <w:r w:rsidRPr="00C5389C">
        <w:rPr>
          <w:rFonts w:ascii="Verdana" w:hAnsi="Verdana" w:cs="Arial"/>
          <w:b/>
          <w:lang w:val="es-CO"/>
        </w:rPr>
        <w:t>resultado</w:t>
      </w:r>
      <w:r w:rsidR="00C5389C" w:rsidRPr="00C5389C">
        <w:rPr>
          <w:rFonts w:ascii="Verdana" w:hAnsi="Verdana" w:cs="Arial"/>
        </w:rPr>
        <w:t>s</w:t>
      </w:r>
      <w:r w:rsidRPr="00C5389C">
        <w:rPr>
          <w:rFonts w:ascii="Verdana" w:hAnsi="Verdana" w:cs="Arial"/>
        </w:rPr>
        <w:t xml:space="preserve">e encontró una relación significativa de los volúmenes estimados el sexo, lo que verifica la teoría de la atrofia cerebral asociada al envejecimiento, aun cuando las funciones cognitivas se conservan. </w:t>
      </w:r>
      <w:r w:rsidRPr="00C5389C">
        <w:rPr>
          <w:rFonts w:ascii="Verdana" w:hAnsi="Verdana" w:cs="Arial"/>
          <w:b/>
          <w:lang w:val="es-CO"/>
        </w:rPr>
        <w:t>Conclusiones:</w:t>
      </w:r>
      <w:r w:rsidR="00C5389C" w:rsidRPr="00C5389C">
        <w:rPr>
          <w:rFonts w:ascii="Verdana" w:hAnsi="Verdana" w:cs="Arial"/>
        </w:rPr>
        <w:t xml:space="preserve"> Se demostró la mayor volumetría en los hombres con respecto a las mujeres, lo que reafirma las diferencias del encéfalo, relacionadas con el sexo.</w:t>
      </w:r>
    </w:p>
    <w:p w:rsidR="0080038A" w:rsidRPr="00C5389C" w:rsidRDefault="0080038A" w:rsidP="0080038A">
      <w:pPr>
        <w:spacing w:line="384" w:lineRule="auto"/>
        <w:rPr>
          <w:rFonts w:ascii="Verdana" w:hAnsi="Verdana" w:cs="Arial"/>
          <w:lang w:val="es-CO"/>
        </w:rPr>
      </w:pPr>
      <w:r w:rsidRPr="007E0DDC">
        <w:rPr>
          <w:rFonts w:ascii="Verdana" w:hAnsi="Verdana" w:cs="Arial"/>
          <w:b/>
          <w:lang w:val="es-CO"/>
        </w:rPr>
        <w:t>Palabras claves</w:t>
      </w:r>
      <w:r w:rsidRPr="00C5389C">
        <w:rPr>
          <w:rFonts w:ascii="Verdana" w:hAnsi="Verdana" w:cs="Arial"/>
          <w:lang w:val="es-CO"/>
        </w:rPr>
        <w:t>:</w:t>
      </w:r>
      <w:r w:rsidR="00C5389C" w:rsidRPr="00C5389C">
        <w:rPr>
          <w:rFonts w:ascii="Verdana" w:hAnsi="Verdana" w:cs="Arial"/>
          <w:lang w:val="es-CO"/>
        </w:rPr>
        <w:t xml:space="preserve"> morfometría encefálica;sexo</w:t>
      </w:r>
      <w:r w:rsidRPr="00C5389C">
        <w:rPr>
          <w:rFonts w:ascii="Verdana" w:hAnsi="Verdana" w:cs="Arial"/>
          <w:lang w:val="es-CO"/>
        </w:rPr>
        <w:t>;</w:t>
      </w:r>
      <w:r w:rsidR="00C5389C" w:rsidRPr="00C5389C">
        <w:rPr>
          <w:rFonts w:ascii="Verdana" w:hAnsi="Verdana" w:cs="Arial"/>
          <w:lang w:val="es-CO"/>
        </w:rPr>
        <w:t xml:space="preserve"> funciones cognitivas globales normales;</w:t>
      </w:r>
      <w:r w:rsidRPr="00C5389C">
        <w:rPr>
          <w:rFonts w:ascii="Verdana" w:hAnsi="Verdana" w:cs="Arial"/>
          <w:lang w:val="es-CO"/>
        </w:rPr>
        <w:t xml:space="preserve"> tomografía  axial </w:t>
      </w:r>
      <w:r w:rsidR="00C5389C" w:rsidRPr="00C5389C">
        <w:rPr>
          <w:rFonts w:ascii="Verdana" w:hAnsi="Verdana" w:cs="Arial"/>
          <w:lang w:val="es-CO"/>
        </w:rPr>
        <w:t>computarizada</w:t>
      </w:r>
      <w:r w:rsidRPr="00C5389C">
        <w:rPr>
          <w:rFonts w:ascii="Verdana" w:hAnsi="Verdana" w:cs="Arial"/>
          <w:lang w:val="es-CO"/>
        </w:rPr>
        <w:t>.</w:t>
      </w:r>
    </w:p>
    <w:p w:rsidR="0080038A" w:rsidRPr="007E0DDC" w:rsidRDefault="00C5389C" w:rsidP="0080038A">
      <w:pPr>
        <w:spacing w:line="384" w:lineRule="auto"/>
        <w:jc w:val="both"/>
        <w:rPr>
          <w:rFonts w:ascii="Verdana" w:hAnsi="Verdana"/>
          <w:b/>
        </w:rPr>
      </w:pPr>
      <w:r w:rsidRPr="007E0DDC">
        <w:rPr>
          <w:rFonts w:ascii="Verdana" w:hAnsi="Verdana"/>
          <w:b/>
        </w:rPr>
        <w:t>Introducción</w:t>
      </w:r>
    </w:p>
    <w:p w:rsidR="00C5389C" w:rsidRPr="00BE1FC1" w:rsidRDefault="00C5389C" w:rsidP="00BE1FC1">
      <w:pPr>
        <w:pStyle w:val="Prrafodelista"/>
        <w:spacing w:after="120" w:line="384" w:lineRule="auto"/>
        <w:ind w:left="0" w:right="-232"/>
        <w:jc w:val="both"/>
        <w:rPr>
          <w:rFonts w:ascii="Verdana" w:hAnsi="Verdana" w:cs="Arial"/>
        </w:rPr>
      </w:pPr>
      <w:r w:rsidRPr="00BE1FC1">
        <w:rPr>
          <w:rFonts w:ascii="Verdana" w:hAnsi="Verdana" w:cs="Arial"/>
        </w:rPr>
        <w:t>Hoy en día, existe un interés creciente en el estudio de la estructura y el funcionamiento del cerebro humano. Se ha hecho indispensable conocer los cambios estructurales y cognitivos que caracterizan el desarrollo de los adultos durante el envejecimiento y las raíces biológicas de estos cambios para comprender las transformaciones del cerebro relacionadas con la edad</w:t>
      </w:r>
      <w:r w:rsidR="00E04956">
        <w:rPr>
          <w:rFonts w:ascii="Verdana" w:hAnsi="Verdana" w:cs="Arial"/>
        </w:rPr>
        <w:t xml:space="preserve"> y el sexo.</w:t>
      </w:r>
      <w:r w:rsidR="00E04956" w:rsidRPr="00E04956">
        <w:rPr>
          <w:rFonts w:ascii="Verdana" w:hAnsi="Verdana" w:cs="Arial"/>
          <w:vertAlign w:val="superscript"/>
        </w:rPr>
        <w:t xml:space="preserve"> 1</w:t>
      </w:r>
      <w:r w:rsidR="00E04956">
        <w:rPr>
          <w:rFonts w:ascii="Verdana" w:hAnsi="Verdana" w:cs="Arial"/>
          <w:vertAlign w:val="superscript"/>
        </w:rPr>
        <w:t>,2</w:t>
      </w:r>
    </w:p>
    <w:p w:rsidR="00AA1929" w:rsidRPr="00EC1527" w:rsidRDefault="00AA1929" w:rsidP="00AA1929">
      <w:pPr>
        <w:spacing w:after="120" w:line="384" w:lineRule="auto"/>
        <w:ind w:right="-232"/>
        <w:jc w:val="both"/>
        <w:rPr>
          <w:rFonts w:ascii="Verdana" w:eastAsiaTheme="minorEastAsia" w:hAnsi="Verdana" w:cs="Arial"/>
          <w:color w:val="auto"/>
          <w:lang w:eastAsia="es-ES"/>
        </w:rPr>
      </w:pPr>
      <w:r w:rsidRPr="00EC1527">
        <w:rPr>
          <w:rFonts w:ascii="Verdana" w:eastAsiaTheme="minorEastAsia" w:hAnsi="Verdana" w:cs="Arial"/>
          <w:color w:val="auto"/>
          <w:lang w:eastAsia="es-ES"/>
        </w:rPr>
        <w:t>Para entender los cambios estructurales y funcionales del encéfalo, las investigaciones en el campo de las neurociencias del siglo XXI han brindado excelentes aportes, pero aún son insuficientes</w:t>
      </w:r>
      <w:r w:rsidR="0048373D">
        <w:rPr>
          <w:rFonts w:ascii="Verdana" w:hAnsi="Verdana" w:cs="Arial"/>
          <w:vertAlign w:val="superscript"/>
        </w:rPr>
        <w:t>3</w:t>
      </w:r>
      <w:r w:rsidR="0048373D">
        <w:rPr>
          <w:rFonts w:ascii="Verdana" w:hAnsi="Verdana" w:cs="Arial"/>
        </w:rPr>
        <w:t xml:space="preserve">. </w:t>
      </w:r>
      <w:r w:rsidRPr="00EC1527">
        <w:rPr>
          <w:rFonts w:ascii="Verdana" w:eastAsiaTheme="minorEastAsia" w:hAnsi="Verdana" w:cs="Arial"/>
          <w:color w:val="auto"/>
          <w:lang w:eastAsia="es-ES"/>
        </w:rPr>
        <w:t>Muchos han sido los procederes utilizados con la finalidad de conocer las variaciones estructurales de este órgano (Velázquez y col, 2017; Velasco y col, 2018; Sartori y col, 2020). En 1974, con la introducción en la práctica médica de la tomografía axial computarizada (TAC) y después con la resonancia magnética nuclear (RMN), se logró alcanzar este objetivo</w:t>
      </w:r>
      <w:r w:rsidR="0048373D">
        <w:rPr>
          <w:rFonts w:ascii="Verdana" w:eastAsiaTheme="minorEastAsia" w:hAnsi="Verdana" w:cs="Arial"/>
          <w:color w:val="auto"/>
          <w:lang w:eastAsia="es-ES"/>
        </w:rPr>
        <w:t>.</w:t>
      </w:r>
      <w:r w:rsidR="0048373D">
        <w:rPr>
          <w:rFonts w:ascii="Verdana" w:hAnsi="Verdana" w:cs="Arial"/>
          <w:vertAlign w:val="superscript"/>
        </w:rPr>
        <w:t>4,5</w:t>
      </w:r>
    </w:p>
    <w:p w:rsidR="00AA1929" w:rsidRPr="00AA1929" w:rsidRDefault="00AA1929" w:rsidP="00AA1929">
      <w:pPr>
        <w:spacing w:after="120" w:line="384" w:lineRule="auto"/>
        <w:ind w:right="-232"/>
        <w:jc w:val="both"/>
        <w:rPr>
          <w:rFonts w:ascii="Verdana" w:eastAsiaTheme="minorEastAsia" w:hAnsi="Verdana" w:cs="Arial"/>
          <w:color w:val="auto"/>
          <w:lang w:eastAsia="es-ES"/>
        </w:rPr>
      </w:pPr>
      <w:r w:rsidRPr="00EC1527">
        <w:rPr>
          <w:rFonts w:ascii="Verdana" w:hAnsi="Verdana" w:cs="Arial"/>
        </w:rPr>
        <w:t xml:space="preserve">La rápida evolución en términos de resolución espacial y relación señal ruido en los escáneres de la TAC y la RMN, unido a las mejoras en las nuevas técnicas de imagen y en los algoritmos de procesamiento de datos han permitido detectar y cuantificar anomalías estructurales, incluso sutiles, que aparecen cuando se comparan diferentes poblaciones. Fue así que, a mediados del siglo pasado, surgió </w:t>
      </w:r>
      <w:r w:rsidR="0048373D">
        <w:rPr>
          <w:rFonts w:ascii="Verdana" w:hAnsi="Verdana" w:cs="Arial"/>
        </w:rPr>
        <w:t xml:space="preserve">la morfometría cerebral. </w:t>
      </w:r>
      <w:r w:rsidRPr="00AA1929">
        <w:rPr>
          <w:rFonts w:ascii="Verdana" w:eastAsiaTheme="minorEastAsia" w:hAnsi="Verdana" w:cs="Arial"/>
          <w:color w:val="auto"/>
          <w:lang w:eastAsia="es-ES"/>
        </w:rPr>
        <w:t xml:space="preserve">Los estudios de morfometría cerebral resultan muy útiles al proporcionar gran información </w:t>
      </w:r>
      <w:r w:rsidRPr="00AA1929">
        <w:rPr>
          <w:rFonts w:ascii="Verdana" w:eastAsiaTheme="minorEastAsia" w:hAnsi="Verdana" w:cs="Arial"/>
          <w:color w:val="auto"/>
          <w:lang w:eastAsia="es-ES"/>
        </w:rPr>
        <w:lastRenderedPageBreak/>
        <w:t>diagnóstica sobre enfermedades neurológicas y psiquiátricas que afectan, frecuentemente, a la población envejecida</w:t>
      </w:r>
      <w:r w:rsidR="0048373D" w:rsidRPr="0048373D">
        <w:rPr>
          <w:rFonts w:ascii="Verdana" w:eastAsiaTheme="minorEastAsia" w:hAnsi="Verdana" w:cs="Arial"/>
          <w:color w:val="auto"/>
          <w:vertAlign w:val="superscript"/>
          <w:lang w:eastAsia="es-ES"/>
        </w:rPr>
        <w:t>1</w:t>
      </w:r>
      <w:r w:rsidR="0048373D">
        <w:rPr>
          <w:rFonts w:ascii="Verdana" w:eastAsiaTheme="minorEastAsia" w:hAnsi="Verdana" w:cs="Arial"/>
          <w:color w:val="auto"/>
          <w:vertAlign w:val="superscript"/>
          <w:lang w:eastAsia="es-ES"/>
        </w:rPr>
        <w:t>,</w:t>
      </w:r>
      <w:r w:rsidR="0048373D" w:rsidRPr="0048373D">
        <w:rPr>
          <w:rFonts w:ascii="Verdana" w:eastAsiaTheme="minorEastAsia" w:hAnsi="Verdana" w:cs="Arial"/>
          <w:color w:val="auto"/>
          <w:vertAlign w:val="superscript"/>
          <w:lang w:eastAsia="es-ES"/>
        </w:rPr>
        <w:t xml:space="preserve"> 2,6</w:t>
      </w:r>
      <w:r w:rsidR="0048373D">
        <w:rPr>
          <w:rFonts w:ascii="Verdana" w:eastAsiaTheme="minorEastAsia" w:hAnsi="Verdana" w:cs="Arial"/>
          <w:color w:val="auto"/>
          <w:lang w:eastAsia="es-ES"/>
        </w:rPr>
        <w:t xml:space="preserve">. </w:t>
      </w:r>
      <w:r w:rsidRPr="00AA1929">
        <w:rPr>
          <w:rFonts w:ascii="Verdana" w:eastAsiaTheme="minorEastAsia" w:hAnsi="Verdana" w:cs="Arial"/>
          <w:color w:val="auto"/>
          <w:lang w:eastAsia="es-ES"/>
        </w:rPr>
        <w:t xml:space="preserve">Este hecho cobra mayor relevancia por la cantidad de adultos mayores en el planeta, que debe cuadriplicarse en los próximos 50 años </w:t>
      </w:r>
      <w:r w:rsidR="0048373D">
        <w:rPr>
          <w:rFonts w:ascii="Verdana" w:eastAsiaTheme="minorEastAsia" w:hAnsi="Verdana" w:cs="Arial"/>
          <w:color w:val="auto"/>
          <w:lang w:eastAsia="es-ES"/>
        </w:rPr>
        <w:t>.</w:t>
      </w:r>
      <w:r w:rsidR="0048373D">
        <w:rPr>
          <w:rFonts w:ascii="Verdana" w:eastAsiaTheme="minorEastAsia" w:hAnsi="Verdana" w:cs="Arial"/>
          <w:color w:val="auto"/>
          <w:vertAlign w:val="superscript"/>
          <w:lang w:eastAsia="es-ES"/>
        </w:rPr>
        <w:t>7, 8</w:t>
      </w:r>
    </w:p>
    <w:p w:rsidR="00AA1929" w:rsidRPr="00AA1929" w:rsidRDefault="00AA1929" w:rsidP="00AA1929">
      <w:pPr>
        <w:spacing w:after="120" w:line="384" w:lineRule="auto"/>
        <w:ind w:right="-232"/>
        <w:jc w:val="both"/>
        <w:rPr>
          <w:rFonts w:ascii="Verdana" w:eastAsiaTheme="minorEastAsia" w:hAnsi="Verdana" w:cs="Arial"/>
          <w:color w:val="auto"/>
          <w:lang w:eastAsia="es-ES"/>
        </w:rPr>
      </w:pPr>
      <w:r w:rsidRPr="00AA1929">
        <w:rPr>
          <w:rFonts w:ascii="Verdana" w:eastAsiaTheme="minorEastAsia" w:hAnsi="Verdana" w:cs="Arial"/>
          <w:color w:val="auto"/>
          <w:lang w:eastAsia="es-ES"/>
        </w:rPr>
        <w:t>El proceso del envejecimiento es complejo y aún más en el sistema nervioso</w:t>
      </w:r>
      <w:r w:rsidR="0048373D">
        <w:rPr>
          <w:rFonts w:ascii="Verdana" w:eastAsiaTheme="minorEastAsia" w:hAnsi="Verdana" w:cs="Arial"/>
          <w:color w:val="auto"/>
          <w:lang w:eastAsia="es-ES"/>
        </w:rPr>
        <w:t xml:space="preserve"> (SN)</w:t>
      </w:r>
      <w:r w:rsidRPr="00AA1929">
        <w:rPr>
          <w:rFonts w:ascii="Verdana" w:eastAsiaTheme="minorEastAsia" w:hAnsi="Verdana" w:cs="Arial"/>
          <w:color w:val="auto"/>
          <w:lang w:eastAsia="es-ES"/>
        </w:rPr>
        <w:t>. El encéfalo, desde el punto de</w:t>
      </w:r>
      <w:r w:rsidR="0048373D">
        <w:rPr>
          <w:rFonts w:ascii="Verdana" w:eastAsiaTheme="minorEastAsia" w:hAnsi="Verdana" w:cs="Arial"/>
          <w:color w:val="auto"/>
          <w:lang w:eastAsia="es-ES"/>
        </w:rPr>
        <w:t xml:space="preserve"> vista neural, es un órgano pos </w:t>
      </w:r>
      <w:r w:rsidRPr="00AA1929">
        <w:rPr>
          <w:rFonts w:ascii="Verdana" w:eastAsiaTheme="minorEastAsia" w:hAnsi="Verdana" w:cs="Arial"/>
          <w:color w:val="auto"/>
          <w:lang w:eastAsia="es-ES"/>
        </w:rPr>
        <w:t>mitótico, aunque en determinadas regiones persisten fenómenos neurogénicos</w:t>
      </w:r>
      <w:r w:rsidR="0048373D">
        <w:rPr>
          <w:rFonts w:ascii="Verdana" w:eastAsiaTheme="minorEastAsia" w:hAnsi="Verdana" w:cs="Arial"/>
          <w:color w:val="auto"/>
          <w:vertAlign w:val="superscript"/>
          <w:lang w:eastAsia="es-ES"/>
        </w:rPr>
        <w:t>9</w:t>
      </w:r>
      <w:r w:rsidR="0048373D">
        <w:rPr>
          <w:rFonts w:ascii="Verdana" w:eastAsiaTheme="minorEastAsia" w:hAnsi="Verdana" w:cs="Arial"/>
          <w:color w:val="auto"/>
          <w:lang w:eastAsia="es-ES"/>
        </w:rPr>
        <w:t xml:space="preserve">. </w:t>
      </w:r>
      <w:r w:rsidRPr="00AA1929">
        <w:rPr>
          <w:rFonts w:ascii="Verdana" w:eastAsiaTheme="minorEastAsia" w:hAnsi="Verdana" w:cs="Arial"/>
          <w:color w:val="auto"/>
          <w:lang w:eastAsia="es-ES"/>
        </w:rPr>
        <w:t xml:space="preserve">Los cambios encefálicos, desde el nacimiento hasta la edad más avanzada, proporcionan al </w:t>
      </w:r>
      <w:r w:rsidR="0048373D">
        <w:rPr>
          <w:rFonts w:ascii="Verdana" w:eastAsiaTheme="minorEastAsia" w:hAnsi="Verdana" w:cs="Arial"/>
          <w:color w:val="auto"/>
          <w:lang w:eastAsia="es-ES"/>
        </w:rPr>
        <w:t xml:space="preserve">SN </w:t>
      </w:r>
      <w:r w:rsidRPr="00AA1929">
        <w:rPr>
          <w:rFonts w:ascii="Verdana" w:eastAsiaTheme="minorEastAsia" w:hAnsi="Verdana" w:cs="Arial"/>
          <w:color w:val="auto"/>
          <w:lang w:eastAsia="es-ES"/>
        </w:rPr>
        <w:t>una gran capacidad adaptativa a las influencias del medio, tanto interno como externo</w:t>
      </w:r>
      <w:r w:rsidR="0048373D">
        <w:rPr>
          <w:rFonts w:ascii="Verdana" w:eastAsiaTheme="minorEastAsia" w:hAnsi="Verdana" w:cs="Arial"/>
          <w:color w:val="auto"/>
          <w:vertAlign w:val="superscript"/>
          <w:lang w:eastAsia="es-ES"/>
        </w:rPr>
        <w:t>10, 11</w:t>
      </w:r>
      <w:r w:rsidR="0048373D">
        <w:rPr>
          <w:rFonts w:ascii="Verdana" w:eastAsiaTheme="minorEastAsia" w:hAnsi="Verdana" w:cs="Arial"/>
          <w:color w:val="auto"/>
          <w:lang w:eastAsia="es-ES"/>
        </w:rPr>
        <w:t xml:space="preserve">. </w:t>
      </w:r>
      <w:r w:rsidRPr="00AA1929">
        <w:rPr>
          <w:rFonts w:ascii="Verdana" w:eastAsiaTheme="minorEastAsia" w:hAnsi="Verdana" w:cs="Arial"/>
          <w:color w:val="auto"/>
          <w:lang w:eastAsia="es-ES"/>
        </w:rPr>
        <w:t>Este proceso es lo que se conoce como plasticidad neural o neuroplasticidad y se considera uno de los mecanismos biológicos clave en el envejecimiento satisfactorio</w:t>
      </w:r>
      <w:r w:rsidR="0048373D">
        <w:rPr>
          <w:rFonts w:ascii="Verdana" w:eastAsiaTheme="minorEastAsia" w:hAnsi="Verdana" w:cs="Arial"/>
          <w:color w:val="auto"/>
          <w:lang w:eastAsia="es-ES"/>
        </w:rPr>
        <w:t>.</w:t>
      </w:r>
      <w:r w:rsidR="0048373D" w:rsidRPr="0048373D">
        <w:rPr>
          <w:rFonts w:ascii="Verdana" w:eastAsiaTheme="minorEastAsia" w:hAnsi="Verdana" w:cs="Arial"/>
          <w:color w:val="auto"/>
          <w:vertAlign w:val="superscript"/>
          <w:lang w:eastAsia="es-ES"/>
        </w:rPr>
        <w:t xml:space="preserve">10, 12,13 </w:t>
      </w:r>
    </w:p>
    <w:p w:rsidR="00AA1929" w:rsidRPr="00AA1929" w:rsidRDefault="00AA1929" w:rsidP="00AA1929">
      <w:pPr>
        <w:spacing w:after="120" w:line="384" w:lineRule="auto"/>
        <w:ind w:right="-232"/>
        <w:jc w:val="both"/>
        <w:rPr>
          <w:rFonts w:ascii="Verdana" w:eastAsiaTheme="minorEastAsia" w:hAnsi="Verdana" w:cs="Arial"/>
          <w:color w:val="auto"/>
          <w:lang w:eastAsia="es-ES"/>
        </w:rPr>
      </w:pPr>
      <w:r w:rsidRPr="00AA1929">
        <w:rPr>
          <w:rFonts w:ascii="Verdana" w:eastAsiaTheme="minorEastAsia" w:hAnsi="Verdana" w:cs="Arial"/>
          <w:color w:val="auto"/>
          <w:lang w:eastAsia="es-ES"/>
        </w:rPr>
        <w:t xml:space="preserve">A partir de los 60 años de edad, por mecanismos de carácter ambiental, genético o estocástico, el cerebro pierde de dos a tres gramos de peso al año, lo cual se acompaña de una pérdida de </w:t>
      </w:r>
      <w:r w:rsidR="00257322" w:rsidRPr="00AA1929">
        <w:rPr>
          <w:rFonts w:ascii="Verdana" w:eastAsiaTheme="minorEastAsia" w:hAnsi="Verdana" w:cs="Arial"/>
          <w:color w:val="auto"/>
          <w:lang w:eastAsia="es-ES"/>
        </w:rPr>
        <w:t xml:space="preserve">volumen. </w:t>
      </w:r>
      <w:r w:rsidRPr="00AA1929">
        <w:rPr>
          <w:rFonts w:ascii="Verdana" w:eastAsiaTheme="minorEastAsia" w:hAnsi="Verdana" w:cs="Arial"/>
          <w:color w:val="auto"/>
          <w:lang w:eastAsia="es-ES"/>
        </w:rPr>
        <w:t xml:space="preserve">Estos cambios pueden evaluarse comparando el volumen encefálico con el volumen intracraneal o valorando la progresiva amplitud de los surcos y </w:t>
      </w:r>
      <w:r w:rsidR="00257322" w:rsidRPr="00AA1929">
        <w:rPr>
          <w:rFonts w:ascii="Verdana" w:eastAsiaTheme="minorEastAsia" w:hAnsi="Verdana" w:cs="Arial"/>
          <w:color w:val="auto"/>
          <w:lang w:eastAsia="es-ES"/>
        </w:rPr>
        <w:t xml:space="preserve">cisuras. </w:t>
      </w:r>
      <w:r w:rsidRPr="00AA1929">
        <w:rPr>
          <w:rFonts w:ascii="Verdana" w:eastAsiaTheme="minorEastAsia" w:hAnsi="Verdana" w:cs="Arial"/>
          <w:color w:val="auto"/>
          <w:lang w:eastAsia="es-ES"/>
        </w:rPr>
        <w:t xml:space="preserve">Sin embargo, los estudios recientes realizados con neuroimagen en personas vivas, no son concluyentes al encontrarse una gran variabilidad y la no presencia de cambios significativos desde el punto de vista macroscópico en muchos </w:t>
      </w:r>
      <w:r w:rsidR="00257322" w:rsidRPr="00AA1929">
        <w:rPr>
          <w:rFonts w:ascii="Verdana" w:eastAsiaTheme="minorEastAsia" w:hAnsi="Verdana" w:cs="Arial"/>
          <w:color w:val="auto"/>
          <w:lang w:eastAsia="es-ES"/>
        </w:rPr>
        <w:t>ancianos.</w:t>
      </w:r>
      <w:r w:rsidR="00257322">
        <w:rPr>
          <w:rFonts w:ascii="Verdana" w:eastAsiaTheme="minorEastAsia" w:hAnsi="Verdana" w:cs="Arial"/>
          <w:color w:val="auto"/>
          <w:vertAlign w:val="superscript"/>
          <w:lang w:eastAsia="es-ES"/>
        </w:rPr>
        <w:t>1, 2,14</w:t>
      </w:r>
    </w:p>
    <w:p w:rsidR="00AA1929" w:rsidRPr="00EC1527" w:rsidRDefault="00AA1929" w:rsidP="00257322">
      <w:pPr>
        <w:spacing w:after="120" w:line="384" w:lineRule="auto"/>
        <w:ind w:right="-232"/>
        <w:jc w:val="both"/>
        <w:rPr>
          <w:rFonts w:ascii="Verdana" w:eastAsiaTheme="minorEastAsia" w:hAnsi="Verdana" w:cs="Arial"/>
          <w:color w:val="auto"/>
          <w:lang w:eastAsia="es-ES"/>
        </w:rPr>
      </w:pPr>
      <w:r w:rsidRPr="00EC1527">
        <w:rPr>
          <w:rFonts w:ascii="Verdana" w:hAnsi="Verdana" w:cs="Arial"/>
        </w:rPr>
        <w:t xml:space="preserve">Conocer las medidas normales de las estructuras encefálicas en el ser humano vivo tiene gran importancia en el diagnóstico y seguimiento de varias entidades </w:t>
      </w:r>
      <w:r w:rsidRPr="00257322">
        <w:rPr>
          <w:rFonts w:ascii="Verdana" w:hAnsi="Verdana" w:cs="Arial"/>
        </w:rPr>
        <w:t>nosológicas. La</w:t>
      </w:r>
      <w:r w:rsidRPr="00EC1527">
        <w:rPr>
          <w:rFonts w:ascii="Verdana" w:hAnsi="Verdana" w:cs="Arial"/>
        </w:rPr>
        <w:t xml:space="preserve"> información sobre las medidas precisas de estas estructuras es insuficiente. Es por ello que</w:t>
      </w:r>
      <w:r w:rsidRPr="00EC1527">
        <w:rPr>
          <w:rFonts w:ascii="Verdana" w:eastAsiaTheme="minorEastAsia" w:hAnsi="Verdana" w:cs="Arial"/>
          <w:color w:val="auto"/>
          <w:lang w:eastAsia="es-ES"/>
        </w:rPr>
        <w:t xml:space="preserve"> se prioriza el desarrollo de métodos de segmentación para las imágenes de TAC, que brinden información antes de que se produzca un daño cerebral irreversible</w:t>
      </w:r>
      <w:r w:rsidR="00257322" w:rsidRPr="00257322">
        <w:rPr>
          <w:rFonts w:ascii="Verdana" w:eastAsiaTheme="minorEastAsia" w:hAnsi="Verdana" w:cs="Arial"/>
          <w:color w:val="auto"/>
          <w:vertAlign w:val="superscript"/>
          <w:lang w:eastAsia="es-ES"/>
        </w:rPr>
        <w:t>2</w:t>
      </w:r>
      <w:r w:rsidR="001F700E">
        <w:rPr>
          <w:rFonts w:ascii="Verdana" w:eastAsiaTheme="minorEastAsia" w:hAnsi="Verdana" w:cs="Arial"/>
          <w:color w:val="auto"/>
          <w:lang w:eastAsia="es-ES"/>
        </w:rPr>
        <w:t xml:space="preserve">. </w:t>
      </w:r>
      <w:r w:rsidRPr="00EC1527">
        <w:rPr>
          <w:rFonts w:ascii="Verdana" w:eastAsiaTheme="minorEastAsia" w:hAnsi="Verdana" w:cs="Arial"/>
          <w:color w:val="auto"/>
          <w:lang w:eastAsia="es-ES"/>
        </w:rPr>
        <w:t xml:space="preserve">Por lo que se requiere de estudios contextualizados a cada grupo étnico y métodos estandarizados para </w:t>
      </w:r>
      <w:r w:rsidR="00257322">
        <w:rPr>
          <w:rFonts w:ascii="Verdana" w:eastAsiaTheme="minorEastAsia" w:hAnsi="Verdana" w:cs="Arial"/>
          <w:color w:val="auto"/>
          <w:lang w:eastAsia="es-ES"/>
        </w:rPr>
        <w:t xml:space="preserve">obtener </w:t>
      </w:r>
      <w:r w:rsidRPr="00EC1527">
        <w:rPr>
          <w:rFonts w:ascii="Verdana" w:eastAsiaTheme="minorEastAsia" w:hAnsi="Verdana" w:cs="Arial"/>
          <w:color w:val="auto"/>
          <w:lang w:eastAsia="es-ES"/>
        </w:rPr>
        <w:t xml:space="preserve">la volumetría encefálica de sujetos presumiblemente </w:t>
      </w:r>
      <w:r w:rsidR="00257322" w:rsidRPr="00EC1527">
        <w:rPr>
          <w:rFonts w:ascii="Verdana" w:eastAsiaTheme="minorEastAsia" w:hAnsi="Verdana" w:cs="Arial"/>
          <w:color w:val="auto"/>
          <w:lang w:eastAsia="es-ES"/>
        </w:rPr>
        <w:t xml:space="preserve">sanos. </w:t>
      </w:r>
      <w:r w:rsidRPr="00EC1527">
        <w:rPr>
          <w:rFonts w:ascii="Verdana" w:eastAsiaTheme="minorEastAsia" w:hAnsi="Verdana" w:cs="Arial"/>
          <w:color w:val="auto"/>
          <w:lang w:eastAsia="es-ES"/>
        </w:rPr>
        <w:t xml:space="preserve">Razón por la cual se define como objetivo de esta investigación </w:t>
      </w:r>
      <w:r w:rsidRPr="00EC1527">
        <w:rPr>
          <w:rFonts w:ascii="Verdana" w:hAnsi="Verdana" w:cs="Arial"/>
        </w:rPr>
        <w:t>De</w:t>
      </w:r>
      <w:r w:rsidR="00EC1527" w:rsidRPr="00EC1527">
        <w:rPr>
          <w:rFonts w:ascii="Verdana" w:hAnsi="Verdana" w:cs="Arial"/>
        </w:rPr>
        <w:t>terminar el efecto d</w:t>
      </w:r>
      <w:r w:rsidRPr="00EC1527">
        <w:rPr>
          <w:rFonts w:ascii="Verdana" w:hAnsi="Verdana" w:cs="Arial"/>
        </w:rPr>
        <w:t xml:space="preserve">el sexo en la volumetría </w:t>
      </w:r>
      <w:r w:rsidR="00EC1527" w:rsidRPr="00EC1527">
        <w:rPr>
          <w:rFonts w:ascii="Verdana" w:hAnsi="Verdana" w:cs="Arial"/>
        </w:rPr>
        <w:t>encefálica.</w:t>
      </w:r>
    </w:p>
    <w:p w:rsidR="00EC1527" w:rsidRPr="00EC1527" w:rsidRDefault="00EC1527" w:rsidP="00EC1527">
      <w:pPr>
        <w:spacing w:line="384" w:lineRule="auto"/>
        <w:rPr>
          <w:rFonts w:ascii="Verdana" w:hAnsi="Verdana" w:cs="Arial"/>
        </w:rPr>
      </w:pPr>
      <w:r w:rsidRPr="00EC1527">
        <w:rPr>
          <w:rFonts w:ascii="Verdana" w:hAnsi="Verdana" w:cs="Arial"/>
          <w:b/>
        </w:rPr>
        <w:lastRenderedPageBreak/>
        <w:t>Método</w:t>
      </w:r>
    </w:p>
    <w:p w:rsidR="00EC1527" w:rsidRPr="008E3240" w:rsidRDefault="00EC1527" w:rsidP="00EC1527">
      <w:pPr>
        <w:pStyle w:val="Sinespaciado"/>
        <w:spacing w:before="240" w:after="160" w:line="384" w:lineRule="auto"/>
        <w:jc w:val="both"/>
        <w:rPr>
          <w:rFonts w:ascii="Verdana" w:hAnsi="Verdana" w:cs="Arial"/>
          <w:sz w:val="22"/>
          <w:szCs w:val="22"/>
        </w:rPr>
      </w:pPr>
      <w:r w:rsidRPr="008E3240">
        <w:rPr>
          <w:rFonts w:ascii="Verdana" w:hAnsi="Verdana" w:cs="Arial"/>
          <w:sz w:val="22"/>
          <w:szCs w:val="22"/>
        </w:rPr>
        <w:t>Se desarrolló un estud</w:t>
      </w:r>
      <w:r w:rsidRPr="00722B22">
        <w:rPr>
          <w:rFonts w:ascii="Verdana" w:hAnsi="Verdana" w:cs="Arial"/>
          <w:color w:val="auto"/>
          <w:sz w:val="22"/>
          <w:szCs w:val="22"/>
        </w:rPr>
        <w:t xml:space="preserve">io retrospectivo, transversal, descriptivo y observacional </w:t>
      </w:r>
      <w:r w:rsidRPr="008E3240">
        <w:rPr>
          <w:rFonts w:ascii="Verdana" w:hAnsi="Verdana" w:cs="Arial"/>
          <w:sz w:val="22"/>
          <w:szCs w:val="22"/>
        </w:rPr>
        <w:t>en el servicio de Imagenología del Hospital Saturnino Lora de Santiago de Cuba entre julio a diciembre del 2020. Se utilizaron imágenes de TAC, previo consentimiento informado, del total de los pacientes cuyos resultados fueron negativos en ambos sexos y con edades comprendidas entre 30-79 años de edad, cuya cifra ascendió a 320. Se seleccionó este rango de edades por considerarse que entre los 35 y años comienza la etapa de neurodegeneración</w:t>
      </w:r>
      <w:r w:rsidR="00F878FA">
        <w:rPr>
          <w:rFonts w:ascii="Verdana" w:hAnsi="Verdana" w:cs="Arial"/>
          <w:sz w:val="22"/>
          <w:szCs w:val="22"/>
        </w:rPr>
        <w:t>.</w:t>
      </w:r>
      <w:r w:rsidR="00F878FA">
        <w:rPr>
          <w:rFonts w:ascii="Verdana" w:hAnsi="Verdana" w:cs="Arial"/>
          <w:sz w:val="22"/>
          <w:szCs w:val="22"/>
          <w:vertAlign w:val="superscript"/>
        </w:rPr>
        <w:t>1</w:t>
      </w:r>
      <w:proofErr w:type="gramStart"/>
      <w:r w:rsidR="00F878FA">
        <w:rPr>
          <w:rFonts w:ascii="Verdana" w:hAnsi="Verdana" w:cs="Arial"/>
          <w:sz w:val="22"/>
          <w:szCs w:val="22"/>
          <w:vertAlign w:val="superscript"/>
        </w:rPr>
        <w:t>,2</w:t>
      </w:r>
      <w:proofErr w:type="gramEnd"/>
      <w:r w:rsidRPr="008E3240">
        <w:rPr>
          <w:rFonts w:ascii="Verdana" w:hAnsi="Verdana" w:cs="Arial"/>
          <w:sz w:val="22"/>
          <w:szCs w:val="22"/>
        </w:rPr>
        <w:t xml:space="preserve"> Se excluyeron del estudio a los pacientes con el diagnóstico de enfermedades neurológicas y psiquiátricas, antecedentes de traumatismos cráneo-encefálico, enfermedades degenerativas y embarazo.</w:t>
      </w:r>
    </w:p>
    <w:p w:rsidR="00EC1527" w:rsidRPr="001660A4" w:rsidRDefault="00EC1527" w:rsidP="00EC1527">
      <w:pPr>
        <w:pStyle w:val="Sinespaciado"/>
        <w:spacing w:before="240" w:after="160" w:line="384" w:lineRule="auto"/>
        <w:jc w:val="both"/>
        <w:rPr>
          <w:rFonts w:ascii="Verdana" w:hAnsi="Verdana" w:cs="Arial"/>
          <w:sz w:val="22"/>
          <w:szCs w:val="22"/>
        </w:rPr>
      </w:pPr>
      <w:r w:rsidRPr="001660A4">
        <w:rPr>
          <w:rFonts w:ascii="Verdana" w:hAnsi="Verdana" w:cs="Arial"/>
          <w:sz w:val="22"/>
          <w:szCs w:val="22"/>
        </w:rPr>
        <w:t xml:space="preserve">Con los datos obtenidos se procedió a realizar el análisis estadístico mediante el sistema SPSS (Statistical Package Scientific Social) versión 10.6 para Windows XP. Se preservó el cumplimiento ético de las investigaciones biomédicas promulgados en la declaración de Helsinki y el informe de Belmont. </w:t>
      </w:r>
    </w:p>
    <w:p w:rsidR="00EC1527" w:rsidRPr="00257322" w:rsidRDefault="00EC1527" w:rsidP="00EC1527">
      <w:pPr>
        <w:spacing w:line="384" w:lineRule="auto"/>
        <w:jc w:val="both"/>
        <w:rPr>
          <w:rFonts w:ascii="Verdana" w:hAnsi="Verdana" w:cs="Arial"/>
          <w:color w:val="000000"/>
        </w:rPr>
      </w:pPr>
      <w:r w:rsidRPr="001660A4">
        <w:rPr>
          <w:rFonts w:ascii="Verdana" w:hAnsi="Verdana" w:cs="Arial"/>
          <w:color w:val="000000"/>
        </w:rPr>
        <w:t>El escáner utilizado en este estudio fue el SHIMATZU, de la compañía Alemana SIEMENS, mono corte. Todas las TAC se realizaron en modo axial con algoritmo interactivo de reconstrucción.</w:t>
      </w:r>
      <w:r w:rsidRPr="001660A4">
        <w:rPr>
          <w:rFonts w:ascii="Verdana" w:hAnsi="Verdana" w:cs="Arial"/>
          <w:lang w:val="es-CO"/>
        </w:rPr>
        <w:t>El paciente fue colocado en la mesa PET / TAC  y la cabeza fue centralizada y soportada para mantener una posición correcta y para evitar desenfoque de la imagen. Se tomó una imagen de exploración lateral para confirmar posicionamiento del paciente. Se dibujó una línea orbito-</w:t>
      </w:r>
      <w:proofErr w:type="spellStart"/>
      <w:r w:rsidRPr="001660A4">
        <w:rPr>
          <w:rFonts w:ascii="Verdana" w:hAnsi="Verdana" w:cs="Arial"/>
          <w:lang w:val="es-CO"/>
        </w:rPr>
        <w:t>meatal</w:t>
      </w:r>
      <w:proofErr w:type="spellEnd"/>
      <w:r w:rsidRPr="001660A4">
        <w:rPr>
          <w:rFonts w:ascii="Verdana" w:hAnsi="Verdana" w:cs="Arial"/>
          <w:lang w:val="es-CO"/>
        </w:rPr>
        <w:t xml:space="preserve"> y una línea en un se dibujó un ángulo de 15 - 20 grados y 1 cm por encima, representando la sección tomográfica más baja, que pasó a través de la base de cráneo. </w:t>
      </w:r>
    </w:p>
    <w:p w:rsidR="00EC1527" w:rsidRPr="0048373D" w:rsidRDefault="00EC1527" w:rsidP="00F533F9">
      <w:pPr>
        <w:spacing w:line="384" w:lineRule="auto"/>
        <w:jc w:val="both"/>
        <w:rPr>
          <w:rFonts w:ascii="Verdana" w:hAnsi="Verdana" w:cs="Arial"/>
        </w:rPr>
      </w:pPr>
      <w:r w:rsidRPr="001660A4">
        <w:rPr>
          <w:rFonts w:ascii="Verdana" w:hAnsi="Verdana" w:cs="Arial"/>
          <w:lang w:val="es-CO"/>
        </w:rPr>
        <w:t xml:space="preserve">El tiempo total de la TAC fue de 50-60 segundos. Cada paciente tiene entre 18 a 22 cortes con un grosor de 5 mm en este estudio.Todo el procesamiento y la medición de imágenes axiales de TAC se realizaron en la estación de trabajo, por los integrantes del equipo de investigación. Las imágenes fueron evaluadas por un especialista de segundo grado en </w:t>
      </w:r>
      <w:r w:rsidRPr="001660A4">
        <w:rPr>
          <w:rFonts w:ascii="Verdana" w:hAnsi="Verdana" w:cs="Arial"/>
          <w:lang w:val="es-CO"/>
        </w:rPr>
        <w:lastRenderedPageBreak/>
        <w:t>Imagenología.Para evaluar la aplicabilidad de los patrones de intensidad en la volumetría cerebral, se implementa un método de segmentación interactiva</w:t>
      </w:r>
      <w:r w:rsidR="00366F3C">
        <w:rPr>
          <w:rFonts w:ascii="Verdana" w:hAnsi="Verdana" w:cs="Arial"/>
          <w:lang w:val="es-CO"/>
        </w:rPr>
        <w:t>, empleando el software iMagis 3.0</w:t>
      </w:r>
    </w:p>
    <w:p w:rsidR="004266CB" w:rsidRPr="004266CB" w:rsidRDefault="004266CB" w:rsidP="004266CB">
      <w:pPr>
        <w:spacing w:line="384" w:lineRule="auto"/>
        <w:jc w:val="both"/>
        <w:rPr>
          <w:rFonts w:ascii="Verdana" w:hAnsi="Verdana" w:cs="Arial"/>
          <w:b/>
          <w:lang w:val="es-CO"/>
        </w:rPr>
      </w:pPr>
      <w:r w:rsidRPr="004266CB">
        <w:rPr>
          <w:rFonts w:ascii="Verdana" w:hAnsi="Verdana" w:cs="Arial"/>
          <w:b/>
          <w:lang w:val="es-CO"/>
        </w:rPr>
        <w:t>Análisis estadístico</w:t>
      </w:r>
    </w:p>
    <w:p w:rsidR="004266CB" w:rsidRDefault="004266CB" w:rsidP="004266CB">
      <w:pPr>
        <w:spacing w:line="384" w:lineRule="auto"/>
        <w:jc w:val="both"/>
        <w:rPr>
          <w:rFonts w:ascii="Verdana" w:hAnsi="Verdana" w:cs="Arial"/>
          <w:lang w:val="es-CO"/>
        </w:rPr>
      </w:pPr>
      <w:r w:rsidRPr="004266CB">
        <w:rPr>
          <w:rFonts w:ascii="Verdana" w:hAnsi="Verdana" w:cs="Arial"/>
          <w:lang w:val="es-CO"/>
        </w:rPr>
        <w:t>Primeramente, se caracterizó la muestra en estudio según la frecuencia absoluta y relativa de las diferentes variables. Como parte del análisis exploratorio se realizó un resumen de cada variable volumétrica,  las que se graficaron mediante histogramas y diagramas de caja y  el estadístico mediante los estadígrafos  descriptivos: media aritmética, desviación estándar, error estándar de la media, mediana y cuartiles. Se estimaron los intervalos del 95 % de confianza de la media, la desviación estándar a través del remuestreo en 1000 muestras simulando un muestreo estratificado con los grupos de edades como estratos. Se detectaron los valores atípicos mediante la prueba de Grubbs.</w:t>
      </w:r>
    </w:p>
    <w:p w:rsidR="007E0DDC" w:rsidRPr="00B7045D" w:rsidRDefault="00344DE2" w:rsidP="00B7045D">
      <w:pPr>
        <w:spacing w:after="120" w:line="384" w:lineRule="auto"/>
        <w:ind w:right="-235"/>
        <w:jc w:val="both"/>
        <w:rPr>
          <w:rFonts w:ascii="Verdana" w:eastAsiaTheme="minorEastAsia" w:hAnsi="Verdana" w:cs="Arial"/>
          <w:color w:val="auto"/>
          <w:lang w:eastAsia="es-ES"/>
        </w:rPr>
      </w:pPr>
      <w:r w:rsidRPr="00B7045D">
        <w:rPr>
          <w:rFonts w:ascii="Verdana" w:hAnsi="Verdana" w:cs="Arial"/>
        </w:rPr>
        <w:t>Se empleó un modelo lineal general multivariado, donde se incluyeron las variables volumétricas como dependientes y como factores se tuvieron en cuenta el sexo y la edad según los cinco grupos decenales definidos.</w:t>
      </w:r>
      <w:r w:rsidR="00B7045D" w:rsidRPr="00B7045D">
        <w:rPr>
          <w:rFonts w:ascii="Verdana" w:hAnsi="Verdana" w:cs="Arial"/>
        </w:rPr>
        <w:t>En el caso del encéfalo que posee un gran volumen absoluto en relación con las demás variables volumétricas estudiadas, para eliminar las diferencias individuales, poder comparar y verificar si se mantienen las diferencias obtenidas, se aplicó una estandarización según el método de corrección residual de Nordenskjöldy col,</w:t>
      </w:r>
      <w:r w:rsidR="007E0DDC">
        <w:rPr>
          <w:rFonts w:ascii="Verdana" w:hAnsi="Verdana" w:cs="Arial"/>
          <w:vertAlign w:val="superscript"/>
        </w:rPr>
        <w:t>15</w:t>
      </w:r>
      <w:r w:rsidR="00B7045D" w:rsidRPr="00B7045D">
        <w:rPr>
          <w:rFonts w:ascii="Verdana" w:hAnsi="Verdana" w:cs="Arial"/>
        </w:rPr>
        <w:t xml:space="preserve">se estableció una regresión lineal del volumen  intracraneal sobre el encefálico para obtener el coeficiente de regresión que se aplica en la siguiente formula: </w:t>
      </w:r>
      <m:oMath>
        <m:sSub>
          <m:sSubPr>
            <m:ctrlPr>
              <w:rPr>
                <w:rFonts w:ascii="Cambria Math" w:hAnsi="Cambria Math" w:cs="Arial"/>
                <w:i/>
              </w:rPr>
            </m:ctrlPr>
          </m:sSubPr>
          <m:e>
            <m:r>
              <w:rPr>
                <w:rFonts w:ascii="Cambria Math" w:hAnsi="Cambria Math" w:cs="Arial"/>
              </w:rPr>
              <m:t>VET</m:t>
            </m:r>
          </m:e>
          <m:sub>
            <m:r>
              <w:rPr>
                <w:rFonts w:ascii="Cambria Math" w:hAnsi="Cambria Math" w:cs="Arial"/>
              </w:rPr>
              <m:t>ajust</m:t>
            </m:r>
          </m:sub>
        </m:sSub>
        <m:r>
          <w:rPr>
            <w:rFonts w:ascii="Cambria Math" w:hAnsi="Cambria Math" w:cs="Arial"/>
          </w:rPr>
          <m:t>=VET-β</m:t>
        </m:r>
        <m:d>
          <m:dPr>
            <m:ctrlPr>
              <w:rPr>
                <w:rFonts w:ascii="Cambria Math" w:hAnsi="Cambria Math" w:cs="Arial"/>
                <w:i/>
              </w:rPr>
            </m:ctrlPr>
          </m:dPr>
          <m:e>
            <m:r>
              <w:rPr>
                <w:rFonts w:ascii="Cambria Math" w:hAnsi="Cambria Math" w:cs="Arial"/>
              </w:rPr>
              <m:t>VIC-</m:t>
            </m:r>
            <m:acc>
              <m:accPr>
                <m:chr m:val="̅"/>
                <m:ctrlPr>
                  <w:rPr>
                    <w:rFonts w:ascii="Cambria Math" w:hAnsi="Cambria Math" w:cs="Arial"/>
                    <w:i/>
                  </w:rPr>
                </m:ctrlPr>
              </m:accPr>
              <m:e>
                <m:r>
                  <w:rPr>
                    <w:rFonts w:ascii="Cambria Math" w:hAnsi="Cambria Math" w:cs="Arial"/>
                  </w:rPr>
                  <m:t>VIC</m:t>
                </m:r>
              </m:e>
            </m:acc>
          </m:e>
        </m:d>
      </m:oMath>
      <w:r w:rsidR="00B7045D" w:rsidRPr="00B7045D">
        <w:rPr>
          <w:rFonts w:ascii="Verdana" w:hAnsi="Verdana" w:cs="Arial"/>
        </w:rPr>
        <w:t xml:space="preserve">, </w:t>
      </w:r>
      <w:r w:rsidR="00B7045D" w:rsidRPr="00B7045D">
        <w:rPr>
          <w:rFonts w:ascii="Verdana" w:eastAsiaTheme="minorEastAsia" w:hAnsi="Verdana" w:cs="Arial"/>
          <w:color w:val="auto"/>
          <w:lang w:eastAsia="es-ES"/>
        </w:rPr>
        <w:t xml:space="preserve">donde </w:t>
      </w:r>
      <m:oMath>
        <m:sSub>
          <m:sSubPr>
            <m:ctrlPr>
              <w:rPr>
                <w:rFonts w:ascii="Cambria Math" w:eastAsiaTheme="minorEastAsia" w:hAnsi="Cambria Math" w:cs="Arial"/>
                <w:i/>
                <w:color w:val="auto"/>
                <w:lang w:eastAsia="es-ES"/>
              </w:rPr>
            </m:ctrlPr>
          </m:sSubPr>
          <m:e>
            <m:r>
              <w:rPr>
                <w:rFonts w:ascii="Cambria Math" w:eastAsiaTheme="minorEastAsia" w:hAnsi="Cambria Math" w:cs="Arial"/>
                <w:color w:val="auto"/>
                <w:lang w:eastAsia="es-ES"/>
              </w:rPr>
              <m:t>VET</m:t>
            </m:r>
          </m:e>
          <m:sub>
            <m:r>
              <w:rPr>
                <w:rFonts w:ascii="Cambria Math" w:eastAsiaTheme="minorEastAsia" w:hAnsi="Cambria Math" w:cs="Arial"/>
                <w:color w:val="auto"/>
                <w:lang w:eastAsia="es-ES"/>
              </w:rPr>
              <m:t>ajust</m:t>
            </m:r>
          </m:sub>
        </m:sSub>
      </m:oMath>
      <w:r w:rsidR="00B7045D" w:rsidRPr="00B7045D">
        <w:rPr>
          <w:rFonts w:ascii="Verdana" w:eastAsiaTheme="minorEastAsia" w:hAnsi="Verdana" w:cs="Arial"/>
          <w:color w:val="auto"/>
          <w:lang w:eastAsia="es-ES"/>
        </w:rPr>
        <w:t xml:space="preserve">  es el volumen encefálico ajustado según el volumen intracraneal calculado para cada individuo, </w:t>
      </w:r>
      <m:oMath>
        <m:r>
          <w:rPr>
            <w:rFonts w:ascii="Cambria Math" w:eastAsiaTheme="minorEastAsia" w:hAnsi="Cambria Math" w:cs="Arial"/>
            <w:color w:val="auto"/>
            <w:lang w:eastAsia="es-ES"/>
          </w:rPr>
          <m:t xml:space="preserve">VET </m:t>
        </m:r>
      </m:oMath>
      <w:r w:rsidR="00B7045D" w:rsidRPr="00B7045D">
        <w:rPr>
          <w:rFonts w:ascii="Verdana" w:eastAsiaTheme="minorEastAsia" w:hAnsi="Verdana" w:cs="Arial"/>
          <w:color w:val="auto"/>
          <w:lang w:eastAsia="es-ES"/>
        </w:rPr>
        <w:t xml:space="preserve">es el volumen encefálico observado en cada individuo, </w:t>
      </w:r>
      <m:oMath>
        <m:r>
          <w:rPr>
            <w:rFonts w:ascii="Cambria Math" w:eastAsiaTheme="minorEastAsia" w:hAnsi="Cambria Math" w:cs="Arial"/>
            <w:color w:val="auto"/>
            <w:lang w:eastAsia="es-ES"/>
          </w:rPr>
          <m:t>β</m:t>
        </m:r>
      </m:oMath>
      <w:r w:rsidR="00B7045D" w:rsidRPr="00B7045D">
        <w:rPr>
          <w:rFonts w:ascii="Verdana" w:eastAsiaTheme="minorEastAsia" w:hAnsi="Verdana" w:cs="Arial"/>
          <w:color w:val="auto"/>
          <w:lang w:eastAsia="es-ES"/>
        </w:rPr>
        <w:t xml:space="preserve"> es el coeficiente de regresión, </w:t>
      </w:r>
      <m:oMath>
        <m:r>
          <w:rPr>
            <w:rFonts w:ascii="Cambria Math" w:eastAsiaTheme="minorEastAsia" w:hAnsi="Cambria Math" w:cs="Arial"/>
            <w:color w:val="auto"/>
            <w:lang w:eastAsia="es-ES"/>
          </w:rPr>
          <m:t>VIC</m:t>
        </m:r>
      </m:oMath>
      <w:r w:rsidR="00B7045D" w:rsidRPr="00B7045D">
        <w:rPr>
          <w:rFonts w:ascii="Verdana" w:eastAsiaTheme="minorEastAsia" w:hAnsi="Verdana" w:cs="Arial"/>
          <w:color w:val="auto"/>
          <w:lang w:eastAsia="es-ES"/>
        </w:rPr>
        <w:t xml:space="preserve"> es el volumen intracraneal observado en cada individuo y </w:t>
      </w:r>
      <m:oMath>
        <m:acc>
          <m:accPr>
            <m:chr m:val="̅"/>
            <m:ctrlPr>
              <w:rPr>
                <w:rFonts w:ascii="Cambria Math" w:eastAsiaTheme="minorEastAsia" w:hAnsi="Cambria Math" w:cs="Arial"/>
                <w:i/>
                <w:color w:val="auto"/>
                <w:lang w:eastAsia="es-ES"/>
              </w:rPr>
            </m:ctrlPr>
          </m:accPr>
          <m:e>
            <m:r>
              <w:rPr>
                <w:rFonts w:ascii="Cambria Math" w:eastAsiaTheme="minorEastAsia" w:hAnsi="Cambria Math" w:cs="Arial"/>
                <w:color w:val="auto"/>
                <w:lang w:eastAsia="es-ES"/>
              </w:rPr>
              <m:t>VIC</m:t>
            </m:r>
          </m:e>
        </m:acc>
      </m:oMath>
      <w:r w:rsidR="00B7045D" w:rsidRPr="00B7045D">
        <w:rPr>
          <w:rFonts w:ascii="Verdana" w:eastAsiaTheme="minorEastAsia" w:hAnsi="Verdana" w:cs="Arial"/>
          <w:color w:val="auto"/>
          <w:lang w:eastAsia="es-ES"/>
        </w:rPr>
        <w:t xml:space="preserve"> el volumen intracraneal promedio de la población en estudio.</w:t>
      </w:r>
    </w:p>
    <w:p w:rsidR="00F33608" w:rsidRPr="00975226" w:rsidRDefault="00EC1527" w:rsidP="00EC1527">
      <w:pPr>
        <w:spacing w:line="384" w:lineRule="auto"/>
        <w:rPr>
          <w:rFonts w:ascii="Verdana" w:hAnsi="Verdana" w:cs="Arial"/>
          <w:b/>
        </w:rPr>
      </w:pPr>
      <w:r w:rsidRPr="001660A4">
        <w:rPr>
          <w:rFonts w:ascii="Verdana" w:hAnsi="Verdana" w:cs="Arial"/>
          <w:b/>
        </w:rPr>
        <w:t xml:space="preserve">Resultados  </w:t>
      </w:r>
    </w:p>
    <w:p w:rsidR="00C5389C" w:rsidRPr="00F533F9" w:rsidRDefault="00F533F9" w:rsidP="00F533F9">
      <w:pPr>
        <w:spacing w:line="384" w:lineRule="auto"/>
        <w:rPr>
          <w:rFonts w:ascii="Verdana" w:hAnsi="Verdana" w:cs="Arial"/>
          <w:b/>
        </w:rPr>
      </w:pPr>
      <w:r>
        <w:rPr>
          <w:rFonts w:ascii="Verdana" w:eastAsiaTheme="minorEastAsia" w:hAnsi="Verdana" w:cs="Arial"/>
          <w:color w:val="auto"/>
          <w:lang w:eastAsia="es-ES"/>
        </w:rPr>
        <w:t>En la tabla 1</w:t>
      </w:r>
      <w:r w:rsidR="00F33608" w:rsidRPr="00F533F9">
        <w:rPr>
          <w:rFonts w:ascii="Verdana" w:eastAsiaTheme="minorEastAsia" w:hAnsi="Verdana" w:cs="Arial"/>
          <w:color w:val="auto"/>
          <w:lang w:eastAsia="es-ES"/>
        </w:rPr>
        <w:t xml:space="preserve"> se presenta la estimación puntual de las medidas de resumen para las variables volumétricas estudiadas. Es notoria la diferencia entre la </w:t>
      </w:r>
      <w:r w:rsidR="00F33608" w:rsidRPr="00F533F9">
        <w:rPr>
          <w:rFonts w:ascii="Verdana" w:eastAsiaTheme="minorEastAsia" w:hAnsi="Verdana" w:cs="Arial"/>
          <w:color w:val="auto"/>
          <w:lang w:eastAsia="es-ES"/>
        </w:rPr>
        <w:lastRenderedPageBreak/>
        <w:t>media y la mediana en los volúmenes ventriculares, lo cual hace pensar en una asimetría izquierda (predominio de los volúmenes menores).</w:t>
      </w:r>
    </w:p>
    <w:p w:rsidR="00975226" w:rsidRPr="00F33608" w:rsidRDefault="00F33608" w:rsidP="005A7709">
      <w:pPr>
        <w:autoSpaceDE w:val="0"/>
        <w:autoSpaceDN w:val="0"/>
        <w:adjustRightInd w:val="0"/>
        <w:spacing w:after="0" w:line="408" w:lineRule="auto"/>
        <w:ind w:right="-235"/>
        <w:jc w:val="center"/>
        <w:rPr>
          <w:rFonts w:ascii="Verdana" w:eastAsiaTheme="minorEastAsia" w:hAnsi="Verdana" w:cs="Arial"/>
          <w:color w:val="auto"/>
          <w:lang w:eastAsia="es-ES"/>
        </w:rPr>
      </w:pPr>
      <w:r w:rsidRPr="00F33608">
        <w:rPr>
          <w:rFonts w:ascii="Verdana" w:eastAsiaTheme="minorEastAsia" w:hAnsi="Verdana" w:cs="Arial"/>
          <w:b/>
          <w:bCs/>
          <w:color w:val="010205"/>
          <w:lang w:eastAsia="es-ES"/>
        </w:rPr>
        <w:t xml:space="preserve">Tabla </w:t>
      </w:r>
      <w:r w:rsidRPr="00F533F9">
        <w:rPr>
          <w:rFonts w:ascii="Verdana" w:eastAsiaTheme="minorEastAsia" w:hAnsi="Verdana" w:cs="Arial"/>
          <w:b/>
          <w:bCs/>
          <w:color w:val="010205"/>
          <w:lang w:eastAsia="es-ES"/>
        </w:rPr>
        <w:t>1</w:t>
      </w:r>
      <w:r w:rsidRPr="00F33608">
        <w:rPr>
          <w:rFonts w:ascii="Verdana" w:eastAsiaTheme="minorEastAsia" w:hAnsi="Verdana" w:cs="Arial"/>
          <w:b/>
          <w:bCs/>
          <w:color w:val="010205"/>
          <w:lang w:eastAsia="es-ES"/>
        </w:rPr>
        <w:t xml:space="preserve">. </w:t>
      </w:r>
      <w:r w:rsidRPr="00F33608">
        <w:rPr>
          <w:rFonts w:ascii="Verdana" w:eastAsiaTheme="minorEastAsia" w:hAnsi="Verdana" w:cs="Arial"/>
          <w:color w:val="auto"/>
          <w:lang w:eastAsia="es-ES"/>
        </w:rPr>
        <w:t>Medidas de resumen para las variables volumétricas.</w:t>
      </w:r>
    </w:p>
    <w:tbl>
      <w:tblPr>
        <w:tblW w:w="11483" w:type="dxa"/>
        <w:tblInd w:w="-1310" w:type="dxa"/>
        <w:tblLayout w:type="fixed"/>
        <w:tblCellMar>
          <w:left w:w="0" w:type="dxa"/>
          <w:right w:w="0" w:type="dxa"/>
        </w:tblCellMar>
        <w:tblLook w:val="04A0"/>
      </w:tblPr>
      <w:tblGrid>
        <w:gridCol w:w="2694"/>
        <w:gridCol w:w="1418"/>
        <w:gridCol w:w="1275"/>
        <w:gridCol w:w="1560"/>
        <w:gridCol w:w="1559"/>
        <w:gridCol w:w="1417"/>
        <w:gridCol w:w="1560"/>
      </w:tblGrid>
      <w:tr w:rsidR="00A201CC" w:rsidRPr="00EA745A" w:rsidTr="00EA745A">
        <w:trPr>
          <w:trHeight w:val="873"/>
        </w:trPr>
        <w:tc>
          <w:tcPr>
            <w:tcW w:w="269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ind w:left="283"/>
              <w:rPr>
                <w:rFonts w:ascii="Verdana" w:hAnsi="Verdana"/>
                <w:sz w:val="20"/>
                <w:szCs w:val="20"/>
              </w:rPr>
            </w:pPr>
            <w:r w:rsidRPr="00EA745A">
              <w:rPr>
                <w:rFonts w:ascii="Verdana" w:hAnsi="Verdana"/>
                <w:b/>
                <w:bCs/>
                <w:sz w:val="20"/>
                <w:szCs w:val="20"/>
              </w:rPr>
              <w:t>Volumen (mm³)</w:t>
            </w:r>
          </w:p>
        </w:tc>
        <w:tc>
          <w:tcPr>
            <w:tcW w:w="141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Media</w:t>
            </w:r>
          </w:p>
        </w:tc>
        <w:tc>
          <w:tcPr>
            <w:tcW w:w="1275"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Error Estándar</w:t>
            </w:r>
          </w:p>
        </w:tc>
        <w:tc>
          <w:tcPr>
            <w:tcW w:w="15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Desviación Estándar</w:t>
            </w:r>
          </w:p>
        </w:tc>
        <w:tc>
          <w:tcPr>
            <w:tcW w:w="155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Primer cuartil(Q1)</w:t>
            </w:r>
          </w:p>
        </w:tc>
        <w:tc>
          <w:tcPr>
            <w:tcW w:w="141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Mediana</w:t>
            </w:r>
          </w:p>
        </w:tc>
        <w:tc>
          <w:tcPr>
            <w:tcW w:w="156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Tercer cuartil(Q3)</w:t>
            </w:r>
          </w:p>
        </w:tc>
      </w:tr>
      <w:tr w:rsidR="00A201CC" w:rsidRPr="00EA745A" w:rsidTr="00EA745A">
        <w:trPr>
          <w:trHeight w:val="361"/>
        </w:trPr>
        <w:tc>
          <w:tcPr>
            <w:tcW w:w="2694" w:type="dxa"/>
            <w:tcBorders>
              <w:top w:val="single" w:sz="8" w:space="0" w:color="000000"/>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Intracraneal</w:t>
            </w:r>
          </w:p>
        </w:tc>
        <w:tc>
          <w:tcPr>
            <w:tcW w:w="1418" w:type="dxa"/>
            <w:tcBorders>
              <w:top w:val="single" w:sz="8" w:space="0" w:color="000000"/>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1320151,0</w:t>
            </w:r>
          </w:p>
        </w:tc>
        <w:tc>
          <w:tcPr>
            <w:tcW w:w="1275" w:type="dxa"/>
            <w:tcBorders>
              <w:top w:val="single" w:sz="8" w:space="0" w:color="000000"/>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8399,0</w:t>
            </w:r>
          </w:p>
        </w:tc>
        <w:tc>
          <w:tcPr>
            <w:tcW w:w="1560" w:type="dxa"/>
            <w:tcBorders>
              <w:top w:val="single" w:sz="8" w:space="0" w:color="000000"/>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150241,0</w:t>
            </w:r>
          </w:p>
        </w:tc>
        <w:tc>
          <w:tcPr>
            <w:tcW w:w="1559" w:type="dxa"/>
            <w:tcBorders>
              <w:top w:val="single" w:sz="8" w:space="0" w:color="000000"/>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1214550,0</w:t>
            </w:r>
          </w:p>
        </w:tc>
        <w:tc>
          <w:tcPr>
            <w:tcW w:w="1417" w:type="dxa"/>
            <w:tcBorders>
              <w:top w:val="single" w:sz="8" w:space="0" w:color="000000"/>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1316126,0</w:t>
            </w:r>
          </w:p>
        </w:tc>
        <w:tc>
          <w:tcPr>
            <w:tcW w:w="1560" w:type="dxa"/>
            <w:tcBorders>
              <w:top w:val="single" w:sz="8" w:space="0" w:color="000000"/>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1407805,0</w:t>
            </w:r>
          </w:p>
        </w:tc>
      </w:tr>
      <w:tr w:rsidR="00A201CC" w:rsidRPr="00EA745A" w:rsidTr="00EA745A">
        <w:trPr>
          <w:trHeight w:val="386"/>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Espacios meníngeos</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259319,0</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5006,0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89542,0</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197580,0</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245364,0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303680,0</w:t>
            </w:r>
          </w:p>
        </w:tc>
      </w:tr>
      <w:tr w:rsidR="00A201CC" w:rsidRPr="00EA745A" w:rsidTr="00EA745A">
        <w:trPr>
          <w:trHeight w:val="379"/>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Cuarto ventrículo</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967,1</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22,9</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409,9</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648,8</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917,3</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1186,8</w:t>
            </w:r>
          </w:p>
        </w:tc>
      </w:tr>
      <w:tr w:rsidR="00A201CC" w:rsidRPr="00EA745A" w:rsidTr="00EA745A">
        <w:trPr>
          <w:trHeight w:val="385"/>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Tercer ventrículo</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1136,2</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43,2</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772,1</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604,6</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900,0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1416,2</w:t>
            </w:r>
          </w:p>
        </w:tc>
      </w:tr>
      <w:tr w:rsidR="00A201CC" w:rsidRPr="00EA745A" w:rsidTr="005A7709">
        <w:trPr>
          <w:trHeight w:val="405"/>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5A7709" w:rsidRDefault="00A201CC" w:rsidP="005A7709">
            <w:pPr>
              <w:spacing w:line="240" w:lineRule="auto"/>
              <w:rPr>
                <w:rFonts w:ascii="Verdana" w:hAnsi="Verdana"/>
                <w:sz w:val="20"/>
                <w:szCs w:val="20"/>
              </w:rPr>
            </w:pPr>
            <w:r w:rsidRPr="00EA745A">
              <w:rPr>
                <w:rFonts w:ascii="Verdana" w:hAnsi="Verdana"/>
                <w:b/>
                <w:bCs/>
                <w:sz w:val="20"/>
                <w:szCs w:val="20"/>
              </w:rPr>
              <w:t>Ventrículos laterales</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21906,0</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754,0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13483,0</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12675,0</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18479,0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5A7709" w:rsidRPr="005A7709" w:rsidRDefault="00A201CC" w:rsidP="007E0DDC">
            <w:pPr>
              <w:spacing w:line="240" w:lineRule="auto"/>
              <w:rPr>
                <w:rFonts w:ascii="Verdana" w:hAnsi="Verdana"/>
                <w:bCs/>
                <w:sz w:val="20"/>
                <w:szCs w:val="20"/>
              </w:rPr>
            </w:pPr>
            <w:r w:rsidRPr="00EA745A">
              <w:rPr>
                <w:rFonts w:ascii="Verdana" w:hAnsi="Verdana"/>
                <w:bCs/>
                <w:sz w:val="20"/>
                <w:szCs w:val="20"/>
              </w:rPr>
              <w:t>27028,0</w:t>
            </w:r>
          </w:p>
        </w:tc>
      </w:tr>
      <w:tr w:rsidR="00A201CC" w:rsidRPr="00EA745A" w:rsidTr="005A7709">
        <w:trPr>
          <w:trHeight w:val="275"/>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Ventricular derecho</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10627,0</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376,0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6717,0</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5942,0</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8674,0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13415,0</w:t>
            </w:r>
          </w:p>
        </w:tc>
      </w:tr>
      <w:tr w:rsidR="00A201CC" w:rsidRPr="00EA745A" w:rsidTr="005A7709">
        <w:trPr>
          <w:trHeight w:val="437"/>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Ventricular izquierdo</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11279,0</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423,0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7568,0</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6219,0</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9463,0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13642,0</w:t>
            </w:r>
          </w:p>
        </w:tc>
      </w:tr>
      <w:tr w:rsidR="00A201CC" w:rsidRPr="00EA745A" w:rsidTr="005A7709">
        <w:trPr>
          <w:trHeight w:val="414"/>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Encefálico total</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1084898,0</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7186,0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128549,0</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995865,0</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1092329,0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1171397,0</w:t>
            </w:r>
          </w:p>
        </w:tc>
      </w:tr>
      <w:tr w:rsidR="00A201CC" w:rsidRPr="00EA745A" w:rsidTr="005A7709">
        <w:trPr>
          <w:trHeight w:val="407"/>
        </w:trPr>
        <w:tc>
          <w:tcPr>
            <w:tcW w:w="2694"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Encefálico derecho</w:t>
            </w:r>
          </w:p>
        </w:tc>
        <w:tc>
          <w:tcPr>
            <w:tcW w:w="1418"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562706,0</w:t>
            </w:r>
          </w:p>
        </w:tc>
        <w:tc>
          <w:tcPr>
            <w:tcW w:w="1275"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3780,0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67626,0</w:t>
            </w:r>
          </w:p>
        </w:tc>
        <w:tc>
          <w:tcPr>
            <w:tcW w:w="1559"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519488,0</w:t>
            </w:r>
          </w:p>
        </w:tc>
        <w:tc>
          <w:tcPr>
            <w:tcW w:w="1417"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563694,0</w:t>
            </w:r>
          </w:p>
        </w:tc>
        <w:tc>
          <w:tcPr>
            <w:tcW w:w="1560" w:type="dxa"/>
            <w:tcBorders>
              <w:top w:val="nil"/>
              <w:left w:val="nil"/>
              <w:bottom w:val="nil"/>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606067,0</w:t>
            </w:r>
          </w:p>
        </w:tc>
      </w:tr>
      <w:tr w:rsidR="00A201CC" w:rsidRPr="00EA745A" w:rsidTr="00EA745A">
        <w:trPr>
          <w:trHeight w:val="570"/>
        </w:trPr>
        <w:tc>
          <w:tcPr>
            <w:tcW w:w="2694" w:type="dxa"/>
            <w:tcBorders>
              <w:top w:val="nil"/>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
                <w:bCs/>
                <w:sz w:val="20"/>
                <w:szCs w:val="20"/>
              </w:rPr>
              <w:t>Encefálico izquierdo</w:t>
            </w:r>
          </w:p>
        </w:tc>
        <w:tc>
          <w:tcPr>
            <w:tcW w:w="1418" w:type="dxa"/>
            <w:tcBorders>
              <w:top w:val="nil"/>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522192,0</w:t>
            </w:r>
          </w:p>
        </w:tc>
        <w:tc>
          <w:tcPr>
            <w:tcW w:w="1275" w:type="dxa"/>
            <w:tcBorders>
              <w:top w:val="nil"/>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3604,0</w:t>
            </w:r>
          </w:p>
        </w:tc>
        <w:tc>
          <w:tcPr>
            <w:tcW w:w="1560" w:type="dxa"/>
            <w:tcBorders>
              <w:top w:val="nil"/>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6446,2</w:t>
            </w:r>
          </w:p>
        </w:tc>
        <w:tc>
          <w:tcPr>
            <w:tcW w:w="1559" w:type="dxa"/>
            <w:tcBorders>
              <w:top w:val="nil"/>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480078,0</w:t>
            </w:r>
          </w:p>
        </w:tc>
        <w:tc>
          <w:tcPr>
            <w:tcW w:w="1417" w:type="dxa"/>
            <w:tcBorders>
              <w:top w:val="nil"/>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522981,0</w:t>
            </w:r>
          </w:p>
        </w:tc>
        <w:tc>
          <w:tcPr>
            <w:tcW w:w="1560" w:type="dxa"/>
            <w:tcBorders>
              <w:top w:val="nil"/>
              <w:left w:val="nil"/>
              <w:bottom w:val="single" w:sz="8" w:space="0" w:color="000000"/>
              <w:right w:val="nil"/>
            </w:tcBorders>
            <w:shd w:val="clear" w:color="auto" w:fill="auto"/>
            <w:tcMar>
              <w:top w:w="15" w:type="dxa"/>
              <w:left w:w="108" w:type="dxa"/>
              <w:bottom w:w="0" w:type="dxa"/>
              <w:right w:w="108" w:type="dxa"/>
            </w:tcMar>
            <w:hideMark/>
          </w:tcPr>
          <w:p w:rsidR="001D5A5B" w:rsidRPr="00EA745A" w:rsidRDefault="00A201CC" w:rsidP="007E0DDC">
            <w:pPr>
              <w:spacing w:line="240" w:lineRule="auto"/>
              <w:rPr>
                <w:rFonts w:ascii="Verdana" w:hAnsi="Verdana"/>
                <w:sz w:val="20"/>
                <w:szCs w:val="20"/>
              </w:rPr>
            </w:pPr>
            <w:r w:rsidRPr="00EA745A">
              <w:rPr>
                <w:rFonts w:ascii="Verdana" w:hAnsi="Verdana"/>
                <w:bCs/>
                <w:sz w:val="20"/>
                <w:szCs w:val="20"/>
              </w:rPr>
              <w:t>563341,0</w:t>
            </w:r>
          </w:p>
        </w:tc>
      </w:tr>
    </w:tbl>
    <w:p w:rsidR="00C5389C" w:rsidRDefault="00C5389C" w:rsidP="00C5389C">
      <w:pPr>
        <w:rPr>
          <w:rFonts w:ascii="Verdana" w:hAnsi="Verdana"/>
        </w:rPr>
      </w:pPr>
    </w:p>
    <w:p w:rsidR="00BF17CD" w:rsidRPr="00BF17CD" w:rsidRDefault="00BF17CD" w:rsidP="00BF17CD">
      <w:pPr>
        <w:spacing w:line="360" w:lineRule="auto"/>
        <w:jc w:val="both"/>
        <w:rPr>
          <w:rFonts w:ascii="Verdana" w:hAnsi="Verdana"/>
        </w:rPr>
      </w:pPr>
      <w:r w:rsidRPr="00BF17CD">
        <w:rPr>
          <w:rFonts w:ascii="Verdana" w:hAnsi="Verdana"/>
        </w:rPr>
        <w:t>Se detectaron valores atípicos en todas las variables volumétricas, excepto en los volúmenes encefálicos. La atipicidad se correspondió en todos los casos con el valor máximo (resaltados en rojo en la tabla 2). Los cinco sujetos marcados como atípicos en siete de los volúmenes no se desecharon del análisis posterior, sino que se verificó el valor de sus mediciones para comprobar que no se trataba de un error sistemático en la recogida del dato.</w:t>
      </w:r>
    </w:p>
    <w:p w:rsidR="00BF17CD" w:rsidRDefault="00BF17CD" w:rsidP="00BF17CD">
      <w:pPr>
        <w:spacing w:line="360" w:lineRule="auto"/>
        <w:jc w:val="both"/>
        <w:rPr>
          <w:rFonts w:ascii="Verdana" w:hAnsi="Verdana"/>
        </w:rPr>
      </w:pPr>
      <w:r w:rsidRPr="00BF17CD">
        <w:rPr>
          <w:rFonts w:ascii="Verdana" w:hAnsi="Verdana"/>
          <w:b/>
          <w:bCs/>
        </w:rPr>
        <w:t xml:space="preserve">Tabla 2. </w:t>
      </w:r>
      <w:r w:rsidRPr="00BF17CD">
        <w:rPr>
          <w:rFonts w:ascii="Verdana" w:hAnsi="Verdana"/>
        </w:rPr>
        <w:t>Estadísticos para la detección de valores atípicos en las variables volumétricas.</w:t>
      </w:r>
    </w:p>
    <w:p w:rsidR="005A7709" w:rsidRPr="00BF17CD" w:rsidRDefault="005A7709" w:rsidP="00BF17CD">
      <w:pPr>
        <w:spacing w:line="360" w:lineRule="auto"/>
        <w:jc w:val="both"/>
        <w:rPr>
          <w:rFonts w:ascii="Verdana" w:hAnsi="Verdana"/>
        </w:rPr>
      </w:pPr>
    </w:p>
    <w:tbl>
      <w:tblPr>
        <w:tblpPr w:leftFromText="141" w:rightFromText="141" w:vertAnchor="text" w:horzAnchor="margin" w:tblpXSpec="center" w:tblpY="333"/>
        <w:tblW w:w="10657" w:type="dxa"/>
        <w:tblLayout w:type="fixed"/>
        <w:tblCellMar>
          <w:left w:w="0" w:type="dxa"/>
          <w:right w:w="0" w:type="dxa"/>
        </w:tblCellMar>
        <w:tblLook w:val="04A0"/>
      </w:tblPr>
      <w:tblGrid>
        <w:gridCol w:w="2471"/>
        <w:gridCol w:w="1228"/>
        <w:gridCol w:w="1364"/>
        <w:gridCol w:w="1228"/>
        <w:gridCol w:w="1228"/>
        <w:gridCol w:w="1852"/>
        <w:gridCol w:w="1286"/>
      </w:tblGrid>
      <w:tr w:rsidR="00BF17CD" w:rsidRPr="00EA745A" w:rsidTr="005A7709">
        <w:trPr>
          <w:trHeight w:val="681"/>
        </w:trPr>
        <w:tc>
          <w:tcPr>
            <w:tcW w:w="247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EA745A">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Volumen (mm³)</w:t>
            </w:r>
          </w:p>
        </w:tc>
        <w:tc>
          <w:tcPr>
            <w:tcW w:w="122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EA745A">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Media</w:t>
            </w:r>
          </w:p>
        </w:tc>
        <w:tc>
          <w:tcPr>
            <w:tcW w:w="136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EA745A">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Desviación Estándar</w:t>
            </w:r>
          </w:p>
        </w:tc>
        <w:tc>
          <w:tcPr>
            <w:tcW w:w="122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EA745A">
            <w:pPr>
              <w:spacing w:after="20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Mínimo</w:t>
            </w:r>
          </w:p>
        </w:tc>
        <w:tc>
          <w:tcPr>
            <w:tcW w:w="1228"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EA745A">
            <w:pPr>
              <w:spacing w:after="20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Máximo</w:t>
            </w:r>
          </w:p>
        </w:tc>
        <w:tc>
          <w:tcPr>
            <w:tcW w:w="1852"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hideMark/>
          </w:tcPr>
          <w:p w:rsidR="00BF17CD" w:rsidRPr="00EA745A" w:rsidRDefault="00BF17CD" w:rsidP="00EA745A">
            <w:pPr>
              <w:spacing w:after="20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 xml:space="preserve">Valor de </w:t>
            </w:r>
            <w:r w:rsidR="00EA745A">
              <w:rPr>
                <w:rFonts w:ascii="Verdana" w:eastAsia="Verdana" w:hAnsi="Verdana" w:cs="Arial"/>
                <w:b/>
                <w:bCs/>
                <w:color w:val="000000" w:themeColor="text1"/>
                <w:kern w:val="24"/>
                <w:sz w:val="20"/>
                <w:szCs w:val="20"/>
                <w:lang w:eastAsia="es-ES"/>
              </w:rPr>
              <w:t>Grubbs</w:t>
            </w:r>
          </w:p>
          <w:p w:rsidR="00975226" w:rsidRPr="00EA745A" w:rsidRDefault="00975226" w:rsidP="00EA745A">
            <w:pPr>
              <w:spacing w:after="200" w:line="240" w:lineRule="auto"/>
              <w:rPr>
                <w:rFonts w:ascii="Arial" w:eastAsia="Times New Roman" w:hAnsi="Arial" w:cs="Arial"/>
                <w:color w:val="auto"/>
                <w:sz w:val="20"/>
                <w:szCs w:val="20"/>
                <w:lang w:eastAsia="es-ES"/>
              </w:rPr>
            </w:pPr>
          </w:p>
        </w:tc>
        <w:tc>
          <w:tcPr>
            <w:tcW w:w="1286"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EA745A">
            <w:pPr>
              <w:spacing w:after="20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p</w:t>
            </w:r>
          </w:p>
        </w:tc>
      </w:tr>
      <w:tr w:rsidR="00BF17CD" w:rsidRPr="00EA745A" w:rsidTr="00EA745A">
        <w:trPr>
          <w:trHeight w:val="330"/>
        </w:trPr>
        <w:tc>
          <w:tcPr>
            <w:tcW w:w="2471" w:type="dxa"/>
            <w:tcBorders>
              <w:top w:val="single" w:sz="8" w:space="0" w:color="000000"/>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Intracraneal</w:t>
            </w:r>
          </w:p>
        </w:tc>
        <w:tc>
          <w:tcPr>
            <w:tcW w:w="1228" w:type="dxa"/>
            <w:tcBorders>
              <w:top w:val="single" w:sz="8" w:space="0" w:color="000000"/>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1320151</w:t>
            </w:r>
          </w:p>
        </w:tc>
        <w:tc>
          <w:tcPr>
            <w:tcW w:w="1364" w:type="dxa"/>
            <w:tcBorders>
              <w:top w:val="single" w:sz="8" w:space="0" w:color="000000"/>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150241</w:t>
            </w:r>
          </w:p>
        </w:tc>
        <w:tc>
          <w:tcPr>
            <w:tcW w:w="1228" w:type="dxa"/>
            <w:tcBorders>
              <w:top w:val="single" w:sz="8" w:space="0" w:color="000000"/>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819357</w:t>
            </w:r>
          </w:p>
        </w:tc>
        <w:tc>
          <w:tcPr>
            <w:tcW w:w="1228" w:type="dxa"/>
            <w:tcBorders>
              <w:top w:val="single" w:sz="8" w:space="0" w:color="000000"/>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C00000"/>
                <w:kern w:val="24"/>
                <w:sz w:val="20"/>
                <w:szCs w:val="20"/>
                <w:lang w:eastAsia="es-ES"/>
              </w:rPr>
              <w:t>1886125</w:t>
            </w:r>
          </w:p>
        </w:tc>
        <w:tc>
          <w:tcPr>
            <w:tcW w:w="1852" w:type="dxa"/>
            <w:tcBorders>
              <w:top w:val="single" w:sz="8" w:space="0" w:color="000000"/>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3,77</w:t>
            </w:r>
          </w:p>
        </w:tc>
        <w:tc>
          <w:tcPr>
            <w:tcW w:w="1286" w:type="dxa"/>
            <w:tcBorders>
              <w:top w:val="single" w:sz="8" w:space="0" w:color="000000"/>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0,045</w:t>
            </w:r>
          </w:p>
        </w:tc>
      </w:tr>
      <w:tr w:rsidR="00BF17CD" w:rsidRPr="00EA745A" w:rsidTr="00EA745A">
        <w:trPr>
          <w:trHeight w:val="386"/>
        </w:trPr>
        <w:tc>
          <w:tcPr>
            <w:tcW w:w="2471"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Espacios meníngeos</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259319</w:t>
            </w:r>
          </w:p>
        </w:tc>
        <w:tc>
          <w:tcPr>
            <w:tcW w:w="1364"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89542</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53794</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C00000"/>
                <w:kern w:val="24"/>
                <w:sz w:val="20"/>
                <w:szCs w:val="20"/>
                <w:lang w:eastAsia="es-ES"/>
              </w:rPr>
              <w:t>802604</w:t>
            </w:r>
          </w:p>
        </w:tc>
        <w:tc>
          <w:tcPr>
            <w:tcW w:w="1852"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6,07</w:t>
            </w:r>
          </w:p>
        </w:tc>
        <w:tc>
          <w:tcPr>
            <w:tcW w:w="1286"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0,000</w:t>
            </w:r>
          </w:p>
        </w:tc>
      </w:tr>
      <w:tr w:rsidR="00BF17CD" w:rsidRPr="00EA745A" w:rsidTr="00EA745A">
        <w:trPr>
          <w:trHeight w:val="350"/>
        </w:trPr>
        <w:tc>
          <w:tcPr>
            <w:tcW w:w="2471"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lastRenderedPageBreak/>
              <w:t>Cuarto ventrículo</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967,1</w:t>
            </w:r>
          </w:p>
        </w:tc>
        <w:tc>
          <w:tcPr>
            <w:tcW w:w="1364"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409,9</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270,6</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C00000"/>
                <w:kern w:val="24"/>
                <w:sz w:val="20"/>
                <w:szCs w:val="20"/>
                <w:lang w:eastAsia="es-ES"/>
              </w:rPr>
              <w:t>2552,3</w:t>
            </w:r>
          </w:p>
        </w:tc>
        <w:tc>
          <w:tcPr>
            <w:tcW w:w="1852"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3,87</w:t>
            </w:r>
          </w:p>
        </w:tc>
        <w:tc>
          <w:tcPr>
            <w:tcW w:w="1286"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0,029</w:t>
            </w:r>
          </w:p>
        </w:tc>
      </w:tr>
      <w:tr w:rsidR="00BF17CD" w:rsidRPr="00EA745A" w:rsidTr="00EA745A">
        <w:trPr>
          <w:trHeight w:val="329"/>
        </w:trPr>
        <w:tc>
          <w:tcPr>
            <w:tcW w:w="2471"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Tercer ventrículo</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1136,2</w:t>
            </w:r>
          </w:p>
        </w:tc>
        <w:tc>
          <w:tcPr>
            <w:tcW w:w="1364"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772,1</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181,0</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C00000"/>
                <w:kern w:val="24"/>
                <w:sz w:val="20"/>
                <w:szCs w:val="20"/>
                <w:lang w:eastAsia="es-ES"/>
              </w:rPr>
              <w:t>4161,6</w:t>
            </w:r>
          </w:p>
        </w:tc>
        <w:tc>
          <w:tcPr>
            <w:tcW w:w="1852"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3,92</w:t>
            </w:r>
          </w:p>
        </w:tc>
        <w:tc>
          <w:tcPr>
            <w:tcW w:w="1286"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0,024</w:t>
            </w:r>
          </w:p>
        </w:tc>
      </w:tr>
      <w:tr w:rsidR="00BF17CD" w:rsidRPr="00EA745A" w:rsidTr="00EA745A">
        <w:trPr>
          <w:trHeight w:val="434"/>
        </w:trPr>
        <w:tc>
          <w:tcPr>
            <w:tcW w:w="2471"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Ventrículos laterales</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21906</w:t>
            </w:r>
          </w:p>
        </w:tc>
        <w:tc>
          <w:tcPr>
            <w:tcW w:w="1364"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13483</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3949</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C00000"/>
                <w:kern w:val="24"/>
                <w:sz w:val="20"/>
                <w:szCs w:val="20"/>
                <w:lang w:eastAsia="es-ES"/>
              </w:rPr>
              <w:t>99533</w:t>
            </w:r>
          </w:p>
        </w:tc>
        <w:tc>
          <w:tcPr>
            <w:tcW w:w="1852"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5,76</w:t>
            </w:r>
          </w:p>
        </w:tc>
        <w:tc>
          <w:tcPr>
            <w:tcW w:w="1286"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0,000</w:t>
            </w:r>
          </w:p>
        </w:tc>
      </w:tr>
      <w:tr w:rsidR="00BF17CD" w:rsidRPr="00EA745A" w:rsidTr="00EA745A">
        <w:trPr>
          <w:trHeight w:val="397"/>
        </w:trPr>
        <w:tc>
          <w:tcPr>
            <w:tcW w:w="2471"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Ventricular derecho</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10627</w:t>
            </w:r>
          </w:p>
        </w:tc>
        <w:tc>
          <w:tcPr>
            <w:tcW w:w="1364"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6717</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1509</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C00000"/>
                <w:kern w:val="24"/>
                <w:sz w:val="20"/>
                <w:szCs w:val="20"/>
                <w:lang w:eastAsia="es-ES"/>
              </w:rPr>
              <w:t>43915</w:t>
            </w:r>
          </w:p>
        </w:tc>
        <w:tc>
          <w:tcPr>
            <w:tcW w:w="1852"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4,96</w:t>
            </w:r>
          </w:p>
        </w:tc>
        <w:tc>
          <w:tcPr>
            <w:tcW w:w="1286"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0,000</w:t>
            </w:r>
          </w:p>
        </w:tc>
      </w:tr>
      <w:tr w:rsidR="00BF17CD" w:rsidRPr="00EA745A" w:rsidTr="00EA745A">
        <w:trPr>
          <w:trHeight w:val="375"/>
        </w:trPr>
        <w:tc>
          <w:tcPr>
            <w:tcW w:w="2471"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 xml:space="preserve"> Ventricular izquierdo</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11279</w:t>
            </w:r>
          </w:p>
        </w:tc>
        <w:tc>
          <w:tcPr>
            <w:tcW w:w="1364"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7568</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1375</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C00000"/>
                <w:kern w:val="24"/>
                <w:sz w:val="20"/>
                <w:szCs w:val="20"/>
                <w:lang w:eastAsia="es-ES"/>
              </w:rPr>
              <w:t>66921</w:t>
            </w:r>
          </w:p>
        </w:tc>
        <w:tc>
          <w:tcPr>
            <w:tcW w:w="1852"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ind w:right="1346"/>
              <w:jc w:val="center"/>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7,35</w:t>
            </w:r>
          </w:p>
        </w:tc>
        <w:tc>
          <w:tcPr>
            <w:tcW w:w="1286"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0,000</w:t>
            </w:r>
          </w:p>
        </w:tc>
      </w:tr>
      <w:tr w:rsidR="00BF17CD" w:rsidRPr="00EA745A" w:rsidTr="00EA745A">
        <w:trPr>
          <w:trHeight w:val="340"/>
        </w:trPr>
        <w:tc>
          <w:tcPr>
            <w:tcW w:w="2471"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Encefálico total</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1084898</w:t>
            </w:r>
          </w:p>
        </w:tc>
        <w:tc>
          <w:tcPr>
            <w:tcW w:w="1364"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128549</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707662</w:t>
            </w:r>
          </w:p>
        </w:tc>
        <w:tc>
          <w:tcPr>
            <w:tcW w:w="1228"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1469137</w:t>
            </w:r>
          </w:p>
        </w:tc>
        <w:tc>
          <w:tcPr>
            <w:tcW w:w="1852"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2,99</w:t>
            </w:r>
          </w:p>
        </w:tc>
        <w:tc>
          <w:tcPr>
            <w:tcW w:w="1286" w:type="dxa"/>
            <w:tcBorders>
              <w:top w:val="nil"/>
              <w:left w:val="nil"/>
              <w:bottom w:val="nil"/>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0,842</w:t>
            </w:r>
          </w:p>
        </w:tc>
      </w:tr>
      <w:tr w:rsidR="00BF17CD" w:rsidRPr="00EA745A" w:rsidTr="00EA745A">
        <w:trPr>
          <w:trHeight w:val="290"/>
        </w:trPr>
        <w:tc>
          <w:tcPr>
            <w:tcW w:w="2471"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Encefálico derecho</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562706</w:t>
            </w:r>
          </w:p>
        </w:tc>
        <w:tc>
          <w:tcPr>
            <w:tcW w:w="1364"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67626</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368518</w:t>
            </w:r>
          </w:p>
        </w:tc>
        <w:tc>
          <w:tcPr>
            <w:tcW w:w="1228"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787236</w:t>
            </w:r>
          </w:p>
        </w:tc>
        <w:tc>
          <w:tcPr>
            <w:tcW w:w="1852"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3,32</w:t>
            </w:r>
          </w:p>
        </w:tc>
        <w:tc>
          <w:tcPr>
            <w:tcW w:w="1286" w:type="dxa"/>
            <w:tcBorders>
              <w:top w:val="nil"/>
              <w:left w:val="nil"/>
              <w:bottom w:val="nil"/>
              <w:right w:val="nil"/>
            </w:tcBorders>
            <w:shd w:val="clear" w:color="auto" w:fill="E7E7E7"/>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0,262</w:t>
            </w:r>
          </w:p>
        </w:tc>
      </w:tr>
      <w:tr w:rsidR="00BF17CD" w:rsidRPr="00EA745A" w:rsidTr="00EA745A">
        <w:trPr>
          <w:trHeight w:val="466"/>
        </w:trPr>
        <w:tc>
          <w:tcPr>
            <w:tcW w:w="2471" w:type="dxa"/>
            <w:tcBorders>
              <w:top w:val="nil"/>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7E0DDC">
            <w:pPr>
              <w:spacing w:after="0" w:line="240" w:lineRule="auto"/>
              <w:rPr>
                <w:rFonts w:ascii="Arial" w:eastAsia="Times New Roman" w:hAnsi="Arial" w:cs="Arial"/>
                <w:color w:val="auto"/>
                <w:sz w:val="20"/>
                <w:szCs w:val="20"/>
                <w:lang w:eastAsia="es-ES"/>
              </w:rPr>
            </w:pPr>
            <w:r w:rsidRPr="00EA745A">
              <w:rPr>
                <w:rFonts w:ascii="Verdana" w:eastAsia="Verdana" w:hAnsi="Verdana" w:cs="Arial"/>
                <w:b/>
                <w:bCs/>
                <w:color w:val="000000" w:themeColor="text1"/>
                <w:kern w:val="24"/>
                <w:sz w:val="20"/>
                <w:szCs w:val="20"/>
                <w:lang w:eastAsia="es-ES"/>
              </w:rPr>
              <w:t>Encefálico izquierdo</w:t>
            </w:r>
          </w:p>
        </w:tc>
        <w:tc>
          <w:tcPr>
            <w:tcW w:w="1228" w:type="dxa"/>
            <w:tcBorders>
              <w:top w:val="nil"/>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522192</w:t>
            </w:r>
          </w:p>
        </w:tc>
        <w:tc>
          <w:tcPr>
            <w:tcW w:w="1364" w:type="dxa"/>
            <w:tcBorders>
              <w:top w:val="nil"/>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64462</w:t>
            </w:r>
          </w:p>
        </w:tc>
        <w:tc>
          <w:tcPr>
            <w:tcW w:w="1228" w:type="dxa"/>
            <w:tcBorders>
              <w:top w:val="nil"/>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336456</w:t>
            </w:r>
          </w:p>
        </w:tc>
        <w:tc>
          <w:tcPr>
            <w:tcW w:w="1228" w:type="dxa"/>
            <w:tcBorders>
              <w:top w:val="nil"/>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729540</w:t>
            </w:r>
          </w:p>
        </w:tc>
        <w:tc>
          <w:tcPr>
            <w:tcW w:w="1852" w:type="dxa"/>
            <w:tcBorders>
              <w:top w:val="nil"/>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3,22</w:t>
            </w:r>
          </w:p>
        </w:tc>
        <w:tc>
          <w:tcPr>
            <w:tcW w:w="1286" w:type="dxa"/>
            <w:tcBorders>
              <w:top w:val="nil"/>
              <w:left w:val="nil"/>
              <w:bottom w:val="single" w:sz="8" w:space="0" w:color="000000"/>
              <w:right w:val="nil"/>
            </w:tcBorders>
            <w:shd w:val="clear" w:color="auto" w:fill="auto"/>
            <w:tcMar>
              <w:top w:w="15" w:type="dxa"/>
              <w:left w:w="15" w:type="dxa"/>
              <w:bottom w:w="0" w:type="dxa"/>
              <w:right w:w="15" w:type="dxa"/>
            </w:tcMar>
            <w:hideMark/>
          </w:tcPr>
          <w:p w:rsidR="00975226" w:rsidRPr="00EA745A" w:rsidRDefault="00BF17CD" w:rsidP="007E0DDC">
            <w:pPr>
              <w:spacing w:after="200" w:line="240" w:lineRule="auto"/>
              <w:rPr>
                <w:rFonts w:ascii="Arial" w:eastAsia="Times New Roman" w:hAnsi="Arial" w:cs="Arial"/>
                <w:color w:val="auto"/>
                <w:sz w:val="20"/>
                <w:szCs w:val="20"/>
                <w:lang w:eastAsia="es-ES"/>
              </w:rPr>
            </w:pPr>
            <w:r w:rsidRPr="00EA745A">
              <w:rPr>
                <w:rFonts w:ascii="Verdana" w:eastAsia="Verdana" w:hAnsi="Verdana" w:cs="Arial"/>
                <w:color w:val="000000" w:themeColor="text1"/>
                <w:kern w:val="24"/>
                <w:sz w:val="20"/>
                <w:szCs w:val="20"/>
                <w:lang w:eastAsia="es-ES"/>
              </w:rPr>
              <w:t>0,382</w:t>
            </w:r>
          </w:p>
        </w:tc>
      </w:tr>
    </w:tbl>
    <w:p w:rsidR="00BF17CD" w:rsidRDefault="00BF17CD" w:rsidP="00975226">
      <w:pPr>
        <w:spacing w:line="360" w:lineRule="auto"/>
        <w:jc w:val="both"/>
        <w:rPr>
          <w:rFonts w:ascii="Verdana" w:hAnsi="Verdana"/>
        </w:rPr>
      </w:pPr>
    </w:p>
    <w:p w:rsidR="000C5F4F" w:rsidRPr="00BF17CD" w:rsidRDefault="00975226" w:rsidP="00BF17CD">
      <w:pPr>
        <w:spacing w:line="360" w:lineRule="auto"/>
        <w:jc w:val="both"/>
        <w:rPr>
          <w:rFonts w:ascii="Verdana" w:hAnsi="Verdana"/>
        </w:rPr>
      </w:pPr>
      <w:r w:rsidRPr="00975226">
        <w:rPr>
          <w:rFonts w:ascii="Verdana" w:hAnsi="Verdana"/>
        </w:rPr>
        <w:t xml:space="preserve">La tabla 3 muestra un resumen de los principales estadísticos según sexo. En todos los volúmenes analizados se aprecian diferencias significativas en cuanto al sexo, excepto en los volúmenes totales de los ventrículos laterales y en los ventriculares izquierdos, al ser los volúmenes en el sexo masculino significativamente mayores que en el femenino. </w:t>
      </w:r>
    </w:p>
    <w:p w:rsidR="00C5389C" w:rsidRPr="00F533F9" w:rsidRDefault="00F33608" w:rsidP="00F533F9">
      <w:pPr>
        <w:spacing w:after="200" w:line="408" w:lineRule="auto"/>
        <w:ind w:right="615"/>
        <w:jc w:val="both"/>
        <w:rPr>
          <w:rFonts w:ascii="Verdana" w:eastAsiaTheme="minorEastAsia" w:hAnsi="Verdana" w:cs="Arial"/>
          <w:color w:val="010205"/>
          <w:lang w:eastAsia="es-ES"/>
        </w:rPr>
      </w:pPr>
      <w:r w:rsidRPr="00F33608">
        <w:rPr>
          <w:rFonts w:ascii="Verdana" w:eastAsiaTheme="minorEastAsia" w:hAnsi="Verdana" w:cs="Arial"/>
          <w:b/>
          <w:color w:val="auto"/>
          <w:lang w:eastAsia="es-ES"/>
        </w:rPr>
        <w:t xml:space="preserve">Tabla </w:t>
      </w:r>
      <w:r w:rsidR="00975226">
        <w:rPr>
          <w:rFonts w:ascii="Verdana" w:eastAsiaTheme="minorEastAsia" w:hAnsi="Verdana" w:cs="Arial"/>
          <w:b/>
          <w:color w:val="auto"/>
          <w:lang w:eastAsia="es-ES"/>
        </w:rPr>
        <w:t>3</w:t>
      </w:r>
      <w:r w:rsidRPr="00F33608">
        <w:rPr>
          <w:rFonts w:ascii="Verdana" w:eastAsiaTheme="minorEastAsia" w:hAnsi="Verdana" w:cs="Arial"/>
          <w:b/>
          <w:color w:val="auto"/>
          <w:lang w:eastAsia="es-ES"/>
        </w:rPr>
        <w:t xml:space="preserve">. </w:t>
      </w:r>
      <w:r w:rsidRPr="00F33608">
        <w:rPr>
          <w:rFonts w:ascii="Verdana" w:eastAsiaTheme="minorEastAsia" w:hAnsi="Verdana" w:cs="Arial"/>
          <w:color w:val="auto"/>
          <w:lang w:eastAsia="es-ES"/>
        </w:rPr>
        <w:t>Medidas de resumen para cada volumen según sexo por</w:t>
      </w:r>
      <w:r w:rsidRPr="00F33608">
        <w:rPr>
          <w:rFonts w:ascii="Verdana" w:eastAsiaTheme="minorEastAsia" w:hAnsi="Verdana" w:cs="Arial"/>
          <w:color w:val="010205"/>
          <w:lang w:eastAsia="es-ES"/>
        </w:rPr>
        <w:t xml:space="preserve"> Regresión de mínimos cuadrados ponderada por índice craneal.</w:t>
      </w:r>
    </w:p>
    <w:tbl>
      <w:tblPr>
        <w:tblW w:w="10131" w:type="dxa"/>
        <w:tblInd w:w="-643" w:type="dxa"/>
        <w:tblCellMar>
          <w:left w:w="0" w:type="dxa"/>
          <w:right w:w="0" w:type="dxa"/>
        </w:tblCellMar>
        <w:tblLook w:val="04A0"/>
      </w:tblPr>
      <w:tblGrid>
        <w:gridCol w:w="2694"/>
        <w:gridCol w:w="1544"/>
        <w:gridCol w:w="1261"/>
        <w:gridCol w:w="1343"/>
        <w:gridCol w:w="1644"/>
        <w:gridCol w:w="1645"/>
      </w:tblGrid>
      <w:tr w:rsidR="000C5F4F" w:rsidRPr="000C5F4F" w:rsidTr="000C5F4F">
        <w:trPr>
          <w:trHeight w:val="369"/>
        </w:trPr>
        <w:tc>
          <w:tcPr>
            <w:tcW w:w="2694" w:type="dxa"/>
            <w:vMerge w:val="restart"/>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Volumen (mm³)</w:t>
            </w:r>
          </w:p>
        </w:tc>
        <w:tc>
          <w:tcPr>
            <w:tcW w:w="1544" w:type="dxa"/>
            <w:vMerge w:val="restart"/>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Sexo</w:t>
            </w:r>
          </w:p>
        </w:tc>
        <w:tc>
          <w:tcPr>
            <w:tcW w:w="1261" w:type="dxa"/>
            <w:vMerge w:val="restart"/>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Media</w:t>
            </w:r>
          </w:p>
        </w:tc>
        <w:tc>
          <w:tcPr>
            <w:tcW w:w="1343" w:type="dxa"/>
            <w:vMerge w:val="restart"/>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0C5F4F" w:rsidRPr="000C5F4F" w:rsidRDefault="000C5F4F" w:rsidP="005A7709">
            <w:pPr>
              <w:spacing w:line="192" w:lineRule="auto"/>
              <w:rPr>
                <w:rFonts w:ascii="Verdana" w:hAnsi="Verdana"/>
                <w:sz w:val="20"/>
                <w:szCs w:val="20"/>
              </w:rPr>
            </w:pPr>
            <w:r w:rsidRPr="000C5F4F">
              <w:rPr>
                <w:rFonts w:ascii="Verdana" w:hAnsi="Verdana"/>
                <w:b/>
                <w:bCs/>
                <w:sz w:val="20"/>
                <w:szCs w:val="20"/>
              </w:rPr>
              <w:t>Error Estándar</w:t>
            </w:r>
          </w:p>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 </w:t>
            </w:r>
          </w:p>
        </w:tc>
        <w:tc>
          <w:tcPr>
            <w:tcW w:w="3289" w:type="dxa"/>
            <w:gridSpan w:val="2"/>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Intervalo de confianza al 95 %</w:t>
            </w:r>
          </w:p>
        </w:tc>
      </w:tr>
      <w:tr w:rsidR="000C5F4F" w:rsidRPr="000C5F4F" w:rsidTr="000C5F4F">
        <w:trPr>
          <w:trHeight w:val="591"/>
        </w:trPr>
        <w:tc>
          <w:tcPr>
            <w:tcW w:w="2694" w:type="dxa"/>
            <w:vMerge/>
            <w:tcBorders>
              <w:top w:val="single" w:sz="8" w:space="0" w:color="000000"/>
              <w:left w:val="nil"/>
              <w:bottom w:val="single" w:sz="8" w:space="0" w:color="000000"/>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vMerge/>
            <w:tcBorders>
              <w:top w:val="single" w:sz="8" w:space="0" w:color="000000"/>
              <w:left w:val="nil"/>
              <w:bottom w:val="single" w:sz="8" w:space="0" w:color="000000"/>
              <w:right w:val="nil"/>
            </w:tcBorders>
            <w:vAlign w:val="center"/>
            <w:hideMark/>
          </w:tcPr>
          <w:p w:rsidR="000C5F4F" w:rsidRPr="000C5F4F" w:rsidRDefault="000C5F4F" w:rsidP="005A7709">
            <w:pPr>
              <w:spacing w:line="192" w:lineRule="auto"/>
              <w:rPr>
                <w:rFonts w:ascii="Verdana" w:hAnsi="Verdana"/>
                <w:sz w:val="20"/>
                <w:szCs w:val="20"/>
              </w:rPr>
            </w:pPr>
          </w:p>
        </w:tc>
        <w:tc>
          <w:tcPr>
            <w:tcW w:w="0" w:type="auto"/>
            <w:vMerge/>
            <w:tcBorders>
              <w:top w:val="single" w:sz="8" w:space="0" w:color="000000"/>
              <w:left w:val="nil"/>
              <w:bottom w:val="single" w:sz="8" w:space="0" w:color="000000"/>
              <w:right w:val="nil"/>
            </w:tcBorders>
            <w:vAlign w:val="center"/>
            <w:hideMark/>
          </w:tcPr>
          <w:p w:rsidR="000C5F4F" w:rsidRPr="000C5F4F" w:rsidRDefault="000C5F4F" w:rsidP="005A7709">
            <w:pPr>
              <w:spacing w:line="192" w:lineRule="auto"/>
              <w:rPr>
                <w:rFonts w:ascii="Verdana" w:hAnsi="Verdana"/>
                <w:sz w:val="20"/>
                <w:szCs w:val="20"/>
              </w:rPr>
            </w:pPr>
          </w:p>
        </w:tc>
        <w:tc>
          <w:tcPr>
            <w:tcW w:w="0" w:type="auto"/>
            <w:vMerge/>
            <w:tcBorders>
              <w:top w:val="single" w:sz="8" w:space="0" w:color="000000"/>
              <w:left w:val="nil"/>
              <w:bottom w:val="single" w:sz="8" w:space="0" w:color="000000"/>
              <w:right w:val="nil"/>
            </w:tcBorders>
            <w:vAlign w:val="center"/>
            <w:hideMark/>
          </w:tcPr>
          <w:p w:rsidR="000C5F4F" w:rsidRPr="000C5F4F" w:rsidRDefault="000C5F4F" w:rsidP="005A7709">
            <w:pPr>
              <w:spacing w:line="192" w:lineRule="auto"/>
              <w:rPr>
                <w:rFonts w:ascii="Verdana" w:hAnsi="Verdana"/>
                <w:sz w:val="20"/>
                <w:szCs w:val="20"/>
              </w:rPr>
            </w:pPr>
          </w:p>
        </w:tc>
        <w:tc>
          <w:tcPr>
            <w:tcW w:w="1644" w:type="dxa"/>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Límite inferior</w:t>
            </w:r>
          </w:p>
        </w:tc>
        <w:tc>
          <w:tcPr>
            <w:tcW w:w="1645" w:type="dxa"/>
            <w:tcBorders>
              <w:top w:val="single" w:sz="8" w:space="0" w:color="000000"/>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Límite superior</w:t>
            </w:r>
          </w:p>
        </w:tc>
      </w:tr>
      <w:tr w:rsidR="000C5F4F" w:rsidRPr="000C5F4F" w:rsidTr="005A7709">
        <w:trPr>
          <w:trHeight w:val="373"/>
        </w:trPr>
        <w:tc>
          <w:tcPr>
            <w:tcW w:w="2694" w:type="dxa"/>
            <w:vMerge w:val="restart"/>
            <w:tcBorders>
              <w:top w:val="single" w:sz="8" w:space="0" w:color="000000"/>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Intracraneal</w:t>
            </w:r>
          </w:p>
        </w:tc>
        <w:tc>
          <w:tcPr>
            <w:tcW w:w="1544" w:type="dxa"/>
            <w:tcBorders>
              <w:top w:val="single" w:sz="8" w:space="0" w:color="000000"/>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single" w:sz="8" w:space="0" w:color="000000"/>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1255921,6</w:t>
            </w:r>
          </w:p>
        </w:tc>
        <w:tc>
          <w:tcPr>
            <w:tcW w:w="1343" w:type="dxa"/>
            <w:tcBorders>
              <w:top w:val="single" w:sz="8" w:space="0" w:color="000000"/>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10895,2</w:t>
            </w:r>
          </w:p>
        </w:tc>
        <w:tc>
          <w:tcPr>
            <w:tcW w:w="1644" w:type="dxa"/>
            <w:tcBorders>
              <w:top w:val="single" w:sz="8" w:space="0" w:color="000000"/>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1234483,8</w:t>
            </w:r>
          </w:p>
        </w:tc>
        <w:tc>
          <w:tcPr>
            <w:tcW w:w="1645" w:type="dxa"/>
            <w:tcBorders>
              <w:top w:val="single" w:sz="8" w:space="0" w:color="000000"/>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1277359,4</w:t>
            </w:r>
          </w:p>
        </w:tc>
      </w:tr>
      <w:tr w:rsidR="000C5F4F" w:rsidRPr="000C5F4F" w:rsidTr="005A7709">
        <w:trPr>
          <w:trHeight w:val="366"/>
        </w:trPr>
        <w:tc>
          <w:tcPr>
            <w:tcW w:w="2694" w:type="dxa"/>
            <w:vMerge/>
            <w:tcBorders>
              <w:top w:val="single" w:sz="8" w:space="0" w:color="000000"/>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1390679,8</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11023,8</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1368988,9</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1412370,8</w:t>
            </w:r>
          </w:p>
        </w:tc>
      </w:tr>
      <w:tr w:rsidR="000C5F4F" w:rsidRPr="000C5F4F" w:rsidTr="000C5F4F">
        <w:trPr>
          <w:trHeight w:val="395"/>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Espacios meníngeos</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245297,4</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5326,8</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234816,2</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255778,6</w:t>
            </w:r>
          </w:p>
        </w:tc>
      </w:tr>
      <w:tr w:rsidR="000C5F4F" w:rsidRPr="000C5F4F" w:rsidTr="000C5F4F">
        <w:trPr>
          <w:trHeight w:val="395"/>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286792,5</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5389,7</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276187,6</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297397,5</w:t>
            </w:r>
          </w:p>
        </w:tc>
      </w:tr>
      <w:tr w:rsidR="000C5F4F" w:rsidRPr="000C5F4F" w:rsidTr="000C5F4F">
        <w:trPr>
          <w:trHeight w:val="395"/>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Cuarto ventrículo</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911,7</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32,2</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848,3</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975,0</w:t>
            </w:r>
          </w:p>
        </w:tc>
      </w:tr>
      <w:tr w:rsidR="000C5F4F" w:rsidRPr="000C5F4F" w:rsidTr="000C5F4F">
        <w:trPr>
          <w:trHeight w:val="395"/>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1065,2</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32,6</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1001,1</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1129,3</w:t>
            </w:r>
          </w:p>
        </w:tc>
      </w:tr>
      <w:tr w:rsidR="000C5F4F" w:rsidRPr="000C5F4F" w:rsidTr="000C5F4F">
        <w:trPr>
          <w:trHeight w:val="403"/>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Tercer ventrículo</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944,0</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47,3</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851,0</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1037,0</w:t>
            </w:r>
          </w:p>
        </w:tc>
      </w:tr>
      <w:tr w:rsidR="000C5F4F" w:rsidRPr="000C5F4F" w:rsidTr="000C5F4F">
        <w:trPr>
          <w:trHeight w:val="403"/>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1400,4</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47,8</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1306,3</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1494,5</w:t>
            </w:r>
          </w:p>
        </w:tc>
      </w:tr>
      <w:tr w:rsidR="000C5F4F" w:rsidRPr="000C5F4F" w:rsidTr="000C5F4F">
        <w:trPr>
          <w:trHeight w:val="425"/>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Ventrículos laterales</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20738,9</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931,7</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18905,7</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22572,1</w:t>
            </w:r>
          </w:p>
        </w:tc>
      </w:tr>
      <w:tr w:rsidR="000C5F4F" w:rsidRPr="000C5F4F" w:rsidTr="000C5F4F">
        <w:trPr>
          <w:trHeight w:val="425"/>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24327,2</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942,7</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22472,4</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26182,1</w:t>
            </w:r>
          </w:p>
        </w:tc>
      </w:tr>
      <w:tr w:rsidR="000C5F4F" w:rsidRPr="000C5F4F" w:rsidTr="000C5F4F">
        <w:trPr>
          <w:trHeight w:val="458"/>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Ventricular derecho</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9846,9</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471,2</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8919,9</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10774,0</w:t>
            </w:r>
          </w:p>
        </w:tc>
      </w:tr>
      <w:tr w:rsidR="000C5F4F" w:rsidRPr="000C5F4F" w:rsidTr="000C5F4F">
        <w:trPr>
          <w:trHeight w:val="458"/>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12006,8</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476,7</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11068,8</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12944,8</w:t>
            </w:r>
          </w:p>
        </w:tc>
      </w:tr>
      <w:tr w:rsidR="000C5F4F" w:rsidRPr="000C5F4F" w:rsidTr="000C5F4F">
        <w:trPr>
          <w:trHeight w:val="395"/>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lastRenderedPageBreak/>
              <w:t>Ventricular izquierdo</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10892,0</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536,0</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9837,3</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11946,7</w:t>
            </w:r>
          </w:p>
        </w:tc>
      </w:tr>
      <w:tr w:rsidR="000C5F4F" w:rsidRPr="000C5F4F" w:rsidTr="000C5F4F">
        <w:trPr>
          <w:trHeight w:val="395"/>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12320,4</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542,4</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11253,3</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13387,6</w:t>
            </w:r>
          </w:p>
        </w:tc>
      </w:tr>
      <w:tr w:rsidR="000C5F4F" w:rsidRPr="000C5F4F" w:rsidTr="005A7709">
        <w:trPr>
          <w:trHeight w:val="455"/>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Encefálico total</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1033918,8</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9384,3</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1014753,8</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1051683,7</w:t>
            </w:r>
          </w:p>
        </w:tc>
      </w:tr>
      <w:tr w:rsidR="000C5F4F" w:rsidRPr="000C5F4F" w:rsidTr="005A7709">
        <w:trPr>
          <w:trHeight w:val="277"/>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1130760,0</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9495,1</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1112077,0</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1149443,0</w:t>
            </w:r>
          </w:p>
        </w:tc>
      </w:tr>
      <w:tr w:rsidR="000C5F4F" w:rsidRPr="000C5F4F" w:rsidTr="000C5F4F">
        <w:trPr>
          <w:trHeight w:val="395"/>
        </w:trPr>
        <w:tc>
          <w:tcPr>
            <w:tcW w:w="2694" w:type="dxa"/>
            <w:vMerge w:val="restart"/>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Encefálico derecho</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534307,3</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4903,4</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524659,1</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543955,5</w:t>
            </w:r>
          </w:p>
        </w:tc>
      </w:tr>
      <w:tr w:rsidR="000C5F4F" w:rsidRPr="000C5F4F" w:rsidTr="000C5F4F">
        <w:trPr>
          <w:trHeight w:val="395"/>
        </w:trPr>
        <w:tc>
          <w:tcPr>
            <w:tcW w:w="2694" w:type="dxa"/>
            <w:vMerge/>
            <w:tcBorders>
              <w:top w:val="nil"/>
              <w:left w:val="nil"/>
              <w:bottom w:val="nil"/>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587913,6</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4961,3</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578151,5</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597675,7</w:t>
            </w:r>
          </w:p>
        </w:tc>
      </w:tr>
      <w:tr w:rsidR="000C5F4F" w:rsidRPr="000C5F4F" w:rsidTr="000C5F4F">
        <w:trPr>
          <w:trHeight w:val="395"/>
        </w:trPr>
        <w:tc>
          <w:tcPr>
            <w:tcW w:w="2694" w:type="dxa"/>
            <w:vMerge w:val="restart"/>
            <w:tcBorders>
              <w:top w:val="nil"/>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Encefálico izquierdo</w:t>
            </w:r>
          </w:p>
        </w:tc>
        <w:tc>
          <w:tcPr>
            <w:tcW w:w="15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Femenino</w:t>
            </w:r>
          </w:p>
        </w:tc>
        <w:tc>
          <w:tcPr>
            <w:tcW w:w="1261"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498911,4</w:t>
            </w:r>
          </w:p>
        </w:tc>
        <w:tc>
          <w:tcPr>
            <w:tcW w:w="1343"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4787,6</w:t>
            </w:r>
          </w:p>
        </w:tc>
        <w:tc>
          <w:tcPr>
            <w:tcW w:w="1644"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489491,1</w:t>
            </w:r>
          </w:p>
        </w:tc>
        <w:tc>
          <w:tcPr>
            <w:tcW w:w="1645" w:type="dxa"/>
            <w:tcBorders>
              <w:top w:val="nil"/>
              <w:left w:val="nil"/>
              <w:bottom w:val="nil"/>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508331,7</w:t>
            </w:r>
          </w:p>
        </w:tc>
      </w:tr>
      <w:tr w:rsidR="000C5F4F" w:rsidRPr="000C5F4F" w:rsidTr="000C5F4F">
        <w:trPr>
          <w:trHeight w:val="395"/>
        </w:trPr>
        <w:tc>
          <w:tcPr>
            <w:tcW w:w="2694" w:type="dxa"/>
            <w:vMerge/>
            <w:tcBorders>
              <w:top w:val="nil"/>
              <w:left w:val="nil"/>
              <w:bottom w:val="single" w:sz="8" w:space="0" w:color="000000"/>
              <w:right w:val="nil"/>
            </w:tcBorders>
            <w:vAlign w:val="center"/>
            <w:hideMark/>
          </w:tcPr>
          <w:p w:rsidR="000C5F4F" w:rsidRPr="000C5F4F" w:rsidRDefault="000C5F4F" w:rsidP="005A7709">
            <w:pPr>
              <w:spacing w:line="192" w:lineRule="auto"/>
              <w:rPr>
                <w:rFonts w:ascii="Verdana" w:hAnsi="Verdana"/>
                <w:sz w:val="20"/>
                <w:szCs w:val="20"/>
              </w:rPr>
            </w:pPr>
          </w:p>
        </w:tc>
        <w:tc>
          <w:tcPr>
            <w:tcW w:w="1544" w:type="dxa"/>
            <w:tcBorders>
              <w:top w:val="nil"/>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
                <w:bCs/>
                <w:sz w:val="20"/>
                <w:szCs w:val="20"/>
              </w:rPr>
              <w:t>Masculino</w:t>
            </w:r>
          </w:p>
        </w:tc>
        <w:tc>
          <w:tcPr>
            <w:tcW w:w="1261" w:type="dxa"/>
            <w:tcBorders>
              <w:top w:val="nil"/>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542846,4</w:t>
            </w:r>
          </w:p>
        </w:tc>
        <w:tc>
          <w:tcPr>
            <w:tcW w:w="1343" w:type="dxa"/>
            <w:tcBorders>
              <w:top w:val="nil"/>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4844,1</w:t>
            </w:r>
          </w:p>
        </w:tc>
        <w:tc>
          <w:tcPr>
            <w:tcW w:w="1644" w:type="dxa"/>
            <w:tcBorders>
              <w:top w:val="nil"/>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533314,8</w:t>
            </w:r>
          </w:p>
        </w:tc>
        <w:tc>
          <w:tcPr>
            <w:tcW w:w="1645" w:type="dxa"/>
            <w:tcBorders>
              <w:top w:val="nil"/>
              <w:left w:val="nil"/>
              <w:bottom w:val="single" w:sz="8" w:space="0" w:color="000000"/>
              <w:right w:val="nil"/>
            </w:tcBorders>
            <w:shd w:val="clear" w:color="auto" w:fill="auto"/>
            <w:tcMar>
              <w:top w:w="15" w:type="dxa"/>
              <w:left w:w="66" w:type="dxa"/>
              <w:bottom w:w="0" w:type="dxa"/>
              <w:right w:w="66" w:type="dxa"/>
            </w:tcMar>
            <w:hideMark/>
          </w:tcPr>
          <w:p w:rsidR="006F2F65" w:rsidRPr="000C5F4F" w:rsidRDefault="000C5F4F" w:rsidP="005A7709">
            <w:pPr>
              <w:spacing w:line="192" w:lineRule="auto"/>
              <w:rPr>
                <w:rFonts w:ascii="Verdana" w:hAnsi="Verdana"/>
                <w:sz w:val="20"/>
                <w:szCs w:val="20"/>
              </w:rPr>
            </w:pPr>
            <w:r w:rsidRPr="000C5F4F">
              <w:rPr>
                <w:rFonts w:ascii="Verdana" w:hAnsi="Verdana"/>
                <w:bCs/>
                <w:sz w:val="20"/>
                <w:szCs w:val="20"/>
              </w:rPr>
              <w:t>552377,9</w:t>
            </w:r>
          </w:p>
        </w:tc>
      </w:tr>
    </w:tbl>
    <w:p w:rsidR="00C5389C" w:rsidRPr="00F533F9" w:rsidRDefault="00C5389C" w:rsidP="005A7709">
      <w:pPr>
        <w:spacing w:line="192" w:lineRule="auto"/>
        <w:rPr>
          <w:rFonts w:ascii="Verdana" w:hAnsi="Verdana"/>
        </w:rPr>
      </w:pPr>
    </w:p>
    <w:p w:rsidR="00C5389C" w:rsidRPr="00F533F9" w:rsidRDefault="00975226" w:rsidP="00F533F9">
      <w:pPr>
        <w:spacing w:after="120" w:line="408" w:lineRule="auto"/>
        <w:ind w:right="-235"/>
        <w:jc w:val="both"/>
        <w:rPr>
          <w:rFonts w:ascii="Verdana" w:eastAsiaTheme="minorEastAsia" w:hAnsi="Verdana" w:cs="Arial"/>
          <w:color w:val="auto"/>
          <w:lang w:eastAsia="es-ES"/>
        </w:rPr>
      </w:pPr>
      <w:r>
        <w:rPr>
          <w:rFonts w:ascii="Verdana" w:eastAsiaTheme="minorEastAsia" w:hAnsi="Verdana" w:cs="Arial"/>
          <w:color w:val="auto"/>
          <w:lang w:eastAsia="es-ES"/>
        </w:rPr>
        <w:t>La figura 1</w:t>
      </w:r>
      <w:r w:rsidR="00F33608" w:rsidRPr="00F33608">
        <w:rPr>
          <w:rFonts w:ascii="Verdana" w:eastAsiaTheme="minorEastAsia" w:hAnsi="Verdana" w:cs="Arial"/>
          <w:color w:val="auto"/>
          <w:lang w:eastAsia="es-ES"/>
        </w:rPr>
        <w:t xml:space="preserve"> ilustra, gráficamente, </w:t>
      </w:r>
      <w:r w:rsidR="00D07DC6">
        <w:rPr>
          <w:rFonts w:ascii="Verdana" w:eastAsiaTheme="minorEastAsia" w:hAnsi="Verdana" w:cs="Arial"/>
          <w:color w:val="auto"/>
          <w:lang w:eastAsia="es-ES"/>
        </w:rPr>
        <w:t>que e</w:t>
      </w:r>
      <w:r w:rsidR="00F33608" w:rsidRPr="00F33608">
        <w:rPr>
          <w:rFonts w:ascii="Verdana" w:eastAsiaTheme="minorEastAsia" w:hAnsi="Verdana" w:cs="Arial"/>
          <w:color w:val="auto"/>
          <w:lang w:eastAsia="es-ES"/>
        </w:rPr>
        <w:t>stas diferencias no son significativas en los volúmenes ventriculares izquierdos y laterales totales, son sutilmente significativas en los volúmenes ventricular derecho, cuarto ventrículo y muy significativas en los volúmenes encefálicos, del tercer ventrículo y de los espacios meníngeos.</w:t>
      </w:r>
    </w:p>
    <w:p w:rsidR="00C5389C" w:rsidRPr="00F533F9" w:rsidRDefault="00F33608" w:rsidP="00C5389C">
      <w:pPr>
        <w:rPr>
          <w:rFonts w:ascii="Verdana" w:hAnsi="Verdana"/>
        </w:rPr>
      </w:pPr>
      <w:bookmarkStart w:id="0" w:name="_GoBack"/>
      <w:r w:rsidRPr="00F533F9">
        <w:rPr>
          <w:rFonts w:ascii="Verdana" w:hAnsi="Verdana" w:cs="Arial"/>
          <w:b/>
          <w:noProof/>
          <w:lang w:eastAsia="es-ES"/>
        </w:rPr>
        <w:drawing>
          <wp:inline distT="0" distB="0" distL="0" distR="0">
            <wp:extent cx="5606449" cy="4288220"/>
            <wp:effectExtent l="19050" t="0" r="0" b="0"/>
            <wp:docPr id="5" name="Imagen 5" descr="C:\Users\katherine\Desktop\GRAFICOS555555\6666666666666666666666666666666\6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atherine\Desktop\GRAFICOS555555\6666666666666666666666666666666\6x.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524" cy="4292866"/>
                    </a:xfrm>
                    <a:prstGeom prst="rect">
                      <a:avLst/>
                    </a:prstGeom>
                    <a:noFill/>
                    <a:ln>
                      <a:noFill/>
                    </a:ln>
                  </pic:spPr>
                </pic:pic>
              </a:graphicData>
            </a:graphic>
          </wp:inline>
        </w:drawing>
      </w:r>
      <w:bookmarkEnd w:id="0"/>
    </w:p>
    <w:p w:rsidR="00F33608" w:rsidRPr="00F33608" w:rsidRDefault="00BF17CD" w:rsidP="00F33608">
      <w:pPr>
        <w:autoSpaceDE w:val="0"/>
        <w:autoSpaceDN w:val="0"/>
        <w:adjustRightInd w:val="0"/>
        <w:spacing w:after="240" w:line="408" w:lineRule="auto"/>
        <w:ind w:right="335"/>
        <w:jc w:val="both"/>
        <w:rPr>
          <w:rFonts w:ascii="Verdana" w:eastAsiaTheme="minorEastAsia" w:hAnsi="Verdana" w:cs="Arial"/>
          <w:color w:val="C00000"/>
          <w:lang w:eastAsia="es-ES"/>
        </w:rPr>
      </w:pPr>
      <w:r>
        <w:rPr>
          <w:rFonts w:ascii="Verdana" w:eastAsiaTheme="minorEastAsia" w:hAnsi="Verdana" w:cs="Arial"/>
          <w:b/>
          <w:color w:val="auto"/>
          <w:lang w:eastAsia="es-ES"/>
        </w:rPr>
        <w:lastRenderedPageBreak/>
        <w:t>Figura 1</w:t>
      </w:r>
      <w:r w:rsidR="00F33608" w:rsidRPr="00F33608">
        <w:rPr>
          <w:rFonts w:ascii="Verdana" w:eastAsiaTheme="minorEastAsia" w:hAnsi="Verdana" w:cs="Arial"/>
          <w:color w:val="auto"/>
          <w:lang w:eastAsia="es-ES"/>
        </w:rPr>
        <w:t>. Gráficas de intervalos con un 95 % de confianza para las variables volumétricas (mm</w:t>
      </w:r>
      <w:r w:rsidR="00F33608" w:rsidRPr="00F33608">
        <w:rPr>
          <w:rFonts w:ascii="Verdana" w:eastAsiaTheme="minorEastAsia" w:hAnsi="Verdana" w:cs="Arial"/>
          <w:color w:val="auto"/>
          <w:vertAlign w:val="superscript"/>
          <w:lang w:eastAsia="es-ES"/>
        </w:rPr>
        <w:t>3</w:t>
      </w:r>
      <w:r w:rsidR="00F33608" w:rsidRPr="00F33608">
        <w:rPr>
          <w:rFonts w:ascii="Verdana" w:eastAsiaTheme="minorEastAsia" w:hAnsi="Verdana" w:cs="Arial"/>
          <w:color w:val="auto"/>
          <w:lang w:eastAsia="es-ES"/>
        </w:rPr>
        <w:t>) según sexo. Se ha señalizado con línea roja los volúmenes con mayores diferencias, según sexo.</w:t>
      </w:r>
    </w:p>
    <w:p w:rsidR="007E0DDC" w:rsidRPr="007E0DDC" w:rsidRDefault="007E0DDC" w:rsidP="00C44C21">
      <w:pPr>
        <w:spacing w:after="120" w:line="408" w:lineRule="auto"/>
        <w:ind w:right="-235"/>
        <w:jc w:val="both"/>
        <w:rPr>
          <w:rFonts w:ascii="Verdana" w:eastAsiaTheme="minorEastAsia" w:hAnsi="Verdana" w:cs="Arial"/>
          <w:b/>
          <w:color w:val="auto"/>
          <w:lang w:eastAsia="es-ES"/>
        </w:rPr>
      </w:pPr>
      <w:r w:rsidRPr="007E0DDC">
        <w:rPr>
          <w:rFonts w:ascii="Verdana" w:eastAsiaTheme="minorEastAsia" w:hAnsi="Verdana" w:cs="Arial"/>
          <w:b/>
          <w:color w:val="auto"/>
          <w:lang w:eastAsia="es-ES"/>
        </w:rPr>
        <w:t>Discusión</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Los resultados del presente estudio demostraron que el sexo tiene un efecto significativo en todas las variables volumétricas estudiadas, excepto para el volumen  ventricular lateral total y del ventrículo lateral izquierdo. En todos los parámetros se cuantifican valores de mayor magnitud para los sujetos del sexo masculino.</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Existe consenso en considerar que las mujeres tienen el cerebro y los ventrículos más pequeñ</w:t>
      </w:r>
      <w:r w:rsidR="00EE3FDA">
        <w:rPr>
          <w:rFonts w:ascii="Verdana" w:eastAsiaTheme="minorEastAsia" w:hAnsi="Verdana" w:cs="Arial"/>
          <w:color w:val="auto"/>
          <w:lang w:eastAsia="es-ES"/>
        </w:rPr>
        <w:t xml:space="preserve">os que los hombres. </w:t>
      </w:r>
      <w:r w:rsidRPr="00C44C21">
        <w:rPr>
          <w:rFonts w:ascii="Verdana" w:eastAsiaTheme="minorEastAsia" w:hAnsi="Verdana" w:cs="Arial"/>
          <w:color w:val="auto"/>
          <w:lang w:eastAsia="es-ES"/>
        </w:rPr>
        <w:t>No obstante, la mayor parte de los autores consideran que, esto probablemente se deba a que los hombres tienen un cráneo más grande, la capacidad del cráneo masculino es un 10% mayor en comparación con el cráneo femenino. Aunque no podemos ignorar otras posibles causas que se detallarán más adelante</w:t>
      </w:r>
      <w:r w:rsidR="00EE3FDA">
        <w:rPr>
          <w:rFonts w:ascii="Verdana" w:eastAsiaTheme="minorEastAsia" w:hAnsi="Verdana" w:cs="Arial"/>
          <w:color w:val="auto"/>
          <w:lang w:eastAsia="es-ES"/>
        </w:rPr>
        <w:t>.</w:t>
      </w:r>
      <w:r w:rsidR="00EE3FDA">
        <w:rPr>
          <w:rFonts w:ascii="Verdana" w:eastAsiaTheme="minorEastAsia" w:hAnsi="Verdana" w:cs="Arial"/>
          <w:color w:val="auto"/>
          <w:vertAlign w:val="superscript"/>
          <w:lang w:eastAsia="es-ES"/>
        </w:rPr>
        <w:t>16,17</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 xml:space="preserve">Sin embargo es imprescindible resaltar que no hay consenso sobre los efectos del dimorfismo sexual en volúmenes encefálicos y ventriculares, ya que un mayor volumen de sustancia gris o blanca en los hombres puede ser un mero reflejo de un volumen intracraneal más </w:t>
      </w:r>
      <w:r w:rsidR="00685532" w:rsidRPr="00C44C21">
        <w:rPr>
          <w:rFonts w:ascii="Verdana" w:eastAsiaTheme="minorEastAsia" w:hAnsi="Verdana" w:cs="Arial"/>
          <w:color w:val="auto"/>
          <w:lang w:eastAsia="es-ES"/>
        </w:rPr>
        <w:t>grande</w:t>
      </w:r>
      <w:r w:rsidR="00685532">
        <w:rPr>
          <w:rFonts w:ascii="Verdana" w:eastAsiaTheme="minorEastAsia" w:hAnsi="Verdana" w:cs="Arial"/>
          <w:color w:val="auto"/>
          <w:vertAlign w:val="superscript"/>
          <w:lang w:eastAsia="es-ES"/>
        </w:rPr>
        <w:t>18</w:t>
      </w:r>
      <w:r w:rsidR="00685532" w:rsidRPr="00685532">
        <w:rPr>
          <w:rFonts w:ascii="Verdana" w:eastAsiaTheme="minorEastAsia" w:hAnsi="Verdana" w:cs="Arial"/>
          <w:color w:val="auto"/>
          <w:lang w:eastAsia="es-ES"/>
        </w:rPr>
        <w:t xml:space="preserve">. </w:t>
      </w:r>
      <w:r w:rsidRPr="00C44C21">
        <w:rPr>
          <w:rFonts w:ascii="Verdana" w:eastAsiaTheme="minorEastAsia" w:hAnsi="Verdana" w:cs="Arial"/>
          <w:color w:val="auto"/>
          <w:lang w:eastAsia="es-ES"/>
        </w:rPr>
        <w:t xml:space="preserve">Por lo tanto, varios autores han sugerido que se hace necesario corregir los volúmenes totales de dichas sustancias para aumentar la validez de este tipo de </w:t>
      </w:r>
      <w:r w:rsidRPr="00685532">
        <w:rPr>
          <w:rFonts w:ascii="Verdana" w:eastAsiaTheme="minorEastAsia" w:hAnsi="Verdana" w:cs="Arial"/>
          <w:color w:val="auto"/>
          <w:lang w:eastAsia="es-ES"/>
        </w:rPr>
        <w:t>investigación</w:t>
      </w:r>
      <w:r w:rsidR="00685532" w:rsidRPr="00685532">
        <w:rPr>
          <w:rFonts w:ascii="Verdana" w:eastAsiaTheme="minorEastAsia" w:hAnsi="Verdana" w:cs="Arial"/>
          <w:color w:val="auto"/>
          <w:lang w:eastAsia="es-ES"/>
        </w:rPr>
        <w:t>.</w:t>
      </w:r>
      <w:r w:rsidR="00685532" w:rsidRPr="00685532">
        <w:rPr>
          <w:rFonts w:ascii="Verdana" w:eastAsiaTheme="minorEastAsia" w:hAnsi="Verdana" w:cs="Arial"/>
          <w:color w:val="auto"/>
          <w:vertAlign w:val="superscript"/>
          <w:lang w:eastAsia="es-ES"/>
        </w:rPr>
        <w:t>19</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 xml:space="preserve">Años atrás una buena parte de los estudios que han examinado las diferencias de volumen cerebral entre los sexos no controlaban explícitamente las diferencias relacionadas al tamaño del cráneo en los hombres y las mujeres. Otros trabajos más rigurosos al respecto muestran que estas diferencias volumétricas ligadas al sexo disminuyeron o desparecen al incluir el tamaño de la cabeza como covariables en los análisis estadísticos.  </w:t>
      </w:r>
    </w:p>
    <w:p w:rsidR="00C44C21" w:rsidRPr="00F533F9"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 xml:space="preserve">El volumen estimado de la cavidad craneal, denominado volumen intracraneal, es una de las principales </w:t>
      </w:r>
      <w:r w:rsidRPr="00ED60E2">
        <w:rPr>
          <w:rFonts w:ascii="Verdana" w:eastAsiaTheme="minorEastAsia" w:hAnsi="Verdana" w:cs="Arial"/>
          <w:color w:val="auto"/>
          <w:lang w:eastAsia="es-ES"/>
        </w:rPr>
        <w:t xml:space="preserve">variables estudiadas en las variaciones </w:t>
      </w:r>
      <w:r w:rsidRPr="00ED60E2">
        <w:rPr>
          <w:rFonts w:ascii="Verdana" w:eastAsiaTheme="minorEastAsia" w:hAnsi="Verdana" w:cs="Arial"/>
          <w:color w:val="auto"/>
          <w:lang w:eastAsia="es-ES"/>
        </w:rPr>
        <w:lastRenderedPageBreak/>
        <w:t>neuroanatómicas entre hombres y mujeres.</w:t>
      </w:r>
      <w:r w:rsidRPr="00C44C21">
        <w:rPr>
          <w:rFonts w:ascii="Verdana" w:eastAsiaTheme="minorEastAsia" w:hAnsi="Verdana" w:cs="Arial"/>
          <w:color w:val="auto"/>
          <w:lang w:eastAsia="es-ES"/>
        </w:rPr>
        <w:t xml:space="preserve"> En general, la literatura informa consistentemente volúmenes intracraneales más grandes en hombres que en mujeres Los volúmenes totales de sustancia gris y blanca también suelen ser mayores en los hombres </w:t>
      </w:r>
      <w:r w:rsidR="00ED60E2">
        <w:rPr>
          <w:rFonts w:ascii="Verdana" w:eastAsiaTheme="minorEastAsia" w:hAnsi="Verdana" w:cs="Arial"/>
          <w:color w:val="auto"/>
          <w:lang w:eastAsia="es-ES"/>
        </w:rPr>
        <w:t>.</w:t>
      </w:r>
      <w:r w:rsidR="00ED60E2">
        <w:rPr>
          <w:rFonts w:ascii="Verdana" w:eastAsiaTheme="minorEastAsia" w:hAnsi="Verdana" w:cs="Arial"/>
          <w:color w:val="auto"/>
          <w:vertAlign w:val="superscript"/>
          <w:lang w:eastAsia="es-ES"/>
        </w:rPr>
        <w:t>20</w:t>
      </w:r>
    </w:p>
    <w:p w:rsidR="00C44C21" w:rsidRPr="00F533F9" w:rsidRDefault="00C44C21" w:rsidP="00C44C21">
      <w:pPr>
        <w:spacing w:after="120" w:line="408" w:lineRule="auto"/>
        <w:ind w:right="-235"/>
        <w:jc w:val="both"/>
        <w:rPr>
          <w:rFonts w:ascii="Verdana" w:hAnsi="Verdana" w:cs="Arial"/>
        </w:rPr>
      </w:pPr>
      <w:r w:rsidRPr="00ED60E2">
        <w:rPr>
          <w:rFonts w:ascii="Verdana" w:hAnsi="Verdana" w:cs="Arial"/>
        </w:rPr>
        <w:t>Farokhian y col</w:t>
      </w:r>
      <w:r w:rsidR="00ED60E2" w:rsidRPr="00ED60E2">
        <w:rPr>
          <w:rFonts w:ascii="Verdana" w:hAnsi="Verdana" w:cs="Arial"/>
          <w:vertAlign w:val="superscript"/>
        </w:rPr>
        <w:t>21</w:t>
      </w:r>
      <w:r w:rsidRPr="00ED60E2">
        <w:rPr>
          <w:rFonts w:ascii="Verdana" w:hAnsi="Verdana" w:cs="Arial"/>
        </w:rPr>
        <w:t>, estudiaron</w:t>
      </w:r>
      <w:r w:rsidRPr="00F533F9">
        <w:rPr>
          <w:rFonts w:ascii="Verdana" w:hAnsi="Verdana" w:cs="Arial"/>
        </w:rPr>
        <w:t xml:space="preserve"> las diferencias encefálicas en dos grupos poblacionales según sexo, el grupo clasificado como joven la edad promedio fue de 27 años e incorporó 71 hombres y 71 mujeres y el clasificado como viejo de 69 años, incluyó 69 hombres y 66 mujeres. Una vez normalizado el volumen intracraneal en los hombres y las mujeres  se mantuvieron las diferencias estadísticas significativas en los volúmenes de materia gris, sustancia blanca y el volumen total intracraneal, a favor de los hombres.</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 xml:space="preserve">En una investigación realizada, con el objetivo de determinar la influencia del sexo, la edad y el tamaño de la cabeza/cerebro en los volúmenes cerebrales, se calcularon </w:t>
      </w:r>
      <w:r w:rsidR="00ED60E2">
        <w:rPr>
          <w:rFonts w:ascii="Verdana" w:eastAsiaTheme="minorEastAsia" w:hAnsi="Verdana" w:cs="Arial"/>
          <w:color w:val="auto"/>
          <w:lang w:eastAsia="es-ES"/>
        </w:rPr>
        <w:t>los v</w:t>
      </w:r>
      <w:r w:rsidR="00ED60E2" w:rsidRPr="00C44C21">
        <w:rPr>
          <w:rFonts w:ascii="Verdana" w:eastAsiaTheme="minorEastAsia" w:hAnsi="Verdana" w:cs="Arial"/>
          <w:color w:val="auto"/>
          <w:lang w:eastAsia="es-ES"/>
        </w:rPr>
        <w:t>olúmen</w:t>
      </w:r>
      <w:r w:rsidR="00ED60E2">
        <w:rPr>
          <w:rFonts w:ascii="Verdana" w:eastAsiaTheme="minorEastAsia" w:hAnsi="Verdana" w:cs="Arial"/>
          <w:color w:val="auto"/>
          <w:lang w:eastAsia="es-ES"/>
        </w:rPr>
        <w:t>es</w:t>
      </w:r>
      <w:r w:rsidRPr="00C44C21">
        <w:rPr>
          <w:rFonts w:ascii="Verdana" w:eastAsiaTheme="minorEastAsia" w:hAnsi="Verdana" w:cs="Arial"/>
          <w:color w:val="auto"/>
          <w:lang w:eastAsia="es-ES"/>
        </w:rPr>
        <w:t xml:space="preserve"> cerebral </w:t>
      </w:r>
      <w:r w:rsidR="00ED60E2" w:rsidRPr="00C44C21">
        <w:rPr>
          <w:rFonts w:ascii="Verdana" w:eastAsiaTheme="minorEastAsia" w:hAnsi="Verdana" w:cs="Arial"/>
          <w:color w:val="auto"/>
          <w:lang w:eastAsia="es-ES"/>
        </w:rPr>
        <w:t>total, intracraneal</w:t>
      </w:r>
      <w:r w:rsidRPr="00C44C21">
        <w:rPr>
          <w:rFonts w:ascii="Verdana" w:eastAsiaTheme="minorEastAsia" w:hAnsi="Verdana" w:cs="Arial"/>
          <w:color w:val="auto"/>
          <w:lang w:eastAsia="es-ES"/>
        </w:rPr>
        <w:t xml:space="preserve"> como covariables para estudiar la atrofia cerebral regional frente a la global. Después de los ajustes de Volumen cerebral total / Volumen intracraneal, la mayoría de las diferencias de sexo en los volúmenes revelaron estar vinculadas a la diferencia en los parámetros de tamaño de la cabeza/cerebro</w:t>
      </w:r>
      <w:r w:rsidR="00ED60E2">
        <w:rPr>
          <w:rFonts w:ascii="Verdana" w:eastAsiaTheme="minorEastAsia" w:hAnsi="Verdana" w:cs="Arial"/>
          <w:color w:val="auto"/>
          <w:lang w:eastAsia="es-ES"/>
        </w:rPr>
        <w:t>.</w:t>
      </w:r>
      <w:r w:rsidR="00ED60E2">
        <w:rPr>
          <w:rFonts w:ascii="Verdana" w:eastAsiaTheme="minorEastAsia" w:hAnsi="Verdana" w:cs="Arial"/>
          <w:color w:val="auto"/>
          <w:vertAlign w:val="superscript"/>
          <w:lang w:eastAsia="es-ES"/>
        </w:rPr>
        <w:t>22</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 xml:space="preserve">Similar resultado fue el obtenido </w:t>
      </w:r>
      <w:r w:rsidRPr="00ED60E2">
        <w:rPr>
          <w:rFonts w:ascii="Verdana" w:eastAsiaTheme="minorEastAsia" w:hAnsi="Verdana" w:cs="Arial"/>
          <w:color w:val="auto"/>
          <w:lang w:eastAsia="es-ES"/>
        </w:rPr>
        <w:t xml:space="preserve">por Jäncke, </w:t>
      </w:r>
      <w:r w:rsidR="00ED60E2" w:rsidRPr="00ED60E2">
        <w:rPr>
          <w:rFonts w:ascii="Verdana" w:eastAsiaTheme="minorEastAsia" w:hAnsi="Verdana" w:cs="Arial"/>
          <w:color w:val="auto"/>
          <w:vertAlign w:val="superscript"/>
          <w:lang w:eastAsia="es-ES"/>
        </w:rPr>
        <w:t>23</w:t>
      </w:r>
      <w:r w:rsidRPr="00C44C21">
        <w:rPr>
          <w:rFonts w:ascii="Verdana" w:eastAsiaTheme="minorEastAsia" w:hAnsi="Verdana" w:cs="Arial"/>
          <w:color w:val="auto"/>
          <w:lang w:eastAsia="es-ES"/>
        </w:rPr>
        <w:t xml:space="preserve"> demostró que el volumen cerebral total, así como los volúmenes de materia gris y blanca, revelan diferencias de sexo con valores que oscilan entre 1 y 1,4914 cm³. Cuando se corrige el tamaño del cerebro, las diferencias de sexo casi desaparecen. </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 xml:space="preserve">Aun cuando en estudios previos ha existido un mayor volumen en los hombres, el estudio llevado </w:t>
      </w:r>
      <w:r w:rsidRPr="006F10DF">
        <w:rPr>
          <w:rFonts w:ascii="Verdana" w:eastAsiaTheme="minorEastAsia" w:hAnsi="Verdana" w:cs="Arial"/>
          <w:color w:val="auto"/>
          <w:lang w:eastAsia="es-ES"/>
        </w:rPr>
        <w:t>a cabo Buchpiguel y col</w:t>
      </w:r>
      <w:r w:rsidR="00B71E98" w:rsidRPr="006F10DF">
        <w:rPr>
          <w:rFonts w:ascii="Verdana" w:eastAsiaTheme="minorEastAsia" w:hAnsi="Verdana" w:cs="Arial"/>
          <w:color w:val="auto"/>
          <w:vertAlign w:val="superscript"/>
          <w:lang w:eastAsia="es-ES"/>
        </w:rPr>
        <w:t>24</w:t>
      </w:r>
      <w:r w:rsidRPr="006F10DF">
        <w:rPr>
          <w:rFonts w:ascii="Verdana" w:eastAsiaTheme="minorEastAsia" w:hAnsi="Verdana" w:cs="Arial"/>
          <w:color w:val="auto"/>
          <w:lang w:eastAsia="es-ES"/>
        </w:rPr>
        <w:t>, reveló</w:t>
      </w:r>
      <w:r w:rsidRPr="00C44C21">
        <w:rPr>
          <w:rFonts w:ascii="Verdana" w:eastAsiaTheme="minorEastAsia" w:hAnsi="Verdana" w:cs="Arial"/>
          <w:color w:val="auto"/>
          <w:lang w:eastAsia="es-ES"/>
        </w:rPr>
        <w:t xml:space="preserve"> resultados diferentes. Cuando compararon los volúmenes cerebrales no ajustados, mostró volúmenes mayores de sustancia gris y blanca en los hombres. Después de la corrección volumétrica, estos volúmenes ajustados fueron mayores en las mujeres. </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lastRenderedPageBreak/>
        <w:t>En la práctica clínica se le brinda especial atención al aumento del tercer ventrículo pues es indicativo de atrofia cerebral y sugestiva de procesos tumorales</w:t>
      </w:r>
      <w:r w:rsidR="00B71E98">
        <w:rPr>
          <w:rFonts w:ascii="Verdana" w:eastAsiaTheme="minorEastAsia" w:hAnsi="Verdana" w:cs="Arial"/>
          <w:color w:val="auto"/>
          <w:vertAlign w:val="superscript"/>
          <w:lang w:eastAsia="es-ES"/>
        </w:rPr>
        <w:t>25</w:t>
      </w:r>
      <w:r w:rsidR="00B71E98">
        <w:rPr>
          <w:rFonts w:ascii="Verdana" w:eastAsiaTheme="minorEastAsia" w:hAnsi="Verdana" w:cs="Arial"/>
          <w:color w:val="auto"/>
          <w:lang w:eastAsia="es-ES"/>
        </w:rPr>
        <w:t xml:space="preserve">. </w:t>
      </w:r>
      <w:r w:rsidRPr="00F533F9">
        <w:rPr>
          <w:rFonts w:ascii="Verdana" w:hAnsi="Verdana" w:cs="Arial"/>
        </w:rPr>
        <w:t xml:space="preserve">Resulta controversial el efecto del sexo sobre el sistema ventricular, así lo demuestra esta investigación donde no se obtuvo una diferencia estadística significativa, aun cuando describe un aumento ligero de las mensuraciones en los hombres con respecto a las </w:t>
      </w:r>
      <w:r w:rsidR="00B71E98">
        <w:rPr>
          <w:rFonts w:ascii="Verdana" w:hAnsi="Verdana" w:cs="Arial"/>
        </w:rPr>
        <w:t>mujeres</w:t>
      </w:r>
      <w:r w:rsidR="00B71E98" w:rsidRPr="00B71E98">
        <w:rPr>
          <w:rFonts w:ascii="Verdana" w:eastAsiaTheme="minorEastAsia" w:hAnsi="Verdana" w:cs="Arial"/>
          <w:color w:val="auto"/>
          <w:vertAlign w:val="superscript"/>
          <w:lang w:eastAsia="es-ES"/>
        </w:rPr>
        <w:t>26</w:t>
      </w:r>
      <w:r w:rsidRPr="00B71E98">
        <w:rPr>
          <w:rFonts w:ascii="Verdana" w:hAnsi="Verdana" w:cs="Arial"/>
        </w:rPr>
        <w:t>. Habría que añadir que estos resultados no coinciden con los de esta investigación, pues en la misma se describió una significación estadística</w:t>
      </w:r>
      <w:r w:rsidRPr="00F533F9">
        <w:rPr>
          <w:rFonts w:ascii="Verdana" w:hAnsi="Verdana" w:cs="Arial"/>
        </w:rPr>
        <w:t xml:space="preserve"> en el efecto del sexo sobre todas las cavidades ventriculares estudiadas, excepto las de los ventrículos laterales totales y ventrículos laterales izquierdos.</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 xml:space="preserve">La noción de que la estructura o función del cerebro humano puede tener dimorfismo sexual no es del todo </w:t>
      </w:r>
      <w:r w:rsidR="00B71E98" w:rsidRPr="00C44C21">
        <w:rPr>
          <w:rFonts w:ascii="Verdana" w:eastAsiaTheme="minorEastAsia" w:hAnsi="Verdana" w:cs="Arial"/>
          <w:color w:val="auto"/>
          <w:lang w:eastAsia="es-ES"/>
        </w:rPr>
        <w:t xml:space="preserve">nueva. </w:t>
      </w:r>
      <w:r w:rsidRPr="00C44C21">
        <w:rPr>
          <w:rFonts w:ascii="Verdana" w:eastAsiaTheme="minorEastAsia" w:hAnsi="Verdana" w:cs="Arial"/>
          <w:color w:val="auto"/>
          <w:lang w:eastAsia="es-ES"/>
        </w:rPr>
        <w:t xml:space="preserve">Sin embargo, un nuevo enfoque de este tema se refleja en publicaciones que sugieren que las funciones no reproductivas en humanos también pueden organizarse de manera diferente en los cerebros masculino y femenino. Así, ha sugerido que la representación cerebral de funciones cognitivas como las habilidades lingüísticas y </w:t>
      </w:r>
      <w:proofErr w:type="spellStart"/>
      <w:r w:rsidRPr="00C44C21">
        <w:rPr>
          <w:rFonts w:ascii="Verdana" w:eastAsiaTheme="minorEastAsia" w:hAnsi="Verdana" w:cs="Arial"/>
          <w:color w:val="auto"/>
          <w:lang w:eastAsia="es-ES"/>
        </w:rPr>
        <w:t>visoespaciales</w:t>
      </w:r>
      <w:proofErr w:type="spellEnd"/>
      <w:r w:rsidRPr="00C44C21">
        <w:rPr>
          <w:rFonts w:ascii="Verdana" w:eastAsiaTheme="minorEastAsia" w:hAnsi="Verdana" w:cs="Arial"/>
          <w:color w:val="auto"/>
          <w:lang w:eastAsia="es-ES"/>
        </w:rPr>
        <w:t xml:space="preserve"> puede variar según el </w:t>
      </w:r>
      <w:r w:rsidR="00B71E98" w:rsidRPr="00C44C21">
        <w:rPr>
          <w:rFonts w:ascii="Verdana" w:eastAsiaTheme="minorEastAsia" w:hAnsi="Verdana" w:cs="Arial"/>
          <w:color w:val="auto"/>
          <w:lang w:eastAsia="es-ES"/>
        </w:rPr>
        <w:t xml:space="preserve">sexo. </w:t>
      </w:r>
      <w:r w:rsidR="00B71E98" w:rsidRPr="00B71E98">
        <w:rPr>
          <w:rFonts w:ascii="Verdana" w:eastAsiaTheme="minorEastAsia" w:hAnsi="Verdana" w:cs="Arial"/>
          <w:color w:val="auto"/>
          <w:vertAlign w:val="superscript"/>
          <w:lang w:eastAsia="es-ES"/>
        </w:rPr>
        <w:t>27</w:t>
      </w:r>
    </w:p>
    <w:p w:rsidR="00C44C21" w:rsidRPr="00C44C21" w:rsidRDefault="00C44C21" w:rsidP="00C44C21">
      <w:pPr>
        <w:spacing w:after="120" w:line="408" w:lineRule="auto"/>
        <w:ind w:right="-235"/>
        <w:jc w:val="both"/>
        <w:rPr>
          <w:rFonts w:ascii="Verdana" w:eastAsiaTheme="minorEastAsia" w:hAnsi="Verdana" w:cs="Arial"/>
          <w:color w:val="auto"/>
          <w:lang w:eastAsia="es-ES"/>
        </w:rPr>
      </w:pPr>
      <w:r w:rsidRPr="00C44C21">
        <w:rPr>
          <w:rFonts w:ascii="Verdana" w:eastAsiaTheme="minorEastAsia" w:hAnsi="Verdana" w:cs="Arial"/>
          <w:color w:val="auto"/>
          <w:lang w:eastAsia="es-ES"/>
        </w:rPr>
        <w:t>Por otro lado, algunos investigadores cuestionan el dimorfismo sexual, afirman que el cerebro individual es más bien intersexual y comprende un mosaico de rasgos de carácter más o menos masculino/femenino</w:t>
      </w:r>
      <w:r w:rsidR="00AB7167">
        <w:rPr>
          <w:rFonts w:ascii="Verdana" w:eastAsiaTheme="minorEastAsia" w:hAnsi="Verdana" w:cs="Arial"/>
          <w:color w:val="auto"/>
          <w:vertAlign w:val="superscript"/>
          <w:lang w:eastAsia="es-ES"/>
        </w:rPr>
        <w:t>15</w:t>
      </w:r>
      <w:r w:rsidR="00AB7167">
        <w:rPr>
          <w:rFonts w:ascii="Verdana" w:eastAsiaTheme="minorEastAsia" w:hAnsi="Verdana" w:cs="Arial"/>
          <w:color w:val="auto"/>
          <w:lang w:eastAsia="es-ES"/>
        </w:rPr>
        <w:t xml:space="preserve">. </w:t>
      </w:r>
      <w:r w:rsidRPr="00C44C21">
        <w:rPr>
          <w:rFonts w:ascii="Verdana" w:eastAsiaTheme="minorEastAsia" w:hAnsi="Verdana" w:cs="Arial"/>
          <w:color w:val="auto"/>
          <w:lang w:eastAsia="es-ES"/>
        </w:rPr>
        <w:t>Otros argumentan que el sexo juega un papel menor en las diferencias de volúmenes neuroanatómicos y la mayoría de las diferencias están relacionadas con e</w:t>
      </w:r>
      <w:r w:rsidR="00531D87">
        <w:rPr>
          <w:rFonts w:ascii="Verdana" w:eastAsiaTheme="minorEastAsia" w:hAnsi="Verdana" w:cs="Arial"/>
          <w:color w:val="auto"/>
          <w:lang w:eastAsia="es-ES"/>
        </w:rPr>
        <w:t>l volumen cerebral intracraneal.</w:t>
      </w:r>
      <w:r w:rsidR="00531D87">
        <w:rPr>
          <w:rFonts w:ascii="Verdana" w:eastAsiaTheme="minorEastAsia" w:hAnsi="Verdana" w:cs="Arial"/>
          <w:color w:val="auto"/>
          <w:vertAlign w:val="superscript"/>
          <w:lang w:eastAsia="es-ES"/>
        </w:rPr>
        <w:t>18</w:t>
      </w:r>
    </w:p>
    <w:p w:rsidR="00F533F9" w:rsidRPr="00F533F9" w:rsidRDefault="00F533F9" w:rsidP="00F533F9">
      <w:pPr>
        <w:spacing w:after="120" w:line="408" w:lineRule="auto"/>
        <w:ind w:right="-235"/>
        <w:jc w:val="both"/>
        <w:rPr>
          <w:rFonts w:ascii="Verdana" w:eastAsiaTheme="minorEastAsia" w:hAnsi="Verdana" w:cs="Arial"/>
          <w:color w:val="auto"/>
          <w:lang w:eastAsia="es-ES"/>
        </w:rPr>
      </w:pPr>
      <w:r w:rsidRPr="00F533F9">
        <w:rPr>
          <w:rFonts w:ascii="Verdana" w:eastAsiaTheme="minorEastAsia" w:hAnsi="Verdana" w:cs="Arial"/>
          <w:color w:val="auto"/>
          <w:lang w:eastAsia="es-ES"/>
        </w:rPr>
        <w:t xml:space="preserve">Hay que mencionar el rol en estas diferencias del efecto de las hormonas, por ejemplo, la acción de los estrógenos sobre la sinaptogénesis y los efectos de la ausencia de esta hormona durante la menopausia </w:t>
      </w:r>
      <w:r w:rsidR="002D4CEC">
        <w:rPr>
          <w:rFonts w:ascii="Verdana" w:eastAsiaTheme="minorEastAsia" w:hAnsi="Verdana" w:cs="Arial"/>
          <w:color w:val="auto"/>
          <w:vertAlign w:val="superscript"/>
          <w:lang w:eastAsia="es-ES"/>
        </w:rPr>
        <w:t>2</w:t>
      </w:r>
      <w:r w:rsidR="002D4CEC" w:rsidRPr="002D4CEC">
        <w:rPr>
          <w:rFonts w:ascii="Verdana" w:eastAsiaTheme="minorEastAsia" w:hAnsi="Verdana" w:cs="Arial"/>
          <w:color w:val="auto"/>
          <w:vertAlign w:val="superscript"/>
          <w:lang w:eastAsia="es-ES"/>
        </w:rPr>
        <w:t>8</w:t>
      </w:r>
      <w:r w:rsidRPr="00F533F9">
        <w:rPr>
          <w:rFonts w:ascii="Verdana" w:eastAsiaTheme="minorEastAsia" w:hAnsi="Verdana" w:cs="Arial"/>
          <w:color w:val="auto"/>
          <w:lang w:eastAsia="es-ES"/>
        </w:rPr>
        <w:t>. Sin embargo, también es posible que las influencias genéticas, hormonales y sociales interactúen de una forma actualmente desconocida en la formación del cerebro y el comportamiento Jäncke</w:t>
      </w:r>
      <w:r w:rsidR="00AE2D14">
        <w:rPr>
          <w:rFonts w:ascii="Verdana" w:eastAsiaTheme="minorEastAsia" w:hAnsi="Verdana" w:cs="Arial"/>
          <w:color w:val="auto"/>
          <w:vertAlign w:val="superscript"/>
          <w:lang w:eastAsia="es-ES"/>
        </w:rPr>
        <w:t>23</w:t>
      </w:r>
      <w:r w:rsidR="00AE2D14">
        <w:rPr>
          <w:rFonts w:ascii="Verdana" w:eastAsiaTheme="minorEastAsia" w:hAnsi="Verdana" w:cs="Arial"/>
          <w:color w:val="auto"/>
          <w:lang w:eastAsia="es-ES"/>
        </w:rPr>
        <w:t xml:space="preserve">. </w:t>
      </w:r>
      <w:r w:rsidRPr="00F533F9">
        <w:rPr>
          <w:rFonts w:ascii="Verdana" w:eastAsiaTheme="minorEastAsia" w:hAnsi="Verdana" w:cs="Arial"/>
          <w:color w:val="auto"/>
          <w:lang w:eastAsia="es-ES"/>
        </w:rPr>
        <w:t xml:space="preserve">Deberíamos considerar el cerebro humano más como un órgano particularmente adaptable que nos permite adaptarnos a </w:t>
      </w:r>
      <w:r w:rsidRPr="00F533F9">
        <w:rPr>
          <w:rFonts w:ascii="Verdana" w:eastAsiaTheme="minorEastAsia" w:hAnsi="Verdana" w:cs="Arial"/>
          <w:color w:val="auto"/>
          <w:lang w:eastAsia="es-ES"/>
        </w:rPr>
        <w:lastRenderedPageBreak/>
        <w:t>diferentes entornos y culturas. Similar posición, adoptaron cuando rechazaron  el concepto de “dimorfismo sexual” en su forma binaria extrema, ya que el cerebro en su conjunto no se presenta en dos versiones completamente distintas, masculina y femenina.</w:t>
      </w:r>
      <w:r w:rsidR="00AE2D14">
        <w:rPr>
          <w:rFonts w:ascii="Verdana" w:eastAsiaTheme="minorEastAsia" w:hAnsi="Verdana" w:cs="Arial"/>
          <w:color w:val="auto"/>
          <w:vertAlign w:val="superscript"/>
          <w:lang w:eastAsia="es-ES"/>
        </w:rPr>
        <w:t>29,30</w:t>
      </w:r>
    </w:p>
    <w:p w:rsidR="00F533F9" w:rsidRPr="00F533F9" w:rsidRDefault="00F533F9" w:rsidP="00F533F9">
      <w:pPr>
        <w:spacing w:after="120" w:line="408" w:lineRule="auto"/>
        <w:ind w:right="-235"/>
        <w:jc w:val="both"/>
        <w:rPr>
          <w:rFonts w:ascii="Verdana" w:eastAsiaTheme="minorEastAsia" w:hAnsi="Verdana" w:cs="Arial"/>
          <w:color w:val="auto"/>
          <w:lang w:eastAsia="es-ES"/>
        </w:rPr>
      </w:pPr>
      <w:r w:rsidRPr="00F533F9">
        <w:rPr>
          <w:rFonts w:ascii="Verdana" w:eastAsiaTheme="minorEastAsia" w:hAnsi="Verdana" w:cs="Arial"/>
          <w:color w:val="auto"/>
          <w:lang w:eastAsia="es-ES"/>
        </w:rPr>
        <w:t>En correspondencia con los resultados del presente estudio, que demostraron que el efecto del sexo en los parámetros de la volumetría cerebral se mantiene a lo largo de todos los grupos de edades evaluados e integrando los reportes encontrados en la bibliografía revisada, se suscribe la h</w:t>
      </w:r>
      <w:r>
        <w:rPr>
          <w:rFonts w:ascii="Verdana" w:eastAsiaTheme="minorEastAsia" w:hAnsi="Verdana" w:cs="Arial"/>
          <w:color w:val="auto"/>
          <w:lang w:eastAsia="es-ES"/>
        </w:rPr>
        <w:t xml:space="preserve">ipótesis de que la volumetría </w:t>
      </w:r>
      <w:r w:rsidRPr="00F533F9">
        <w:rPr>
          <w:rFonts w:ascii="Verdana" w:eastAsiaTheme="minorEastAsia" w:hAnsi="Verdana" w:cs="Arial"/>
          <w:color w:val="auto"/>
          <w:lang w:eastAsia="es-ES"/>
        </w:rPr>
        <w:t>del cerebro femenino responde a la interacción entre factores genéticos, los cambios adaptativos y de neuroplasticidad bajo el influjo neuroendocrino. Obviamente estas hipótesis deberán ser confirmadas en futuros estudios orientados específicamente a evaluar estos factores.</w:t>
      </w:r>
    </w:p>
    <w:p w:rsidR="00F533F9" w:rsidRPr="00F533F9" w:rsidRDefault="00F533F9" w:rsidP="00F533F9">
      <w:pPr>
        <w:spacing w:after="120" w:line="408" w:lineRule="auto"/>
        <w:ind w:right="-235"/>
        <w:jc w:val="center"/>
        <w:rPr>
          <w:rFonts w:ascii="Verdana" w:eastAsiaTheme="minorEastAsia" w:hAnsi="Verdana" w:cs="Arial"/>
          <w:b/>
          <w:color w:val="auto"/>
          <w:lang w:eastAsia="es-ES"/>
        </w:rPr>
      </w:pPr>
      <w:r w:rsidRPr="00F533F9">
        <w:rPr>
          <w:rFonts w:ascii="Verdana" w:eastAsiaTheme="minorEastAsia" w:hAnsi="Verdana" w:cs="Arial"/>
          <w:b/>
          <w:color w:val="auto"/>
          <w:lang w:eastAsia="es-ES"/>
        </w:rPr>
        <w:t>CONCLUSIONES</w:t>
      </w:r>
    </w:p>
    <w:p w:rsidR="00F533F9" w:rsidRPr="00F533F9" w:rsidRDefault="00F533F9" w:rsidP="00B7045D">
      <w:pPr>
        <w:numPr>
          <w:ilvl w:val="0"/>
          <w:numId w:val="1"/>
        </w:numPr>
        <w:spacing w:after="120" w:line="408" w:lineRule="auto"/>
        <w:ind w:right="-232"/>
        <w:contextualSpacing/>
        <w:jc w:val="both"/>
        <w:rPr>
          <w:rFonts w:ascii="Verdana" w:eastAsiaTheme="minorEastAsia" w:hAnsi="Verdana" w:cs="Arial"/>
          <w:color w:val="auto"/>
          <w:lang w:eastAsia="es-ES"/>
        </w:rPr>
      </w:pPr>
      <w:r w:rsidRPr="00F533F9">
        <w:rPr>
          <w:rFonts w:ascii="Verdana" w:eastAsiaTheme="minorEastAsia" w:hAnsi="Verdana" w:cs="Arial"/>
          <w:color w:val="auto"/>
          <w:lang w:eastAsia="es-ES"/>
        </w:rPr>
        <w:t xml:space="preserve">Se identificó la influencia del sexo, en una población con funciones cognitivas globales normales, a partir de imágenes de tomografía axial computarizada. </w:t>
      </w:r>
      <w:r w:rsidRPr="00B7045D">
        <w:rPr>
          <w:rFonts w:ascii="Verdana" w:eastAsiaTheme="minorEastAsia" w:hAnsi="Verdana" w:cs="Arial"/>
          <w:color w:val="auto"/>
          <w:lang w:val="es-MX" w:eastAsia="es-ES"/>
        </w:rPr>
        <w:t>E</w:t>
      </w:r>
      <w:r w:rsidRPr="00F533F9">
        <w:rPr>
          <w:rFonts w:ascii="Verdana" w:eastAsiaTheme="minorEastAsia" w:hAnsi="Verdana" w:cs="Arial"/>
          <w:color w:val="auto"/>
          <w:lang w:val="es-MX" w:eastAsia="es-ES"/>
        </w:rPr>
        <w:t xml:space="preserve">l sexo tuvo un efecto significativo, obteniéndose magnitudes mayores en el sexo masculino. </w:t>
      </w:r>
    </w:p>
    <w:p w:rsidR="00F533F9" w:rsidRPr="00F533F9" w:rsidRDefault="00F533F9" w:rsidP="00F533F9">
      <w:pPr>
        <w:numPr>
          <w:ilvl w:val="0"/>
          <w:numId w:val="1"/>
        </w:numPr>
        <w:spacing w:after="120" w:line="408" w:lineRule="auto"/>
        <w:ind w:right="-232"/>
        <w:contextualSpacing/>
        <w:jc w:val="both"/>
        <w:rPr>
          <w:rFonts w:ascii="Verdana" w:eastAsiaTheme="minorEastAsia" w:hAnsi="Verdana" w:cs="Arial"/>
          <w:color w:val="auto"/>
          <w:lang w:eastAsia="es-ES"/>
        </w:rPr>
      </w:pPr>
      <w:r w:rsidRPr="00F533F9">
        <w:rPr>
          <w:rFonts w:ascii="Verdana" w:eastAsiaTheme="minorEastAsia" w:hAnsi="Verdana" w:cs="Arial"/>
          <w:color w:val="auto"/>
          <w:lang w:val="es-MX" w:eastAsia="es-ES"/>
        </w:rPr>
        <w:t xml:space="preserve">La ponderación de los parámetros volumétricos en función del volumen intracraneal confirmó que las diferencias atribuibles al sexo no son dependientes del volumen del cráneo. Los parámetros volumétricos obtenidos correlacionaron  de manera significativa con el volumen intracraneal. </w:t>
      </w:r>
    </w:p>
    <w:p w:rsidR="00F33608" w:rsidRPr="00F33608" w:rsidRDefault="00C45E48" w:rsidP="00B139F9">
      <w:pPr>
        <w:spacing w:after="120" w:line="408" w:lineRule="auto"/>
        <w:ind w:right="-235"/>
        <w:jc w:val="center"/>
        <w:rPr>
          <w:rFonts w:ascii="Verdana" w:eastAsiaTheme="minorEastAsia" w:hAnsi="Verdana" w:cs="Arial"/>
          <w:b/>
          <w:color w:val="auto"/>
          <w:lang w:eastAsia="es-ES"/>
        </w:rPr>
      </w:pPr>
      <w:r w:rsidRPr="00C45E48">
        <w:rPr>
          <w:rFonts w:ascii="Verdana" w:eastAsiaTheme="minorEastAsia" w:hAnsi="Verdana" w:cs="Arial"/>
          <w:b/>
          <w:color w:val="auto"/>
          <w:lang w:eastAsia="es-ES"/>
        </w:rPr>
        <w:t>Referencias bibliográficas</w:t>
      </w:r>
    </w:p>
    <w:p w:rsidR="00315691" w:rsidRPr="000029BF" w:rsidRDefault="008831B9" w:rsidP="00B139F9">
      <w:pPr>
        <w:pStyle w:val="Prrafodelista"/>
        <w:numPr>
          <w:ilvl w:val="0"/>
          <w:numId w:val="3"/>
        </w:numPr>
        <w:spacing w:line="360" w:lineRule="auto"/>
        <w:jc w:val="both"/>
        <w:rPr>
          <w:rFonts w:ascii="Verdana" w:hAnsi="Verdana"/>
          <w:lang w:val="en-US"/>
        </w:rPr>
      </w:pPr>
      <w:r w:rsidRPr="000029BF">
        <w:rPr>
          <w:rFonts w:ascii="Verdana" w:hAnsi="Verdana" w:cs="Arial"/>
          <w:lang w:val="en-US"/>
        </w:rPr>
        <w:t>Spalletta G, Piras F, Gili T. Brain Morphometry, Neuromethods. Vol. 136. Totowa, New Jersey:Human Press.2018; 165-70.</w:t>
      </w:r>
    </w:p>
    <w:p w:rsidR="00315691" w:rsidRPr="00315691" w:rsidRDefault="008831B9" w:rsidP="00B139F9">
      <w:pPr>
        <w:pStyle w:val="Prrafodelista"/>
        <w:numPr>
          <w:ilvl w:val="0"/>
          <w:numId w:val="3"/>
        </w:numPr>
        <w:spacing w:line="360" w:lineRule="auto"/>
        <w:jc w:val="both"/>
        <w:rPr>
          <w:rFonts w:ascii="Verdana" w:hAnsi="Verdana"/>
        </w:rPr>
      </w:pPr>
      <w:r w:rsidRPr="000029BF">
        <w:rPr>
          <w:rFonts w:ascii="Verdana" w:hAnsi="Verdana" w:cs="Arial"/>
          <w:lang w:val="en-US"/>
        </w:rPr>
        <w:t xml:space="preserve">Hernández-Cortés Katherine S., Mesa-Pujals Adrián A., García-Gómez Odalis, Montoya Pedrón A. Brain morphometry in adult: volumetricvisualization as a tool in image processing. </w:t>
      </w:r>
      <w:r w:rsidRPr="00315691">
        <w:rPr>
          <w:rFonts w:ascii="Verdana" w:hAnsi="Verdana" w:cs="Arial"/>
        </w:rPr>
        <w:t xml:space="preserve">Rev. </w:t>
      </w:r>
      <w:proofErr w:type="spellStart"/>
      <w:r w:rsidRPr="00315691">
        <w:rPr>
          <w:rFonts w:ascii="Verdana" w:hAnsi="Verdana" w:cs="Arial"/>
        </w:rPr>
        <w:t>mex</w:t>
      </w:r>
      <w:proofErr w:type="spellEnd"/>
      <w:r w:rsidRPr="00315691">
        <w:rPr>
          <w:rFonts w:ascii="Verdana" w:hAnsi="Verdana" w:cs="Arial"/>
        </w:rPr>
        <w:t xml:space="preserve">. </w:t>
      </w:r>
      <w:proofErr w:type="spellStart"/>
      <w:r w:rsidRPr="00315691">
        <w:rPr>
          <w:rFonts w:ascii="Verdana" w:hAnsi="Verdana" w:cs="Arial"/>
        </w:rPr>
        <w:t>neurocienc</w:t>
      </w:r>
      <w:proofErr w:type="spellEnd"/>
      <w:r w:rsidRPr="00315691">
        <w:rPr>
          <w:rFonts w:ascii="Verdana" w:hAnsi="Verdana" w:cs="Arial"/>
        </w:rPr>
        <w:t xml:space="preserve">.   2021; 22(3): 101-111.  </w:t>
      </w:r>
    </w:p>
    <w:p w:rsidR="008C43BC" w:rsidRDefault="008C43BC" w:rsidP="00B139F9">
      <w:pPr>
        <w:pStyle w:val="Prrafodelista"/>
        <w:numPr>
          <w:ilvl w:val="0"/>
          <w:numId w:val="3"/>
        </w:numPr>
        <w:spacing w:line="360" w:lineRule="auto"/>
        <w:jc w:val="both"/>
        <w:rPr>
          <w:rFonts w:ascii="Verdana" w:hAnsi="Verdana"/>
        </w:rPr>
      </w:pPr>
      <w:proofErr w:type="spellStart"/>
      <w:r w:rsidRPr="000029BF">
        <w:rPr>
          <w:rFonts w:ascii="Verdana" w:hAnsi="Verdana"/>
          <w:lang w:val="en-US"/>
        </w:rPr>
        <w:lastRenderedPageBreak/>
        <w:t>Podgórski</w:t>
      </w:r>
      <w:proofErr w:type="spellEnd"/>
      <w:r w:rsidRPr="000029BF">
        <w:rPr>
          <w:rFonts w:ascii="Verdana" w:hAnsi="Verdana"/>
          <w:lang w:val="en-US"/>
        </w:rPr>
        <w:t xml:space="preserve"> P, </w:t>
      </w:r>
      <w:proofErr w:type="spellStart"/>
      <w:r w:rsidRPr="000029BF">
        <w:rPr>
          <w:rFonts w:ascii="Verdana" w:hAnsi="Verdana"/>
          <w:lang w:val="en-US"/>
        </w:rPr>
        <w:t>Bladowska</w:t>
      </w:r>
      <w:proofErr w:type="spellEnd"/>
      <w:r w:rsidRPr="000029BF">
        <w:rPr>
          <w:rFonts w:ascii="Verdana" w:hAnsi="Verdana"/>
          <w:lang w:val="en-US"/>
        </w:rPr>
        <w:t xml:space="preserve"> J, </w:t>
      </w:r>
      <w:proofErr w:type="spellStart"/>
      <w:r w:rsidRPr="000029BF">
        <w:rPr>
          <w:rFonts w:ascii="Verdana" w:hAnsi="Verdana"/>
          <w:lang w:val="en-US"/>
        </w:rPr>
        <w:t>Sasiadek</w:t>
      </w:r>
      <w:proofErr w:type="spellEnd"/>
      <w:r w:rsidRPr="000029BF">
        <w:rPr>
          <w:rFonts w:ascii="Verdana" w:hAnsi="Verdana"/>
          <w:lang w:val="en-US"/>
        </w:rPr>
        <w:t xml:space="preserve"> M,  </w:t>
      </w:r>
      <w:proofErr w:type="spellStart"/>
      <w:r w:rsidRPr="000029BF">
        <w:rPr>
          <w:rFonts w:ascii="Verdana" w:hAnsi="Verdana"/>
          <w:lang w:val="en-US"/>
        </w:rPr>
        <w:t>Zimny</w:t>
      </w:r>
      <w:proofErr w:type="spellEnd"/>
      <w:r w:rsidRPr="000029BF">
        <w:rPr>
          <w:rFonts w:ascii="Verdana" w:hAnsi="Verdana"/>
          <w:lang w:val="en-US"/>
        </w:rPr>
        <w:t xml:space="preserve"> A. Novel Volumetric and Surface - Based Magnetic Resonance Indices of the Aging Brain – </w:t>
      </w:r>
      <w:proofErr w:type="spellStart"/>
      <w:r w:rsidRPr="000029BF">
        <w:rPr>
          <w:rFonts w:ascii="Verdana" w:hAnsi="Verdana"/>
          <w:lang w:val="en-US"/>
        </w:rPr>
        <w:t>DoesMale</w:t>
      </w:r>
      <w:proofErr w:type="spellEnd"/>
      <w:r w:rsidRPr="000029BF">
        <w:rPr>
          <w:rFonts w:ascii="Verdana" w:hAnsi="Verdana"/>
          <w:lang w:val="en-US"/>
        </w:rPr>
        <w:t xml:space="preserve"> and Female Brain Age in the </w:t>
      </w:r>
      <w:proofErr w:type="spellStart"/>
      <w:r w:rsidRPr="000029BF">
        <w:rPr>
          <w:rFonts w:ascii="Verdana" w:hAnsi="Verdana"/>
          <w:lang w:val="en-US"/>
        </w:rPr>
        <w:t>SameWay</w:t>
      </w:r>
      <w:proofErr w:type="spellEnd"/>
      <w:r w:rsidRPr="000029BF">
        <w:rPr>
          <w:rFonts w:ascii="Verdana" w:hAnsi="Verdana"/>
          <w:lang w:val="en-US"/>
        </w:rPr>
        <w:t xml:space="preserve">?. </w:t>
      </w:r>
      <w:proofErr w:type="spellStart"/>
      <w:r w:rsidRPr="008C43BC">
        <w:rPr>
          <w:rFonts w:ascii="Verdana" w:hAnsi="Verdana"/>
        </w:rPr>
        <w:t>Frontiers</w:t>
      </w:r>
      <w:proofErr w:type="spellEnd"/>
      <w:r w:rsidRPr="008C43BC">
        <w:rPr>
          <w:rFonts w:ascii="Verdana" w:hAnsi="Verdana"/>
        </w:rPr>
        <w:t xml:space="preserve"> in </w:t>
      </w:r>
      <w:proofErr w:type="spellStart"/>
      <w:r w:rsidRPr="008C43BC">
        <w:rPr>
          <w:rFonts w:ascii="Verdana" w:hAnsi="Verdana"/>
        </w:rPr>
        <w:t>neurology</w:t>
      </w:r>
      <w:proofErr w:type="spellEnd"/>
      <w:r w:rsidRPr="008C43BC">
        <w:rPr>
          <w:rFonts w:ascii="Verdana" w:hAnsi="Verdana"/>
        </w:rPr>
        <w:t>. 2021; 12, 645729.</w:t>
      </w:r>
    </w:p>
    <w:p w:rsidR="00B139F9" w:rsidRPr="00B139F9" w:rsidRDefault="00B139F9" w:rsidP="00B139F9">
      <w:pPr>
        <w:pStyle w:val="Prrafodelista"/>
        <w:numPr>
          <w:ilvl w:val="0"/>
          <w:numId w:val="3"/>
        </w:numPr>
        <w:spacing w:line="360" w:lineRule="auto"/>
        <w:jc w:val="both"/>
        <w:rPr>
          <w:rFonts w:ascii="Verdana" w:hAnsi="Verdana"/>
        </w:rPr>
      </w:pPr>
      <w:r>
        <w:rPr>
          <w:rFonts w:ascii="Verdana" w:hAnsi="Verdana"/>
        </w:rPr>
        <w:t xml:space="preserve">Loynaz Fernández CS, Milán Companioni D, Gómez Padrón I, Álvarez León O, </w:t>
      </w:r>
      <w:r w:rsidRPr="00B139F9">
        <w:rPr>
          <w:rFonts w:ascii="Verdana" w:hAnsi="Verdana"/>
        </w:rPr>
        <w:t xml:space="preserve"> Es</w:t>
      </w:r>
      <w:r>
        <w:rPr>
          <w:rFonts w:ascii="Verdana" w:hAnsi="Verdana"/>
        </w:rPr>
        <w:t xml:space="preserve">pinosa Quirós D. </w:t>
      </w:r>
      <w:r w:rsidRPr="00B139F9">
        <w:rPr>
          <w:rFonts w:ascii="Verdana" w:hAnsi="Verdana"/>
        </w:rPr>
        <w:t xml:space="preserve"> Estudio morfométrico del encéfalo por tomografía axial computadorizada en enfermedades neurológicas. Revista Cuban</w:t>
      </w:r>
      <w:r>
        <w:rPr>
          <w:rFonts w:ascii="Verdana" w:hAnsi="Verdana"/>
        </w:rPr>
        <w:t>a de Investigaciones Biomédicas.2001;</w:t>
      </w:r>
      <w:r w:rsidRPr="00B139F9">
        <w:rPr>
          <w:rFonts w:ascii="Verdana" w:hAnsi="Verdana"/>
        </w:rPr>
        <w:t xml:space="preserve"> 20(3), 184-191.</w:t>
      </w:r>
    </w:p>
    <w:p w:rsidR="00BE1FC1" w:rsidRDefault="00B139F9" w:rsidP="00E04956">
      <w:pPr>
        <w:pStyle w:val="Prrafodelista"/>
        <w:numPr>
          <w:ilvl w:val="0"/>
          <w:numId w:val="3"/>
        </w:numPr>
        <w:spacing w:line="360" w:lineRule="auto"/>
        <w:jc w:val="both"/>
        <w:rPr>
          <w:rFonts w:ascii="Verdana" w:hAnsi="Verdana"/>
        </w:rPr>
      </w:pPr>
      <w:r w:rsidRPr="00B139F9">
        <w:rPr>
          <w:rFonts w:ascii="Verdana" w:hAnsi="Verdana"/>
        </w:rPr>
        <w:t>Osborn A. Serie radiológica clínica. Los 100 diagnósticos principales en cerebro. Elsevier España, SA.</w:t>
      </w:r>
      <w:r>
        <w:rPr>
          <w:rFonts w:ascii="Verdana" w:hAnsi="Verdana"/>
        </w:rPr>
        <w:t xml:space="preserve"> 2004</w:t>
      </w:r>
      <w:r w:rsidRPr="00B139F9">
        <w:rPr>
          <w:rFonts w:ascii="Verdana" w:hAnsi="Verdana"/>
        </w:rPr>
        <w:t xml:space="preserve">. </w:t>
      </w:r>
    </w:p>
    <w:p w:rsidR="00B139F9" w:rsidRPr="00B139F9" w:rsidRDefault="00B139F9" w:rsidP="00E04956">
      <w:pPr>
        <w:pStyle w:val="Prrafodelista"/>
        <w:numPr>
          <w:ilvl w:val="0"/>
          <w:numId w:val="3"/>
        </w:numPr>
        <w:spacing w:line="360" w:lineRule="auto"/>
        <w:jc w:val="both"/>
        <w:rPr>
          <w:rFonts w:ascii="Verdana" w:hAnsi="Verdana"/>
        </w:rPr>
      </w:pPr>
      <w:r>
        <w:rPr>
          <w:rFonts w:ascii="Verdana" w:hAnsi="Verdana"/>
        </w:rPr>
        <w:t>Sartori P, Alvarado L, Chirveches M</w:t>
      </w:r>
      <w:r w:rsidRPr="00B139F9">
        <w:rPr>
          <w:rFonts w:ascii="Verdana" w:hAnsi="Verdana"/>
        </w:rPr>
        <w:t>, Urr</w:t>
      </w:r>
      <w:r>
        <w:rPr>
          <w:rFonts w:ascii="Verdana" w:hAnsi="Verdana"/>
        </w:rPr>
        <w:t>utia M,  Yampolsky B</w:t>
      </w:r>
      <w:r w:rsidRPr="00B139F9">
        <w:rPr>
          <w:rFonts w:ascii="Verdana" w:hAnsi="Verdana"/>
        </w:rPr>
        <w:t>. Mediciones frecuentes en el sistema nervioso central mediante tomografía computada e imágenes de resonancia magnética. Revista Argentina de Radiología/A</w:t>
      </w:r>
      <w:r>
        <w:rPr>
          <w:rFonts w:ascii="Verdana" w:hAnsi="Verdana"/>
        </w:rPr>
        <w:t>rgentinian Journal of Radiology.2020;</w:t>
      </w:r>
      <w:r w:rsidRPr="00B139F9">
        <w:rPr>
          <w:rFonts w:ascii="Verdana" w:hAnsi="Verdana"/>
        </w:rPr>
        <w:t xml:space="preserve"> 84(01) ,009-016.</w:t>
      </w:r>
    </w:p>
    <w:p w:rsidR="00BE1FC1" w:rsidRPr="00B139F9" w:rsidRDefault="008831B9" w:rsidP="00B139F9">
      <w:pPr>
        <w:pStyle w:val="Prrafodelista"/>
        <w:numPr>
          <w:ilvl w:val="0"/>
          <w:numId w:val="3"/>
        </w:numPr>
        <w:spacing w:line="360" w:lineRule="auto"/>
        <w:jc w:val="both"/>
        <w:rPr>
          <w:rFonts w:ascii="Verdana" w:hAnsi="Verdana"/>
        </w:rPr>
      </w:pPr>
      <w:r w:rsidRPr="00B139F9">
        <w:rPr>
          <w:rFonts w:ascii="Verdana" w:hAnsi="Verdana"/>
        </w:rPr>
        <w:t xml:space="preserve">Rueda A, </w:t>
      </w:r>
      <w:proofErr w:type="spellStart"/>
      <w:r w:rsidRPr="00B139F9">
        <w:rPr>
          <w:rFonts w:ascii="Verdana" w:hAnsi="Verdana"/>
        </w:rPr>
        <w:t>Enriquez</w:t>
      </w:r>
      <w:proofErr w:type="spellEnd"/>
      <w:r w:rsidRPr="00B139F9">
        <w:rPr>
          <w:rFonts w:ascii="Verdana" w:hAnsi="Verdana"/>
        </w:rPr>
        <w:t xml:space="preserve"> LF. Una revisión de técnicas básicas de neuroimagen para el diagnóstico de enfermedades neurodegenerativas. Revista Biosalud. 2018; 17(2): 59-90. </w:t>
      </w:r>
    </w:p>
    <w:p w:rsidR="00B139F9" w:rsidRPr="00B139F9" w:rsidRDefault="00B139F9" w:rsidP="00B139F9">
      <w:pPr>
        <w:pStyle w:val="Prrafodelista"/>
        <w:numPr>
          <w:ilvl w:val="0"/>
          <w:numId w:val="3"/>
        </w:numPr>
        <w:spacing w:line="360" w:lineRule="auto"/>
        <w:jc w:val="both"/>
        <w:rPr>
          <w:rFonts w:ascii="Verdana" w:hAnsi="Verdana"/>
        </w:rPr>
      </w:pPr>
      <w:r>
        <w:rPr>
          <w:rFonts w:ascii="Verdana" w:hAnsi="Verdana"/>
        </w:rPr>
        <w:t>TORNÉS BERNAL  M, DÍAZ RODRÍGUEZ Y,  REYNOSA NAVARRO</w:t>
      </w:r>
      <w:r w:rsidRPr="00B139F9">
        <w:rPr>
          <w:rFonts w:ascii="Verdana" w:hAnsi="Verdana"/>
        </w:rPr>
        <w:t xml:space="preserve"> E. Envejecimiento poblacional en Cuba: rol de los medios informativos nacionales. Rev</w:t>
      </w:r>
      <w:r>
        <w:rPr>
          <w:rFonts w:ascii="Verdana" w:hAnsi="Verdana"/>
        </w:rPr>
        <w:t>ista de Investigación y Cultura.2020;</w:t>
      </w:r>
      <w:r w:rsidRPr="00B139F9">
        <w:rPr>
          <w:rFonts w:ascii="Verdana" w:hAnsi="Verdana"/>
        </w:rPr>
        <w:t xml:space="preserve"> 9(2), 65-74.</w:t>
      </w:r>
    </w:p>
    <w:p w:rsidR="00B139F9" w:rsidRPr="00B139F9" w:rsidRDefault="00B139F9" w:rsidP="00B139F9">
      <w:pPr>
        <w:pStyle w:val="Prrafodelista"/>
        <w:numPr>
          <w:ilvl w:val="0"/>
          <w:numId w:val="3"/>
        </w:numPr>
        <w:spacing w:line="360" w:lineRule="auto"/>
        <w:jc w:val="both"/>
        <w:rPr>
          <w:rFonts w:ascii="Verdana" w:hAnsi="Verdana"/>
        </w:rPr>
      </w:pPr>
      <w:r>
        <w:rPr>
          <w:rFonts w:ascii="Verdana" w:hAnsi="Verdana"/>
        </w:rPr>
        <w:t>Menconi</w:t>
      </w:r>
      <w:r w:rsidRPr="00B139F9">
        <w:rPr>
          <w:rFonts w:ascii="Verdana" w:hAnsi="Verdana"/>
        </w:rPr>
        <w:t xml:space="preserve"> F</w:t>
      </w:r>
      <w:r>
        <w:rPr>
          <w:rFonts w:ascii="Verdana" w:hAnsi="Verdana"/>
        </w:rPr>
        <w:t>, Arcaría N</w:t>
      </w:r>
      <w:r w:rsidRPr="00B139F9">
        <w:rPr>
          <w:rFonts w:ascii="Verdana" w:hAnsi="Verdana"/>
        </w:rPr>
        <w:t>, De A</w:t>
      </w:r>
      <w:r>
        <w:rPr>
          <w:rFonts w:ascii="Verdana" w:hAnsi="Verdana"/>
        </w:rPr>
        <w:t xml:space="preserve">ndrea P,  Vilches A. </w:t>
      </w:r>
      <w:r w:rsidRPr="00B139F9">
        <w:rPr>
          <w:rFonts w:ascii="Verdana" w:hAnsi="Verdana"/>
        </w:rPr>
        <w:t xml:space="preserve">Capítulo 4 Tejidos en el cuerpo humano. El tejido nervioso como ejemplo de especialización. Aspectos biológicos de la complejidad humana, 117. (1ra ed., pp. 117). Editorial de la Universidad de la Plata (EDULP). </w:t>
      </w:r>
      <w:r>
        <w:rPr>
          <w:rFonts w:ascii="Verdana" w:hAnsi="Verdana"/>
        </w:rPr>
        <w:t>2021</w:t>
      </w:r>
    </w:p>
    <w:p w:rsidR="00B139F9" w:rsidRPr="00B139F9" w:rsidRDefault="00B139F9" w:rsidP="00B139F9">
      <w:pPr>
        <w:pStyle w:val="Prrafodelista"/>
        <w:numPr>
          <w:ilvl w:val="0"/>
          <w:numId w:val="3"/>
        </w:numPr>
        <w:spacing w:line="360" w:lineRule="auto"/>
        <w:jc w:val="both"/>
        <w:rPr>
          <w:rFonts w:ascii="Verdana" w:hAnsi="Verdana"/>
        </w:rPr>
      </w:pPr>
      <w:r w:rsidRPr="000029BF">
        <w:rPr>
          <w:rFonts w:ascii="Verdana" w:hAnsi="Verdana"/>
          <w:lang w:val="en-US"/>
        </w:rPr>
        <w:t xml:space="preserve">Mansvelder HD, Verhoog MB,  Goriounova NA. Synapticplasticity in human cortical circuits: cellularmechanisms of learning and memory in the human brain?  </w:t>
      </w:r>
      <w:r w:rsidRPr="00B139F9">
        <w:rPr>
          <w:rFonts w:ascii="Verdana" w:hAnsi="Verdana"/>
        </w:rPr>
        <w:t>Current opinion in neurobiology</w:t>
      </w:r>
      <w:r>
        <w:rPr>
          <w:rFonts w:ascii="Verdana" w:hAnsi="Verdana"/>
        </w:rPr>
        <w:t>.2019;</w:t>
      </w:r>
      <w:r w:rsidRPr="00B139F9">
        <w:rPr>
          <w:rFonts w:ascii="Verdana" w:hAnsi="Verdana"/>
        </w:rPr>
        <w:t xml:space="preserve"> 54, 186-193.</w:t>
      </w:r>
    </w:p>
    <w:p w:rsidR="00BE1FC1" w:rsidRPr="008831B9" w:rsidRDefault="00BE1FC1" w:rsidP="00B139F9">
      <w:pPr>
        <w:pStyle w:val="Prrafodelista"/>
        <w:numPr>
          <w:ilvl w:val="0"/>
          <w:numId w:val="3"/>
        </w:numPr>
        <w:spacing w:line="360" w:lineRule="auto"/>
        <w:jc w:val="both"/>
        <w:rPr>
          <w:rFonts w:ascii="Verdana" w:hAnsi="Verdana"/>
        </w:rPr>
      </w:pPr>
      <w:r w:rsidRPr="008831B9">
        <w:rPr>
          <w:rFonts w:ascii="Verdana" w:hAnsi="Verdana"/>
        </w:rPr>
        <w:t>Zheng y col, 2019</w:t>
      </w:r>
      <w:r w:rsidR="008831B9" w:rsidRPr="008831B9">
        <w:rPr>
          <w:rFonts w:ascii="Verdana" w:hAnsi="Verdana"/>
        </w:rPr>
        <w:t xml:space="preserve">Zheng F, </w:t>
      </w:r>
      <w:proofErr w:type="spellStart"/>
      <w:r w:rsidR="008831B9" w:rsidRPr="008831B9">
        <w:rPr>
          <w:rFonts w:ascii="Verdana" w:hAnsi="Verdana"/>
        </w:rPr>
        <w:t>Liu</w:t>
      </w:r>
      <w:proofErr w:type="spellEnd"/>
      <w:r w:rsidR="008831B9" w:rsidRPr="008831B9">
        <w:rPr>
          <w:rFonts w:ascii="Verdana" w:hAnsi="Verdana"/>
        </w:rPr>
        <w:t xml:space="preserve"> Y, Yuan Z, Gao X, He Y, </w:t>
      </w:r>
      <w:proofErr w:type="spellStart"/>
      <w:r w:rsidR="008831B9" w:rsidRPr="008831B9">
        <w:rPr>
          <w:rFonts w:ascii="Verdana" w:hAnsi="Verdana"/>
        </w:rPr>
        <w:t>Liu</w:t>
      </w:r>
      <w:proofErr w:type="spellEnd"/>
      <w:r w:rsidR="008831B9" w:rsidRPr="008831B9">
        <w:rPr>
          <w:rFonts w:ascii="Verdana" w:hAnsi="Verdana"/>
        </w:rPr>
        <w:t xml:space="preserve"> X, et al. </w:t>
      </w:r>
      <w:r w:rsidR="008831B9" w:rsidRPr="000029BF">
        <w:rPr>
          <w:rFonts w:ascii="Verdana" w:hAnsi="Verdana"/>
          <w:lang w:val="en-US"/>
        </w:rPr>
        <w:t xml:space="preserve">Agerelated changes in cortical and subcortical structures of healthy adult brains: A surface-based morphometry study. </w:t>
      </w:r>
      <w:r w:rsidR="008831B9" w:rsidRPr="008831B9">
        <w:rPr>
          <w:rFonts w:ascii="Verdana" w:hAnsi="Verdana"/>
        </w:rPr>
        <w:t>Journal of Magnetic Resonance Imaging.2019; 49(1):152-163.</w:t>
      </w:r>
      <w:r w:rsidRPr="008831B9">
        <w:rPr>
          <w:rFonts w:ascii="Verdana" w:hAnsi="Verdana"/>
        </w:rPr>
        <w:t xml:space="preserve">Vestfrid y col, 2019; </w:t>
      </w:r>
    </w:p>
    <w:p w:rsidR="00B139F9" w:rsidRPr="000029BF" w:rsidRDefault="00B139F9" w:rsidP="00B139F9">
      <w:pPr>
        <w:pStyle w:val="Prrafodelista"/>
        <w:numPr>
          <w:ilvl w:val="0"/>
          <w:numId w:val="3"/>
        </w:numPr>
        <w:spacing w:line="360" w:lineRule="auto"/>
        <w:jc w:val="both"/>
        <w:rPr>
          <w:rFonts w:ascii="Verdana" w:hAnsi="Verdana"/>
          <w:lang w:val="en-US"/>
        </w:rPr>
      </w:pPr>
      <w:r>
        <w:rPr>
          <w:rFonts w:ascii="Verdana" w:hAnsi="Verdana"/>
        </w:rPr>
        <w:t>Alonso  M</w:t>
      </w:r>
      <w:r w:rsidRPr="00B139F9">
        <w:rPr>
          <w:rFonts w:ascii="Verdana" w:hAnsi="Verdana"/>
        </w:rPr>
        <w:t xml:space="preserve">SL. Estimulación cognitiva y deterioro cognitivo.  </w:t>
      </w:r>
      <w:r w:rsidRPr="000029BF">
        <w:rPr>
          <w:rFonts w:ascii="Verdana" w:hAnsi="Verdana"/>
          <w:lang w:val="en-US"/>
        </w:rPr>
        <w:t>Revista INFAD de Psicología. International Journal of Developmental and Educational Psychology.2022; 1(1), 271-280.</w:t>
      </w:r>
    </w:p>
    <w:p w:rsidR="00B139F9" w:rsidRPr="00B139F9" w:rsidRDefault="00B139F9" w:rsidP="00F91069">
      <w:pPr>
        <w:pStyle w:val="Prrafodelista"/>
        <w:numPr>
          <w:ilvl w:val="0"/>
          <w:numId w:val="3"/>
        </w:numPr>
        <w:spacing w:line="360" w:lineRule="auto"/>
        <w:jc w:val="both"/>
        <w:rPr>
          <w:rFonts w:ascii="Verdana" w:hAnsi="Verdana"/>
        </w:rPr>
      </w:pPr>
      <w:r w:rsidRPr="000029BF">
        <w:rPr>
          <w:rFonts w:ascii="Verdana" w:hAnsi="Verdana"/>
          <w:lang w:val="en-US"/>
        </w:rPr>
        <w:lastRenderedPageBreak/>
        <w:t>Boyle  R, Jollans L, Rueda-Delgado LM, Rizzo R, Yener GG, McMorrow JP</w:t>
      </w:r>
      <w:r w:rsidR="00F91069" w:rsidRPr="000029BF">
        <w:rPr>
          <w:rFonts w:ascii="Verdana" w:hAnsi="Verdana"/>
          <w:lang w:val="en-US"/>
        </w:rPr>
        <w:t xml:space="preserve">, et </w:t>
      </w:r>
      <w:r w:rsidR="00257322" w:rsidRPr="000029BF">
        <w:rPr>
          <w:rFonts w:ascii="Verdana" w:hAnsi="Verdana"/>
          <w:lang w:val="en-US"/>
        </w:rPr>
        <w:t xml:space="preserve">al. </w:t>
      </w:r>
      <w:r w:rsidRPr="000029BF">
        <w:rPr>
          <w:rFonts w:ascii="Verdana" w:hAnsi="Verdana"/>
          <w:lang w:val="en-US"/>
        </w:rPr>
        <w:t xml:space="preserve">Brain-predictedagedifference score isrelatedtospecific cognitive functions: a multi-sitereplication analysis. </w:t>
      </w:r>
      <w:r>
        <w:rPr>
          <w:rFonts w:ascii="Verdana" w:hAnsi="Verdana"/>
        </w:rPr>
        <w:t>Brain Imaging and behavior.2021;</w:t>
      </w:r>
      <w:r w:rsidRPr="00B139F9">
        <w:rPr>
          <w:rFonts w:ascii="Verdana" w:hAnsi="Verdana"/>
        </w:rPr>
        <w:t xml:space="preserve"> 15(1), 327-345.</w:t>
      </w:r>
    </w:p>
    <w:p w:rsidR="00BE1FC1" w:rsidRPr="00315691" w:rsidRDefault="001619E9" w:rsidP="00F91069">
      <w:pPr>
        <w:pStyle w:val="Prrafodelista"/>
        <w:numPr>
          <w:ilvl w:val="0"/>
          <w:numId w:val="3"/>
        </w:numPr>
        <w:spacing w:line="360" w:lineRule="auto"/>
        <w:jc w:val="both"/>
        <w:rPr>
          <w:rFonts w:ascii="Verdana" w:hAnsi="Verdana"/>
        </w:rPr>
      </w:pPr>
      <w:r w:rsidRPr="00315691">
        <w:rPr>
          <w:rFonts w:ascii="Verdana" w:hAnsi="Verdana"/>
        </w:rPr>
        <w:t>Fernández-</w:t>
      </w:r>
      <w:proofErr w:type="spellStart"/>
      <w:r w:rsidRPr="00315691">
        <w:rPr>
          <w:rFonts w:ascii="Verdana" w:hAnsi="Verdana"/>
        </w:rPr>
        <w:t>Viadero</w:t>
      </w:r>
      <w:proofErr w:type="spellEnd"/>
      <w:r w:rsidRPr="00315691">
        <w:rPr>
          <w:rFonts w:ascii="Verdana" w:hAnsi="Verdana"/>
        </w:rPr>
        <w:t xml:space="preserve"> C, </w:t>
      </w:r>
      <w:proofErr w:type="spellStart"/>
      <w:r w:rsidRPr="00315691">
        <w:rPr>
          <w:rFonts w:ascii="Verdana" w:hAnsi="Verdana"/>
        </w:rPr>
        <w:t>Verduga</w:t>
      </w:r>
      <w:proofErr w:type="spellEnd"/>
      <w:r w:rsidRPr="00315691">
        <w:rPr>
          <w:rFonts w:ascii="Verdana" w:hAnsi="Verdana"/>
        </w:rPr>
        <w:t>-Vélez R, Dámaso -Crespo S. Deterioro cognitivo leve. Patrones de envejecimiento cerebral. Revista Española de Geriatría y Gerontología.2017; 52(</w:t>
      </w:r>
      <w:proofErr w:type="spellStart"/>
      <w:r w:rsidRPr="00315691">
        <w:rPr>
          <w:rFonts w:ascii="Verdana" w:hAnsi="Verdana"/>
        </w:rPr>
        <w:t>Supl</w:t>
      </w:r>
      <w:proofErr w:type="spellEnd"/>
      <w:r w:rsidRPr="00315691">
        <w:rPr>
          <w:rFonts w:ascii="Verdana" w:hAnsi="Verdana"/>
        </w:rPr>
        <w:t xml:space="preserve"> 1):7-14. </w:t>
      </w:r>
      <w:r w:rsidR="00BE1FC1" w:rsidRPr="00315691">
        <w:rPr>
          <w:rFonts w:ascii="Verdana" w:hAnsi="Verdana"/>
        </w:rPr>
        <w:t xml:space="preserve">Baecker y col, 2021). </w:t>
      </w:r>
    </w:p>
    <w:p w:rsidR="00F91069" w:rsidRPr="00F91069" w:rsidRDefault="00F91069" w:rsidP="00F91069">
      <w:pPr>
        <w:pStyle w:val="Prrafodelista"/>
        <w:numPr>
          <w:ilvl w:val="0"/>
          <w:numId w:val="3"/>
        </w:numPr>
        <w:spacing w:line="360" w:lineRule="auto"/>
        <w:jc w:val="both"/>
        <w:rPr>
          <w:rFonts w:ascii="Verdana" w:hAnsi="Verdana"/>
        </w:rPr>
      </w:pPr>
      <w:proofErr w:type="spellStart"/>
      <w:r>
        <w:rPr>
          <w:rFonts w:ascii="Verdana" w:hAnsi="Verdana"/>
          <w:lang w:val="en-US"/>
        </w:rPr>
        <w:t>Nordenskjöld</w:t>
      </w:r>
      <w:proofErr w:type="spellEnd"/>
      <w:r>
        <w:rPr>
          <w:rFonts w:ascii="Verdana" w:hAnsi="Verdana"/>
          <w:lang w:val="en-US"/>
        </w:rPr>
        <w:t xml:space="preserve"> R</w:t>
      </w:r>
      <w:r w:rsidRPr="00F91069">
        <w:rPr>
          <w:rFonts w:ascii="Verdana" w:hAnsi="Verdana"/>
          <w:lang w:val="en-US"/>
        </w:rPr>
        <w:t xml:space="preserve">, </w:t>
      </w:r>
      <w:proofErr w:type="spellStart"/>
      <w:r w:rsidRPr="00F91069">
        <w:rPr>
          <w:rFonts w:ascii="Verdana" w:hAnsi="Verdana"/>
          <w:lang w:val="en-US"/>
        </w:rPr>
        <w:t>Malmbe</w:t>
      </w:r>
      <w:r>
        <w:rPr>
          <w:rFonts w:ascii="Verdana" w:hAnsi="Verdana"/>
          <w:lang w:val="en-US"/>
        </w:rPr>
        <w:t>rg</w:t>
      </w:r>
      <w:proofErr w:type="spellEnd"/>
      <w:r>
        <w:rPr>
          <w:rFonts w:ascii="Verdana" w:hAnsi="Verdana"/>
          <w:lang w:val="en-US"/>
        </w:rPr>
        <w:t xml:space="preserve"> F, Larsson EM, Simmons </w:t>
      </w:r>
      <w:proofErr w:type="spellStart"/>
      <w:r>
        <w:rPr>
          <w:rFonts w:ascii="Verdana" w:hAnsi="Verdana"/>
          <w:lang w:val="en-US"/>
        </w:rPr>
        <w:t>A</w:t>
      </w:r>
      <w:proofErr w:type="gramStart"/>
      <w:r>
        <w:rPr>
          <w:rFonts w:ascii="Verdana" w:hAnsi="Verdana"/>
          <w:lang w:val="en-US"/>
        </w:rPr>
        <w:t>,</w:t>
      </w:r>
      <w:r w:rsidR="00A21034">
        <w:rPr>
          <w:rFonts w:ascii="Verdana" w:hAnsi="Verdana"/>
          <w:lang w:val="en-US"/>
        </w:rPr>
        <w:t>Ahlström</w:t>
      </w:r>
      <w:proofErr w:type="spellEnd"/>
      <w:proofErr w:type="gramEnd"/>
      <w:r w:rsidR="00A21034">
        <w:rPr>
          <w:rFonts w:ascii="Verdana" w:hAnsi="Verdana"/>
          <w:lang w:val="en-US"/>
        </w:rPr>
        <w:t xml:space="preserve"> H, </w:t>
      </w:r>
      <w:proofErr w:type="spellStart"/>
      <w:r w:rsidR="00A21034">
        <w:rPr>
          <w:rFonts w:ascii="Verdana" w:hAnsi="Verdana"/>
          <w:lang w:val="en-US"/>
        </w:rPr>
        <w:t>JohanssonL</w:t>
      </w:r>
      <w:proofErr w:type="spellEnd"/>
      <w:r w:rsidR="00A21034">
        <w:rPr>
          <w:rFonts w:ascii="Verdana" w:hAnsi="Verdana"/>
          <w:lang w:val="en-US"/>
        </w:rPr>
        <w:t xml:space="preserve">, </w:t>
      </w:r>
      <w:proofErr w:type="spellStart"/>
      <w:r w:rsidR="00A21034">
        <w:rPr>
          <w:rFonts w:ascii="Verdana" w:hAnsi="Verdana"/>
          <w:lang w:val="en-US"/>
        </w:rPr>
        <w:t>etal.</w:t>
      </w:r>
      <w:r w:rsidRPr="00F91069">
        <w:rPr>
          <w:rFonts w:ascii="Verdana" w:hAnsi="Verdana"/>
          <w:lang w:val="en-US"/>
        </w:rPr>
        <w:t>Intracranial</w:t>
      </w:r>
      <w:proofErr w:type="spellEnd"/>
      <w:r w:rsidRPr="00F91069">
        <w:rPr>
          <w:rFonts w:ascii="Verdana" w:hAnsi="Verdana"/>
          <w:lang w:val="en-US"/>
        </w:rPr>
        <w:t xml:space="preserve"> volume normalization methods: considerations when investigating gender differences in regional brain volume. Psychiatry Research: Neuroimaging.2015; 231(3), 227-235. </w:t>
      </w:r>
    </w:p>
    <w:p w:rsidR="00F91069" w:rsidRPr="00F91069" w:rsidRDefault="00F91069" w:rsidP="00F91069">
      <w:pPr>
        <w:pStyle w:val="Prrafodelista"/>
        <w:numPr>
          <w:ilvl w:val="0"/>
          <w:numId w:val="3"/>
        </w:numPr>
        <w:spacing w:line="360" w:lineRule="auto"/>
        <w:jc w:val="both"/>
        <w:rPr>
          <w:rFonts w:ascii="Verdana" w:hAnsi="Verdana"/>
        </w:rPr>
      </w:pPr>
      <w:r w:rsidRPr="000029BF">
        <w:rPr>
          <w:rFonts w:ascii="Verdana" w:hAnsi="Verdana"/>
          <w:lang w:val="en-US"/>
        </w:rPr>
        <w:t xml:space="preserve">Annongu IT, Mohammad H, Achinge G, Magaji OG, Iyua K,  Ikubor JE. Morphometric study of the adult human brain ventricular sizes on computed tomographyscans in Nigerian. </w:t>
      </w:r>
      <w:r>
        <w:rPr>
          <w:rFonts w:ascii="Verdana" w:hAnsi="Verdana"/>
        </w:rPr>
        <w:t>European Journal of Biomedical.2017;</w:t>
      </w:r>
      <w:r w:rsidRPr="00F91069">
        <w:rPr>
          <w:rFonts w:ascii="Verdana" w:hAnsi="Verdana"/>
        </w:rPr>
        <w:t xml:space="preserve"> 4(6), 95-98.</w:t>
      </w:r>
    </w:p>
    <w:p w:rsidR="00F91069" w:rsidRPr="00F91069" w:rsidRDefault="00F91069" w:rsidP="00F91069">
      <w:pPr>
        <w:pStyle w:val="Prrafodelista"/>
        <w:numPr>
          <w:ilvl w:val="0"/>
          <w:numId w:val="3"/>
        </w:numPr>
        <w:spacing w:line="360" w:lineRule="auto"/>
        <w:jc w:val="both"/>
        <w:rPr>
          <w:rFonts w:ascii="Verdana" w:hAnsi="Verdana"/>
        </w:rPr>
      </w:pPr>
      <w:r w:rsidRPr="000029BF">
        <w:rPr>
          <w:rFonts w:ascii="Verdana" w:hAnsi="Verdana"/>
          <w:lang w:val="en-US"/>
        </w:rPr>
        <w:t xml:space="preserve">Dahbour S, Abdelrahim A, Braik D, Alsaid A, Mustafa R, Almasri Y, et al. The Effect of Age on Whole Brain Volume in Controls, Mild Cognitive Impairment and Alzheimer’s disease Patients: A Prospective Analysis of MRI Data from the ADNI Data Base. </w:t>
      </w:r>
      <w:r>
        <w:rPr>
          <w:rFonts w:ascii="Verdana" w:hAnsi="Verdana"/>
        </w:rPr>
        <w:t>J Med J   .2018;</w:t>
      </w:r>
      <w:r w:rsidRPr="00F91069">
        <w:rPr>
          <w:rFonts w:ascii="Verdana" w:hAnsi="Verdana"/>
        </w:rPr>
        <w:t xml:space="preserve"> 52 (4).</w:t>
      </w:r>
    </w:p>
    <w:p w:rsidR="008831B9" w:rsidRPr="00315691" w:rsidRDefault="008831B9" w:rsidP="00F91069">
      <w:pPr>
        <w:pStyle w:val="Prrafodelista"/>
        <w:numPr>
          <w:ilvl w:val="0"/>
          <w:numId w:val="3"/>
        </w:numPr>
        <w:spacing w:line="360" w:lineRule="auto"/>
        <w:jc w:val="both"/>
        <w:rPr>
          <w:rFonts w:ascii="Verdana" w:hAnsi="Verdana"/>
        </w:rPr>
      </w:pPr>
      <w:r w:rsidRPr="000029BF">
        <w:rPr>
          <w:rFonts w:ascii="Verdana" w:hAnsi="Verdana"/>
          <w:lang w:val="en-US"/>
        </w:rPr>
        <w:t xml:space="preserve">Pintzka  CW, Hansen TI, Evensmoen HR,  Håberg AK. Markedeffects of intracranialvolumecorrectionmethods on sex differences in neuroanatomicalstructures: a HUNT MRI study. </w:t>
      </w:r>
      <w:r w:rsidRPr="00315691">
        <w:rPr>
          <w:rFonts w:ascii="Verdana" w:hAnsi="Verdana"/>
        </w:rPr>
        <w:t xml:space="preserve">Frontiers in neuroscience.2015; 9: 238. </w:t>
      </w:r>
    </w:p>
    <w:p w:rsidR="00F91069" w:rsidRPr="00F91069" w:rsidRDefault="00F91069" w:rsidP="00802F03">
      <w:pPr>
        <w:pStyle w:val="Prrafodelista"/>
        <w:numPr>
          <w:ilvl w:val="0"/>
          <w:numId w:val="3"/>
        </w:numPr>
        <w:spacing w:line="360" w:lineRule="auto"/>
        <w:jc w:val="both"/>
        <w:rPr>
          <w:rFonts w:ascii="Verdana" w:hAnsi="Verdana"/>
        </w:rPr>
      </w:pPr>
      <w:r w:rsidRPr="000029BF">
        <w:rPr>
          <w:rFonts w:ascii="Verdana" w:hAnsi="Verdana"/>
          <w:lang w:val="en-US"/>
        </w:rPr>
        <w:t xml:space="preserve">Sanchis-Segura C, Ibañez-Gual MV, Aguirre N, Cruz-Gómez ÁJ,  Forn C. Effects of differentintracranialvolumecorrectionmethods on univariate sex differences in grey mattervolume and multivariate sex prediction.  </w:t>
      </w:r>
      <w:r>
        <w:rPr>
          <w:rFonts w:ascii="Verdana" w:hAnsi="Verdana"/>
        </w:rPr>
        <w:t>Scientific Reports.2020;</w:t>
      </w:r>
      <w:r w:rsidRPr="00F91069">
        <w:rPr>
          <w:rFonts w:ascii="Verdana" w:hAnsi="Verdana"/>
        </w:rPr>
        <w:t xml:space="preserve"> 10(1) ,1-15.</w:t>
      </w:r>
    </w:p>
    <w:p w:rsidR="00781801" w:rsidRPr="00802F03" w:rsidRDefault="00802F03" w:rsidP="00802F03">
      <w:pPr>
        <w:pStyle w:val="Prrafodelista"/>
        <w:numPr>
          <w:ilvl w:val="0"/>
          <w:numId w:val="3"/>
        </w:numPr>
        <w:spacing w:line="360" w:lineRule="auto"/>
        <w:jc w:val="both"/>
        <w:rPr>
          <w:rFonts w:ascii="Verdana" w:hAnsi="Verdana"/>
        </w:rPr>
      </w:pPr>
      <w:r w:rsidRPr="000029BF">
        <w:rPr>
          <w:rFonts w:ascii="Verdana" w:hAnsi="Verdana"/>
          <w:lang w:val="en-US"/>
        </w:rPr>
        <w:t xml:space="preserve">Leonard CM, Towler S, Welcome S, Halderman LK, Otto R, Eckert MA,  et al. </w:t>
      </w:r>
      <w:proofErr w:type="spellStart"/>
      <w:r w:rsidRPr="00802F03">
        <w:rPr>
          <w:rFonts w:ascii="Verdana" w:hAnsi="Verdana"/>
        </w:rPr>
        <w:t>Sizematters</w:t>
      </w:r>
      <w:proofErr w:type="spellEnd"/>
      <w:r w:rsidRPr="00802F03">
        <w:rPr>
          <w:rFonts w:ascii="Verdana" w:hAnsi="Verdana"/>
        </w:rPr>
        <w:t xml:space="preserve">: cerebral </w:t>
      </w:r>
      <w:proofErr w:type="spellStart"/>
      <w:r w:rsidRPr="00802F03">
        <w:rPr>
          <w:rFonts w:ascii="Verdana" w:hAnsi="Verdana"/>
        </w:rPr>
        <w:t>volumeinfluences</w:t>
      </w:r>
      <w:proofErr w:type="spellEnd"/>
      <w:r w:rsidRPr="00802F03">
        <w:rPr>
          <w:rFonts w:ascii="Verdana" w:hAnsi="Verdana"/>
        </w:rPr>
        <w:t xml:space="preserve"> sex differences in</w:t>
      </w:r>
      <w:r>
        <w:rPr>
          <w:rFonts w:ascii="Verdana" w:hAnsi="Verdana"/>
        </w:rPr>
        <w:t xml:space="preserve"> neuroanatomy.  Cerebral cortex.2008;</w:t>
      </w:r>
      <w:r w:rsidRPr="00802F03">
        <w:rPr>
          <w:rFonts w:ascii="Verdana" w:hAnsi="Verdana"/>
        </w:rPr>
        <w:t xml:space="preserve"> 18(12), 2920-2931.</w:t>
      </w:r>
    </w:p>
    <w:p w:rsidR="00315691" w:rsidRPr="00ED60E2" w:rsidRDefault="00315691" w:rsidP="00ED60E2">
      <w:pPr>
        <w:pStyle w:val="Prrafodelista"/>
        <w:numPr>
          <w:ilvl w:val="0"/>
          <w:numId w:val="3"/>
        </w:numPr>
        <w:spacing w:line="360" w:lineRule="auto"/>
        <w:jc w:val="both"/>
        <w:rPr>
          <w:rFonts w:ascii="Verdana" w:hAnsi="Verdana"/>
        </w:rPr>
      </w:pPr>
      <w:proofErr w:type="spellStart"/>
      <w:r w:rsidRPr="000029BF">
        <w:rPr>
          <w:rFonts w:ascii="Verdana" w:hAnsi="Verdana"/>
          <w:lang w:val="en-US"/>
        </w:rPr>
        <w:t>Farokhian</w:t>
      </w:r>
      <w:proofErr w:type="spellEnd"/>
      <w:r w:rsidRPr="000029BF">
        <w:rPr>
          <w:rFonts w:ascii="Verdana" w:hAnsi="Verdana"/>
          <w:lang w:val="en-US"/>
        </w:rPr>
        <w:t xml:space="preserve"> F, Yang CH, </w:t>
      </w:r>
      <w:proofErr w:type="spellStart"/>
      <w:r w:rsidRPr="000029BF">
        <w:rPr>
          <w:rFonts w:ascii="Verdana" w:hAnsi="Verdana"/>
          <w:lang w:val="en-US"/>
        </w:rPr>
        <w:t>Beheshti</w:t>
      </w:r>
      <w:proofErr w:type="spellEnd"/>
      <w:r w:rsidRPr="000029BF">
        <w:rPr>
          <w:rFonts w:ascii="Verdana" w:hAnsi="Verdana"/>
          <w:lang w:val="en-US"/>
        </w:rPr>
        <w:t xml:space="preserve"> I, Matsuda H, Wu S. Age-Related Gray and White Matter Changes in normal adult Brains. </w:t>
      </w:r>
      <w:proofErr w:type="spellStart"/>
      <w:r w:rsidRPr="00ED60E2">
        <w:rPr>
          <w:rFonts w:ascii="Verdana" w:hAnsi="Verdana"/>
        </w:rPr>
        <w:t>Aging</w:t>
      </w:r>
      <w:proofErr w:type="spellEnd"/>
      <w:r w:rsidRPr="00ED60E2">
        <w:rPr>
          <w:rFonts w:ascii="Verdana" w:hAnsi="Verdana"/>
        </w:rPr>
        <w:t xml:space="preserve"> and </w:t>
      </w:r>
      <w:proofErr w:type="spellStart"/>
      <w:r w:rsidRPr="00ED60E2">
        <w:rPr>
          <w:rFonts w:ascii="Verdana" w:hAnsi="Verdana"/>
        </w:rPr>
        <w:t>Disease</w:t>
      </w:r>
      <w:proofErr w:type="spellEnd"/>
      <w:r w:rsidRPr="00ED60E2">
        <w:rPr>
          <w:rFonts w:ascii="Verdana" w:hAnsi="Verdana"/>
        </w:rPr>
        <w:t xml:space="preserve"> .</w:t>
      </w:r>
      <w:proofErr w:type="gramStart"/>
      <w:r w:rsidRPr="00ED60E2">
        <w:rPr>
          <w:rFonts w:ascii="Verdana" w:hAnsi="Verdana"/>
        </w:rPr>
        <w:t>2017 ;</w:t>
      </w:r>
      <w:proofErr w:type="gramEnd"/>
      <w:r w:rsidRPr="00ED60E2">
        <w:rPr>
          <w:rFonts w:ascii="Verdana" w:hAnsi="Verdana"/>
        </w:rPr>
        <w:t xml:space="preserve"> 8(6): 899-909. </w:t>
      </w:r>
    </w:p>
    <w:p w:rsidR="00781801" w:rsidRDefault="0061458D" w:rsidP="00802F03">
      <w:pPr>
        <w:pStyle w:val="Prrafodelista"/>
        <w:numPr>
          <w:ilvl w:val="0"/>
          <w:numId w:val="3"/>
        </w:numPr>
        <w:spacing w:line="360" w:lineRule="auto"/>
        <w:jc w:val="both"/>
        <w:rPr>
          <w:rFonts w:ascii="Verdana" w:hAnsi="Verdana"/>
        </w:rPr>
      </w:pPr>
      <w:proofErr w:type="spellStart"/>
      <w:r w:rsidRPr="00315691">
        <w:rPr>
          <w:rFonts w:ascii="Verdana" w:hAnsi="Verdana"/>
        </w:rPr>
        <w:lastRenderedPageBreak/>
        <w:t>Kijonka</w:t>
      </w:r>
      <w:proofErr w:type="spellEnd"/>
      <w:r w:rsidRPr="00315691">
        <w:rPr>
          <w:rFonts w:ascii="Verdana" w:hAnsi="Verdana"/>
        </w:rPr>
        <w:t xml:space="preserve"> M, </w:t>
      </w:r>
      <w:proofErr w:type="spellStart"/>
      <w:r w:rsidRPr="00315691">
        <w:rPr>
          <w:rFonts w:ascii="Verdana" w:hAnsi="Verdana"/>
        </w:rPr>
        <w:t>Borys</w:t>
      </w:r>
      <w:proofErr w:type="spellEnd"/>
      <w:r w:rsidRPr="00315691">
        <w:rPr>
          <w:rFonts w:ascii="Verdana" w:hAnsi="Verdana"/>
        </w:rPr>
        <w:t xml:space="preserve"> D, </w:t>
      </w:r>
      <w:proofErr w:type="spellStart"/>
      <w:r w:rsidRPr="00315691">
        <w:rPr>
          <w:rFonts w:ascii="Verdana" w:hAnsi="Verdana"/>
        </w:rPr>
        <w:t>Psiuk-Maksymowicz</w:t>
      </w:r>
      <w:proofErr w:type="spellEnd"/>
      <w:r w:rsidRPr="00315691">
        <w:rPr>
          <w:rFonts w:ascii="Verdana" w:hAnsi="Verdana"/>
        </w:rPr>
        <w:t xml:space="preserve"> K, </w:t>
      </w:r>
      <w:proofErr w:type="spellStart"/>
      <w:r w:rsidRPr="00315691">
        <w:rPr>
          <w:rFonts w:ascii="Verdana" w:hAnsi="Verdana"/>
        </w:rPr>
        <w:t>Gorczewski</w:t>
      </w:r>
      <w:proofErr w:type="spellEnd"/>
      <w:r w:rsidRPr="00315691">
        <w:rPr>
          <w:rFonts w:ascii="Verdana" w:hAnsi="Verdana"/>
        </w:rPr>
        <w:t xml:space="preserve"> K, </w:t>
      </w:r>
      <w:proofErr w:type="spellStart"/>
      <w:r w:rsidRPr="00315691">
        <w:rPr>
          <w:rFonts w:ascii="Verdana" w:hAnsi="Verdana"/>
        </w:rPr>
        <w:t>Wojcieszek</w:t>
      </w:r>
      <w:proofErr w:type="spellEnd"/>
      <w:r w:rsidRPr="00315691">
        <w:rPr>
          <w:rFonts w:ascii="Verdana" w:hAnsi="Verdana"/>
        </w:rPr>
        <w:t xml:space="preserve"> P, </w:t>
      </w:r>
      <w:proofErr w:type="spellStart"/>
      <w:r w:rsidRPr="00315691">
        <w:rPr>
          <w:rFonts w:ascii="Verdana" w:hAnsi="Verdana"/>
        </w:rPr>
        <w:t>KossowskiB</w:t>
      </w:r>
      <w:proofErr w:type="gramStart"/>
      <w:r w:rsidRPr="00315691">
        <w:rPr>
          <w:rFonts w:ascii="Verdana" w:hAnsi="Verdana"/>
        </w:rPr>
        <w:t>,et</w:t>
      </w:r>
      <w:proofErr w:type="spellEnd"/>
      <w:proofErr w:type="gramEnd"/>
      <w:r w:rsidRPr="00315691">
        <w:rPr>
          <w:rFonts w:ascii="Verdana" w:hAnsi="Verdana"/>
        </w:rPr>
        <w:t xml:space="preserve"> al. </w:t>
      </w:r>
      <w:r w:rsidRPr="000029BF">
        <w:rPr>
          <w:rFonts w:ascii="Verdana" w:hAnsi="Verdana"/>
          <w:lang w:val="en-US"/>
        </w:rPr>
        <w:t xml:space="preserve">Whole Brain and CranialSizeAdjustments in Volumetric Brain Analyses of Sex- and Age-RelatedTrends. </w:t>
      </w:r>
      <w:r w:rsidRPr="00315691">
        <w:rPr>
          <w:rFonts w:ascii="Verdana" w:hAnsi="Verdana"/>
        </w:rPr>
        <w:t xml:space="preserve">Front. </w:t>
      </w:r>
      <w:proofErr w:type="spellStart"/>
      <w:r w:rsidRPr="00315691">
        <w:rPr>
          <w:rFonts w:ascii="Verdana" w:hAnsi="Verdana"/>
        </w:rPr>
        <w:t>Neurosci</w:t>
      </w:r>
      <w:proofErr w:type="spellEnd"/>
      <w:r w:rsidRPr="00315691">
        <w:rPr>
          <w:rFonts w:ascii="Verdana" w:hAnsi="Verdana"/>
        </w:rPr>
        <w:t xml:space="preserve">. 14:278. </w:t>
      </w:r>
    </w:p>
    <w:p w:rsidR="00781801" w:rsidRPr="000029BF" w:rsidRDefault="00315691" w:rsidP="000C0DFF">
      <w:pPr>
        <w:pStyle w:val="Prrafodelista"/>
        <w:numPr>
          <w:ilvl w:val="0"/>
          <w:numId w:val="3"/>
        </w:numPr>
        <w:spacing w:line="360" w:lineRule="auto"/>
        <w:jc w:val="both"/>
        <w:rPr>
          <w:rFonts w:ascii="Verdana" w:hAnsi="Verdana"/>
          <w:lang w:val="en-US"/>
        </w:rPr>
      </w:pPr>
      <w:proofErr w:type="spellStart"/>
      <w:proofErr w:type="gramStart"/>
      <w:r w:rsidRPr="000029BF">
        <w:rPr>
          <w:rFonts w:ascii="Verdana" w:hAnsi="Verdana"/>
          <w:lang w:val="en-US"/>
        </w:rPr>
        <w:t>Jäncke</w:t>
      </w:r>
      <w:proofErr w:type="spellEnd"/>
      <w:r w:rsidRPr="000029BF">
        <w:rPr>
          <w:rFonts w:ascii="Verdana" w:hAnsi="Verdana"/>
          <w:lang w:val="en-US"/>
        </w:rPr>
        <w:t xml:space="preserve">  L</w:t>
      </w:r>
      <w:proofErr w:type="gramEnd"/>
      <w:r w:rsidRPr="000029BF">
        <w:rPr>
          <w:rFonts w:ascii="Verdana" w:hAnsi="Verdana"/>
          <w:lang w:val="en-US"/>
        </w:rPr>
        <w:t>.  Sex/gender differences in cognition, neurophysiology, and neuroanatomy.F1000Research.2018</w:t>
      </w:r>
      <w:proofErr w:type="gramStart"/>
      <w:r w:rsidRPr="000029BF">
        <w:rPr>
          <w:rFonts w:ascii="Verdana" w:hAnsi="Verdana"/>
          <w:lang w:val="en-US"/>
        </w:rPr>
        <w:t>;7</w:t>
      </w:r>
      <w:proofErr w:type="gramEnd"/>
      <w:r w:rsidRPr="000029BF">
        <w:rPr>
          <w:rFonts w:ascii="Verdana" w:hAnsi="Verdana"/>
          <w:lang w:val="en-US"/>
        </w:rPr>
        <w:t xml:space="preserve">. </w:t>
      </w:r>
    </w:p>
    <w:p w:rsidR="00023896" w:rsidRPr="00023896" w:rsidRDefault="00023896" w:rsidP="00023896">
      <w:pPr>
        <w:pStyle w:val="Prrafodelista"/>
        <w:numPr>
          <w:ilvl w:val="0"/>
          <w:numId w:val="3"/>
        </w:numPr>
        <w:spacing w:line="360" w:lineRule="auto"/>
        <w:jc w:val="both"/>
        <w:rPr>
          <w:rFonts w:ascii="Verdana" w:hAnsi="Verdana"/>
        </w:rPr>
      </w:pPr>
      <w:proofErr w:type="spellStart"/>
      <w:r>
        <w:rPr>
          <w:rFonts w:ascii="Verdana" w:hAnsi="Verdana"/>
        </w:rPr>
        <w:t>Buchpiguel</w:t>
      </w:r>
      <w:proofErr w:type="spellEnd"/>
      <w:r>
        <w:rPr>
          <w:rFonts w:ascii="Verdana" w:hAnsi="Verdana"/>
        </w:rPr>
        <w:t xml:space="preserve"> M, Rosa P, Squarzoni P, Duran FL, Tamashiro-Duran JH, Leite CC, et </w:t>
      </w:r>
      <w:proofErr w:type="gramStart"/>
      <w:r>
        <w:rPr>
          <w:rFonts w:ascii="Verdana" w:hAnsi="Verdana"/>
        </w:rPr>
        <w:t xml:space="preserve">al </w:t>
      </w:r>
      <w:r w:rsidRPr="00023896">
        <w:rPr>
          <w:rFonts w:ascii="Verdana" w:hAnsi="Verdana"/>
        </w:rPr>
        <w:t>.</w:t>
      </w:r>
      <w:proofErr w:type="gramEnd"/>
      <w:r w:rsidRPr="00023896">
        <w:rPr>
          <w:rFonts w:ascii="Verdana" w:hAnsi="Verdana"/>
        </w:rPr>
        <w:t xml:space="preserve"> </w:t>
      </w:r>
      <w:r w:rsidRPr="000029BF">
        <w:rPr>
          <w:rFonts w:ascii="Verdana" w:hAnsi="Verdana"/>
          <w:lang w:val="en-US"/>
        </w:rPr>
        <w:t xml:space="preserve">Differences in total brain volumebetweensexes in a cognitivelyunimpaired elderly population. </w:t>
      </w:r>
      <w:r>
        <w:rPr>
          <w:rFonts w:ascii="Verdana" w:hAnsi="Verdana"/>
        </w:rPr>
        <w:t>Clinics.2020;</w:t>
      </w:r>
      <w:r w:rsidRPr="00023896">
        <w:rPr>
          <w:rFonts w:ascii="Verdana" w:hAnsi="Verdana"/>
        </w:rPr>
        <w:t xml:space="preserve"> 75.</w:t>
      </w:r>
    </w:p>
    <w:p w:rsidR="002D66E7" w:rsidRPr="002D66E7" w:rsidRDefault="002D66E7" w:rsidP="002D66E7">
      <w:pPr>
        <w:pStyle w:val="Prrafodelista"/>
        <w:numPr>
          <w:ilvl w:val="0"/>
          <w:numId w:val="3"/>
        </w:numPr>
        <w:spacing w:line="360" w:lineRule="auto"/>
        <w:jc w:val="both"/>
        <w:rPr>
          <w:rFonts w:ascii="Verdana" w:hAnsi="Verdana"/>
        </w:rPr>
      </w:pPr>
      <w:r w:rsidRPr="000029BF">
        <w:rPr>
          <w:rFonts w:ascii="Verdana" w:hAnsi="Verdana"/>
          <w:lang w:val="en-US"/>
        </w:rPr>
        <w:t xml:space="preserve">Kolsur N, Radhika PM, Shetty S,  Kumar A. Morphometric study of ventricular indices in human brain using computed tomographyscans in Indian population. </w:t>
      </w:r>
      <w:r>
        <w:rPr>
          <w:rFonts w:ascii="Verdana" w:hAnsi="Verdana"/>
        </w:rPr>
        <w:t>Int J Anat Res, 6(3.2).2018;</w:t>
      </w:r>
      <w:r w:rsidRPr="002D66E7">
        <w:rPr>
          <w:rFonts w:ascii="Verdana" w:hAnsi="Verdana"/>
        </w:rPr>
        <w:t xml:space="preserve"> 5574-80.</w:t>
      </w:r>
    </w:p>
    <w:p w:rsidR="008C43BC" w:rsidRPr="008C43BC" w:rsidRDefault="008C43BC" w:rsidP="00802F03">
      <w:pPr>
        <w:pStyle w:val="Prrafodelista"/>
        <w:numPr>
          <w:ilvl w:val="0"/>
          <w:numId w:val="3"/>
        </w:numPr>
        <w:spacing w:line="360" w:lineRule="auto"/>
        <w:jc w:val="both"/>
        <w:rPr>
          <w:rFonts w:ascii="Verdana" w:hAnsi="Verdana"/>
        </w:rPr>
      </w:pPr>
      <w:r w:rsidRPr="000029BF">
        <w:rPr>
          <w:rFonts w:ascii="Verdana" w:hAnsi="Verdana"/>
          <w:lang w:val="en-US"/>
        </w:rPr>
        <w:t xml:space="preserve">Farheen SS, Sukre SB. Morphometric study of frontal horn of lateral ventriclebycomputerizedtomography. </w:t>
      </w:r>
      <w:r w:rsidRPr="008C43BC">
        <w:rPr>
          <w:rFonts w:ascii="Verdana" w:hAnsi="Verdana"/>
        </w:rPr>
        <w:t>Int J Anat Res.2017; 5(3.1), 4063-6.</w:t>
      </w:r>
    </w:p>
    <w:p w:rsidR="00802F03" w:rsidRDefault="00802F03" w:rsidP="00802F03">
      <w:pPr>
        <w:pStyle w:val="Prrafodelista"/>
        <w:numPr>
          <w:ilvl w:val="0"/>
          <w:numId w:val="3"/>
        </w:numPr>
        <w:spacing w:line="360" w:lineRule="auto"/>
        <w:jc w:val="both"/>
        <w:rPr>
          <w:rFonts w:ascii="Verdana" w:hAnsi="Verdana" w:cs="Arial"/>
        </w:rPr>
      </w:pPr>
      <w:r w:rsidRPr="000029BF">
        <w:rPr>
          <w:rFonts w:ascii="Verdana" w:hAnsi="Verdana" w:cs="Arial"/>
          <w:lang w:val="en-US"/>
        </w:rPr>
        <w:t xml:space="preserve">Polunina A, Bryun E, Sydniaeva E,  Golukhova E. Gender differences in cognitive functions: retrospective analysis of the data of 5 neuropsychologicalstudies. </w:t>
      </w:r>
      <w:r w:rsidRPr="00802F03">
        <w:rPr>
          <w:rFonts w:ascii="Verdana" w:hAnsi="Verdana" w:cs="Arial"/>
        </w:rPr>
        <w:t xml:space="preserve">ScholReps. </w:t>
      </w:r>
      <w:r>
        <w:rPr>
          <w:rFonts w:ascii="Verdana" w:hAnsi="Verdana" w:cs="Arial"/>
        </w:rPr>
        <w:t>2018.</w:t>
      </w:r>
    </w:p>
    <w:p w:rsidR="002D4CEC" w:rsidRPr="002D4CEC" w:rsidRDefault="002D4CEC" w:rsidP="002D4CEC">
      <w:pPr>
        <w:pStyle w:val="Prrafodelista"/>
        <w:numPr>
          <w:ilvl w:val="0"/>
          <w:numId w:val="3"/>
        </w:numPr>
        <w:spacing w:line="360" w:lineRule="auto"/>
        <w:rPr>
          <w:rFonts w:ascii="Verdana" w:hAnsi="Verdana" w:cs="Arial"/>
        </w:rPr>
      </w:pPr>
      <w:r w:rsidRPr="000029BF">
        <w:rPr>
          <w:rFonts w:ascii="Verdana" w:hAnsi="Verdana" w:cs="Arial"/>
          <w:lang w:val="en-US"/>
        </w:rPr>
        <w:t xml:space="preserve">Caspi Y, Brouwer  RM, Schnack HG, van de Nieuwenhuijzen ME, Cahn  W, Kahn RS, et al. Changes in the intracranialvolumefromearlyadulthoodto the sixthdecade of life: A longitudinal study. </w:t>
      </w:r>
      <w:r w:rsidRPr="002D4CEC">
        <w:rPr>
          <w:rFonts w:ascii="Verdana" w:hAnsi="Verdana" w:cs="Arial"/>
        </w:rPr>
        <w:t xml:space="preserve">NeuroImage. 2020; 220: 116842. </w:t>
      </w:r>
    </w:p>
    <w:p w:rsidR="00AE2D14" w:rsidRPr="00AE2D14" w:rsidRDefault="00AE2D14" w:rsidP="00AE2D14">
      <w:pPr>
        <w:pStyle w:val="Prrafodelista"/>
        <w:numPr>
          <w:ilvl w:val="0"/>
          <w:numId w:val="3"/>
        </w:numPr>
        <w:spacing w:line="360" w:lineRule="auto"/>
        <w:jc w:val="both"/>
        <w:rPr>
          <w:rFonts w:ascii="Verdana" w:hAnsi="Verdana" w:cs="Arial"/>
        </w:rPr>
      </w:pPr>
      <w:r w:rsidRPr="000029BF">
        <w:rPr>
          <w:rFonts w:ascii="Verdana" w:hAnsi="Verdana" w:cs="Arial"/>
          <w:lang w:val="en-US"/>
        </w:rPr>
        <w:t xml:space="preserve">Eliot L, Ahmed A, Khan H,  Patel J. Dump the “dimorphism”: Comprehensivesynthesis of human brain studiesrevealsfewmale-female differences beyondsize.  </w:t>
      </w:r>
      <w:r w:rsidRPr="00AE2D14">
        <w:rPr>
          <w:rFonts w:ascii="Verdana" w:hAnsi="Verdana" w:cs="Arial"/>
        </w:rPr>
        <w:t>Neuroscience &amp; Biobehavioral Reviews.2021; 125, 667-697.</w:t>
      </w:r>
    </w:p>
    <w:p w:rsidR="00AE2D14" w:rsidRPr="00AE2D14" w:rsidRDefault="00AE2D14" w:rsidP="00AE2D14">
      <w:pPr>
        <w:pStyle w:val="Prrafodelista"/>
        <w:numPr>
          <w:ilvl w:val="0"/>
          <w:numId w:val="3"/>
        </w:numPr>
        <w:spacing w:line="360" w:lineRule="auto"/>
        <w:jc w:val="both"/>
        <w:rPr>
          <w:rFonts w:ascii="Verdana" w:hAnsi="Verdana" w:cs="Arial"/>
        </w:rPr>
      </w:pPr>
      <w:r w:rsidRPr="000029BF">
        <w:rPr>
          <w:rFonts w:ascii="Verdana" w:hAnsi="Verdana" w:cs="Arial"/>
          <w:lang w:val="en-US"/>
        </w:rPr>
        <w:t xml:space="preserve">Hirnsteina M, Hausmann  M. Sex/ gender differences in the brain are not trivial. </w:t>
      </w:r>
      <w:r w:rsidRPr="00AE2D14">
        <w:rPr>
          <w:rFonts w:ascii="Verdana" w:hAnsi="Verdana" w:cs="Arial"/>
        </w:rPr>
        <w:t xml:space="preserve">Neuroscience and Biobehavioral Reviews.2021; 130:408–409. </w:t>
      </w:r>
    </w:p>
    <w:p w:rsidR="00AE2D14" w:rsidRPr="00AE2D14" w:rsidRDefault="00AE2D14" w:rsidP="00AE2D14">
      <w:pPr>
        <w:pStyle w:val="Prrafodelista"/>
        <w:spacing w:line="360" w:lineRule="auto"/>
        <w:ind w:left="360"/>
        <w:jc w:val="both"/>
        <w:rPr>
          <w:rFonts w:ascii="Verdana" w:hAnsi="Verdana" w:cs="Arial"/>
        </w:rPr>
      </w:pPr>
    </w:p>
    <w:sectPr w:rsidR="00AE2D14" w:rsidRPr="00AE2D14" w:rsidSect="0066571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0E2" w:rsidRDefault="00ED60E2" w:rsidP="00C5389C">
      <w:pPr>
        <w:spacing w:after="0" w:line="240" w:lineRule="auto"/>
      </w:pPr>
      <w:r>
        <w:separator/>
      </w:r>
    </w:p>
  </w:endnote>
  <w:endnote w:type="continuationSeparator" w:id="1">
    <w:p w:rsidR="00ED60E2" w:rsidRDefault="00ED60E2" w:rsidP="00C53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368926"/>
      <w:docPartObj>
        <w:docPartGallery w:val="Page Numbers (Bottom of Page)"/>
        <w:docPartUnique/>
      </w:docPartObj>
    </w:sdtPr>
    <w:sdtContent>
      <w:p w:rsidR="00ED60E2" w:rsidRDefault="000E5BD0">
        <w:pPr>
          <w:pStyle w:val="Piedepgina"/>
          <w:jc w:val="center"/>
        </w:pPr>
        <w:r>
          <w:fldChar w:fldCharType="begin"/>
        </w:r>
        <w:r w:rsidR="00ED60E2">
          <w:instrText>PAGE   \* MERGEFORMAT</w:instrText>
        </w:r>
        <w:r>
          <w:fldChar w:fldCharType="separate"/>
        </w:r>
        <w:r w:rsidR="000029BF">
          <w:rPr>
            <w:noProof/>
          </w:rPr>
          <w:t>1</w:t>
        </w:r>
        <w:r>
          <w:fldChar w:fldCharType="end"/>
        </w:r>
      </w:p>
    </w:sdtContent>
  </w:sdt>
  <w:p w:rsidR="00ED60E2" w:rsidRDefault="00ED60E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0E2" w:rsidRDefault="00ED60E2" w:rsidP="00C5389C">
      <w:pPr>
        <w:spacing w:after="0" w:line="240" w:lineRule="auto"/>
      </w:pPr>
      <w:r>
        <w:separator/>
      </w:r>
    </w:p>
  </w:footnote>
  <w:footnote w:type="continuationSeparator" w:id="1">
    <w:p w:rsidR="00ED60E2" w:rsidRDefault="00ED60E2" w:rsidP="00C53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7A82"/>
    <w:multiLevelType w:val="hybridMultilevel"/>
    <w:tmpl w:val="3E5A6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19C33F2"/>
    <w:multiLevelType w:val="hybridMultilevel"/>
    <w:tmpl w:val="0D3ACE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2F18A4"/>
    <w:multiLevelType w:val="hybridMultilevel"/>
    <w:tmpl w:val="C3A669F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B93A34"/>
    <w:multiLevelType w:val="hybridMultilevel"/>
    <w:tmpl w:val="141A81AE"/>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0"/>
    <w:footnote w:id="1"/>
  </w:footnotePr>
  <w:endnotePr>
    <w:endnote w:id="0"/>
    <w:endnote w:id="1"/>
  </w:endnotePr>
  <w:compat/>
  <w:rsids>
    <w:rsidRoot w:val="0080038A"/>
    <w:rsid w:val="000029BF"/>
    <w:rsid w:val="00023896"/>
    <w:rsid w:val="000C0DFF"/>
    <w:rsid w:val="000C5F4F"/>
    <w:rsid w:val="000E5BD0"/>
    <w:rsid w:val="001619E9"/>
    <w:rsid w:val="001D5A5B"/>
    <w:rsid w:val="001F700E"/>
    <w:rsid w:val="00257322"/>
    <w:rsid w:val="002D4CEC"/>
    <w:rsid w:val="002D66E7"/>
    <w:rsid w:val="00315691"/>
    <w:rsid w:val="00344DE2"/>
    <w:rsid w:val="00366F3C"/>
    <w:rsid w:val="004266CB"/>
    <w:rsid w:val="0048373D"/>
    <w:rsid w:val="004F024B"/>
    <w:rsid w:val="00531D87"/>
    <w:rsid w:val="005472DE"/>
    <w:rsid w:val="0055154F"/>
    <w:rsid w:val="00551FA3"/>
    <w:rsid w:val="005A2600"/>
    <w:rsid w:val="005A7709"/>
    <w:rsid w:val="0061458D"/>
    <w:rsid w:val="0066268A"/>
    <w:rsid w:val="00665717"/>
    <w:rsid w:val="00673440"/>
    <w:rsid w:val="00685532"/>
    <w:rsid w:val="00696F22"/>
    <w:rsid w:val="006C05D0"/>
    <w:rsid w:val="006F10DF"/>
    <w:rsid w:val="006F2F65"/>
    <w:rsid w:val="00781801"/>
    <w:rsid w:val="007E0DDC"/>
    <w:rsid w:val="0080038A"/>
    <w:rsid w:val="00802F03"/>
    <w:rsid w:val="008831B9"/>
    <w:rsid w:val="008C43BC"/>
    <w:rsid w:val="008E1A98"/>
    <w:rsid w:val="008E2AB5"/>
    <w:rsid w:val="00975226"/>
    <w:rsid w:val="00A201CC"/>
    <w:rsid w:val="00A21034"/>
    <w:rsid w:val="00AA1929"/>
    <w:rsid w:val="00AB7167"/>
    <w:rsid w:val="00AE000F"/>
    <w:rsid w:val="00AE2D14"/>
    <w:rsid w:val="00B139F9"/>
    <w:rsid w:val="00B7045D"/>
    <w:rsid w:val="00B71E98"/>
    <w:rsid w:val="00BE1FC1"/>
    <w:rsid w:val="00BF17CD"/>
    <w:rsid w:val="00C44C21"/>
    <w:rsid w:val="00C45E48"/>
    <w:rsid w:val="00C5389C"/>
    <w:rsid w:val="00C66C36"/>
    <w:rsid w:val="00CB6A0C"/>
    <w:rsid w:val="00D07DC6"/>
    <w:rsid w:val="00DC73B0"/>
    <w:rsid w:val="00DD155E"/>
    <w:rsid w:val="00E04956"/>
    <w:rsid w:val="00E76C2C"/>
    <w:rsid w:val="00EA745A"/>
    <w:rsid w:val="00EC1527"/>
    <w:rsid w:val="00ED60E2"/>
    <w:rsid w:val="00EE3FDA"/>
    <w:rsid w:val="00F33608"/>
    <w:rsid w:val="00F533F9"/>
    <w:rsid w:val="00F6763F"/>
    <w:rsid w:val="00F878FA"/>
    <w:rsid w:val="00F910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38A"/>
    <w:pPr>
      <w:spacing w:after="160" w:line="252" w:lineRule="auto"/>
    </w:pPr>
    <w:rPr>
      <w:rFonts w:ascii="Calibri" w:eastAsia="Calibri" w:hAnsi="Calibri" w:cs="DejaVu Sans"/>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5389C"/>
    <w:pPr>
      <w:spacing w:after="200" w:line="276" w:lineRule="auto"/>
      <w:ind w:left="720"/>
      <w:contextualSpacing/>
    </w:pPr>
    <w:rPr>
      <w:rFonts w:asciiTheme="minorHAnsi" w:eastAsiaTheme="minorEastAsia" w:hAnsiTheme="minorHAnsi" w:cstheme="minorBidi"/>
      <w:color w:val="auto"/>
      <w:lang w:eastAsia="es-ES"/>
    </w:rPr>
  </w:style>
  <w:style w:type="character" w:customStyle="1" w:styleId="PrrafodelistaCar">
    <w:name w:val="Párrafo de lista Car"/>
    <w:basedOn w:val="Fuentedeprrafopredeter"/>
    <w:link w:val="Prrafodelista"/>
    <w:uiPriority w:val="34"/>
    <w:qFormat/>
    <w:rsid w:val="00C5389C"/>
    <w:rPr>
      <w:rFonts w:eastAsiaTheme="minorEastAsia"/>
      <w:lang w:eastAsia="es-ES"/>
    </w:rPr>
  </w:style>
  <w:style w:type="paragraph" w:styleId="Encabezado">
    <w:name w:val="header"/>
    <w:basedOn w:val="Normal"/>
    <w:link w:val="EncabezadoCar"/>
    <w:uiPriority w:val="99"/>
    <w:unhideWhenUsed/>
    <w:rsid w:val="00C538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389C"/>
    <w:rPr>
      <w:rFonts w:ascii="Calibri" w:eastAsia="Calibri" w:hAnsi="Calibri" w:cs="DejaVu Sans"/>
      <w:color w:val="00000A"/>
    </w:rPr>
  </w:style>
  <w:style w:type="paragraph" w:styleId="Piedepgina">
    <w:name w:val="footer"/>
    <w:basedOn w:val="Normal"/>
    <w:link w:val="PiedepginaCar"/>
    <w:uiPriority w:val="99"/>
    <w:unhideWhenUsed/>
    <w:rsid w:val="00C538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389C"/>
    <w:rPr>
      <w:rFonts w:ascii="Calibri" w:eastAsia="Calibri" w:hAnsi="Calibri" w:cs="DejaVu Sans"/>
      <w:color w:val="00000A"/>
    </w:rPr>
  </w:style>
  <w:style w:type="paragraph" w:styleId="Sinespaciado">
    <w:name w:val="No Spacing"/>
    <w:uiPriority w:val="1"/>
    <w:qFormat/>
    <w:rsid w:val="00EC1527"/>
    <w:pPr>
      <w:spacing w:after="0" w:line="240" w:lineRule="auto"/>
    </w:pPr>
    <w:rPr>
      <w:rFonts w:ascii="Times New Roman" w:eastAsia="Times New Roman" w:hAnsi="Times New Roman" w:cs="Times New Roman"/>
      <w:color w:val="00000A"/>
      <w:sz w:val="24"/>
      <w:szCs w:val="24"/>
      <w:lang w:eastAsia="es-ES"/>
    </w:rPr>
  </w:style>
  <w:style w:type="paragraph" w:styleId="Textodeglobo">
    <w:name w:val="Balloon Text"/>
    <w:basedOn w:val="Normal"/>
    <w:link w:val="TextodegloboCar"/>
    <w:uiPriority w:val="99"/>
    <w:semiHidden/>
    <w:unhideWhenUsed/>
    <w:rsid w:val="00F336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608"/>
    <w:rPr>
      <w:rFonts w:ascii="Tahoma" w:eastAsia="Calibri" w:hAnsi="Tahoma" w:cs="Tahoma"/>
      <w:color w:val="00000A"/>
      <w:sz w:val="16"/>
      <w:szCs w:val="16"/>
    </w:rPr>
  </w:style>
  <w:style w:type="character" w:styleId="Hipervnculo">
    <w:name w:val="Hyperlink"/>
    <w:basedOn w:val="Fuentedeprrafopredeter"/>
    <w:uiPriority w:val="99"/>
    <w:unhideWhenUsed/>
    <w:rsid w:val="008C43BC"/>
    <w:rPr>
      <w:color w:val="0000FF" w:themeColor="hyperlink"/>
      <w:u w:val="single"/>
    </w:rPr>
  </w:style>
  <w:style w:type="paragraph" w:styleId="NormalWeb">
    <w:name w:val="Normal (Web)"/>
    <w:basedOn w:val="Normal"/>
    <w:uiPriority w:val="99"/>
    <w:unhideWhenUsed/>
    <w:rsid w:val="00975226"/>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38A"/>
    <w:pPr>
      <w:spacing w:after="160" w:line="252" w:lineRule="auto"/>
    </w:pPr>
    <w:rPr>
      <w:rFonts w:ascii="Calibri" w:eastAsia="Calibri" w:hAnsi="Calibri" w:cs="DejaVu Sans"/>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5389C"/>
    <w:pPr>
      <w:spacing w:after="200" w:line="276" w:lineRule="auto"/>
      <w:ind w:left="720"/>
      <w:contextualSpacing/>
    </w:pPr>
    <w:rPr>
      <w:rFonts w:asciiTheme="minorHAnsi" w:eastAsiaTheme="minorEastAsia" w:hAnsiTheme="minorHAnsi" w:cstheme="minorBidi"/>
      <w:color w:val="auto"/>
      <w:lang w:eastAsia="es-ES"/>
    </w:rPr>
  </w:style>
  <w:style w:type="character" w:customStyle="1" w:styleId="PrrafodelistaCar">
    <w:name w:val="Párrafo de lista Car"/>
    <w:basedOn w:val="Fuentedeprrafopredeter"/>
    <w:link w:val="Prrafodelista"/>
    <w:uiPriority w:val="34"/>
    <w:qFormat/>
    <w:rsid w:val="00C5389C"/>
    <w:rPr>
      <w:rFonts w:eastAsiaTheme="minorEastAsia"/>
      <w:lang w:eastAsia="es-ES"/>
    </w:rPr>
  </w:style>
  <w:style w:type="paragraph" w:styleId="Encabezado">
    <w:name w:val="header"/>
    <w:basedOn w:val="Normal"/>
    <w:link w:val="EncabezadoCar"/>
    <w:uiPriority w:val="99"/>
    <w:unhideWhenUsed/>
    <w:rsid w:val="00C538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389C"/>
    <w:rPr>
      <w:rFonts w:ascii="Calibri" w:eastAsia="Calibri" w:hAnsi="Calibri" w:cs="DejaVu Sans"/>
      <w:color w:val="00000A"/>
    </w:rPr>
  </w:style>
  <w:style w:type="paragraph" w:styleId="Piedepgina">
    <w:name w:val="footer"/>
    <w:basedOn w:val="Normal"/>
    <w:link w:val="PiedepginaCar"/>
    <w:uiPriority w:val="99"/>
    <w:unhideWhenUsed/>
    <w:rsid w:val="00C538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389C"/>
    <w:rPr>
      <w:rFonts w:ascii="Calibri" w:eastAsia="Calibri" w:hAnsi="Calibri" w:cs="DejaVu Sans"/>
      <w:color w:val="00000A"/>
    </w:rPr>
  </w:style>
  <w:style w:type="paragraph" w:styleId="Sinespaciado">
    <w:name w:val="No Spacing"/>
    <w:uiPriority w:val="1"/>
    <w:qFormat/>
    <w:rsid w:val="00EC1527"/>
    <w:pPr>
      <w:spacing w:after="0" w:line="240" w:lineRule="auto"/>
    </w:pPr>
    <w:rPr>
      <w:rFonts w:ascii="Times New Roman" w:eastAsia="Times New Roman" w:hAnsi="Times New Roman" w:cs="Times New Roman"/>
      <w:color w:val="00000A"/>
      <w:sz w:val="24"/>
      <w:szCs w:val="24"/>
      <w:lang w:eastAsia="es-ES"/>
    </w:rPr>
  </w:style>
  <w:style w:type="paragraph" w:styleId="Textodeglobo">
    <w:name w:val="Balloon Text"/>
    <w:basedOn w:val="Normal"/>
    <w:link w:val="TextodegloboCar"/>
    <w:uiPriority w:val="99"/>
    <w:semiHidden/>
    <w:unhideWhenUsed/>
    <w:rsid w:val="00F336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608"/>
    <w:rPr>
      <w:rFonts w:ascii="Tahoma" w:eastAsia="Calibri" w:hAnsi="Tahoma" w:cs="Tahoma"/>
      <w:color w:val="00000A"/>
      <w:sz w:val="16"/>
      <w:szCs w:val="16"/>
    </w:rPr>
  </w:style>
  <w:style w:type="character" w:styleId="Hipervnculo">
    <w:name w:val="Hyperlink"/>
    <w:basedOn w:val="Fuentedeprrafopredeter"/>
    <w:uiPriority w:val="99"/>
    <w:unhideWhenUsed/>
    <w:rsid w:val="008C43BC"/>
    <w:rPr>
      <w:color w:val="0000FF" w:themeColor="hyperlink"/>
      <w:u w:val="single"/>
    </w:rPr>
  </w:style>
  <w:style w:type="paragraph" w:styleId="NormalWeb">
    <w:name w:val="Normal (Web)"/>
    <w:basedOn w:val="Normal"/>
    <w:uiPriority w:val="99"/>
    <w:unhideWhenUsed/>
    <w:rsid w:val="00975226"/>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s>
</file>

<file path=word/webSettings.xml><?xml version="1.0" encoding="utf-8"?>
<w:webSettings xmlns:r="http://schemas.openxmlformats.org/officeDocument/2006/relationships" xmlns:w="http://schemas.openxmlformats.org/wordprocessingml/2006/main">
  <w:divs>
    <w:div w:id="185366150">
      <w:bodyDiv w:val="1"/>
      <w:marLeft w:val="0"/>
      <w:marRight w:val="0"/>
      <w:marTop w:val="0"/>
      <w:marBottom w:val="0"/>
      <w:divBdr>
        <w:top w:val="none" w:sz="0" w:space="0" w:color="auto"/>
        <w:left w:val="none" w:sz="0" w:space="0" w:color="auto"/>
        <w:bottom w:val="none" w:sz="0" w:space="0" w:color="auto"/>
        <w:right w:val="none" w:sz="0" w:space="0" w:color="auto"/>
      </w:divBdr>
    </w:div>
    <w:div w:id="405149914">
      <w:bodyDiv w:val="1"/>
      <w:marLeft w:val="0"/>
      <w:marRight w:val="0"/>
      <w:marTop w:val="0"/>
      <w:marBottom w:val="0"/>
      <w:divBdr>
        <w:top w:val="none" w:sz="0" w:space="0" w:color="auto"/>
        <w:left w:val="none" w:sz="0" w:space="0" w:color="auto"/>
        <w:bottom w:val="none" w:sz="0" w:space="0" w:color="auto"/>
        <w:right w:val="none" w:sz="0" w:space="0" w:color="auto"/>
      </w:divBdr>
    </w:div>
    <w:div w:id="15415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15</Pages>
  <Words>4280</Words>
  <Characters>23545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MNIO</cp:lastModifiedBy>
  <cp:revision>63</cp:revision>
  <dcterms:created xsi:type="dcterms:W3CDTF">2022-11-24T00:00:00Z</dcterms:created>
  <dcterms:modified xsi:type="dcterms:W3CDTF">2022-11-24T21:25:00Z</dcterms:modified>
</cp:coreProperties>
</file>