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AA" w:rsidRPr="00017996" w:rsidRDefault="00FA1BAA" w:rsidP="00FA1BAA">
      <w:pPr>
        <w:jc w:val="center"/>
        <w:rPr>
          <w:b/>
          <w:color w:val="C45911"/>
          <w:sz w:val="32"/>
          <w:szCs w:val="32"/>
          <w:lang w:val="en-US"/>
        </w:rPr>
      </w:pPr>
      <w:r w:rsidRPr="00017996">
        <w:rPr>
          <w:noProof/>
          <w:lang w:val="es-MX" w:eastAsia="es-MX"/>
        </w:rPr>
        <w:drawing>
          <wp:anchor distT="0" distB="0" distL="114300" distR="114300" simplePos="0" relativeHeight="251659264" behindDoc="0" locked="0" layoutInCell="1" allowOverlap="1" wp14:anchorId="4BB06AAC" wp14:editId="49F92937">
            <wp:simplePos x="0" y="0"/>
            <wp:positionH relativeFrom="margin">
              <wp:posOffset>-1070610</wp:posOffset>
            </wp:positionH>
            <wp:positionV relativeFrom="margin">
              <wp:posOffset>-600075</wp:posOffset>
            </wp:positionV>
            <wp:extent cx="7753350" cy="671195"/>
            <wp:effectExtent l="0" t="0" r="0" b="0"/>
            <wp:wrapSquare wrapText="bothSides"/>
            <wp:docPr id="1" name="Imagen 1" descr="D:\ @RIELSR\      MEDICINA\     Investigacion\Eventos\2022\MORFOVIRTUAL 2022\IMG_20221112_09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RIELSR\      MEDICINA\     Investigacion\Eventos\2022\MORFOVIRTUAL 2022\IMG_20221112_0923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33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996">
        <w:rPr>
          <w:b/>
          <w:color w:val="C45911"/>
          <w:sz w:val="32"/>
          <w:szCs w:val="32"/>
          <w:lang w:val="en-US"/>
        </w:rPr>
        <w:t xml:space="preserve">VI </w:t>
      </w:r>
      <w:proofErr w:type="spellStart"/>
      <w:r w:rsidRPr="00017996">
        <w:rPr>
          <w:b/>
          <w:color w:val="C45911"/>
          <w:sz w:val="32"/>
          <w:szCs w:val="32"/>
          <w:lang w:val="en-US"/>
        </w:rPr>
        <w:t>Congreso</w:t>
      </w:r>
      <w:proofErr w:type="spellEnd"/>
      <w:r w:rsidRPr="00017996">
        <w:rPr>
          <w:b/>
          <w:color w:val="C45911"/>
          <w:sz w:val="32"/>
          <w:szCs w:val="32"/>
          <w:lang w:val="en-US"/>
        </w:rPr>
        <w:t xml:space="preserve"> virtual de </w:t>
      </w:r>
      <w:proofErr w:type="spellStart"/>
      <w:r w:rsidRPr="00017996">
        <w:rPr>
          <w:b/>
          <w:color w:val="C45911"/>
          <w:sz w:val="32"/>
          <w:szCs w:val="32"/>
          <w:lang w:val="en-US"/>
        </w:rPr>
        <w:t>Ciencias</w:t>
      </w:r>
      <w:proofErr w:type="spellEnd"/>
      <w:r w:rsidRPr="00017996">
        <w:rPr>
          <w:b/>
          <w:color w:val="C45911"/>
          <w:sz w:val="32"/>
          <w:szCs w:val="32"/>
          <w:lang w:val="en-US"/>
        </w:rPr>
        <w:t xml:space="preserve"> </w:t>
      </w:r>
      <w:proofErr w:type="spellStart"/>
      <w:r w:rsidRPr="00017996">
        <w:rPr>
          <w:b/>
          <w:color w:val="C45911"/>
          <w:sz w:val="32"/>
          <w:szCs w:val="32"/>
          <w:lang w:val="en-US"/>
        </w:rPr>
        <w:t>Morfológicas</w:t>
      </w:r>
      <w:proofErr w:type="spellEnd"/>
      <w:r w:rsidRPr="00017996">
        <w:rPr>
          <w:b/>
          <w:color w:val="C45911"/>
          <w:sz w:val="32"/>
          <w:szCs w:val="32"/>
          <w:lang w:val="en-US"/>
        </w:rPr>
        <w:t>.</w:t>
      </w:r>
    </w:p>
    <w:p w:rsidR="00FA1BAA" w:rsidRPr="00017996" w:rsidRDefault="00FA1BAA" w:rsidP="00FA1BAA">
      <w:pPr>
        <w:spacing w:after="0" w:line="360" w:lineRule="auto"/>
        <w:ind w:left="-425"/>
        <w:jc w:val="center"/>
        <w:rPr>
          <w:b/>
          <w:color w:val="C45911"/>
          <w:sz w:val="32"/>
          <w:szCs w:val="32"/>
          <w:lang w:val="en-US"/>
        </w:rPr>
      </w:pPr>
      <w:proofErr w:type="spellStart"/>
      <w:r w:rsidRPr="00017996">
        <w:rPr>
          <w:b/>
          <w:color w:val="C45911"/>
          <w:sz w:val="32"/>
          <w:szCs w:val="32"/>
          <w:lang w:val="en-US"/>
        </w:rPr>
        <w:t>Sexta</w:t>
      </w:r>
      <w:proofErr w:type="spellEnd"/>
      <w:r w:rsidRPr="00017996">
        <w:rPr>
          <w:b/>
          <w:color w:val="C45911"/>
          <w:sz w:val="32"/>
          <w:szCs w:val="32"/>
          <w:lang w:val="en-US"/>
        </w:rPr>
        <w:t xml:space="preserve"> </w:t>
      </w:r>
      <w:proofErr w:type="spellStart"/>
      <w:r w:rsidRPr="00017996">
        <w:rPr>
          <w:b/>
          <w:color w:val="C45911"/>
          <w:sz w:val="32"/>
          <w:szCs w:val="32"/>
          <w:lang w:val="en-US"/>
        </w:rPr>
        <w:t>Jornada</w:t>
      </w:r>
      <w:proofErr w:type="spellEnd"/>
      <w:r w:rsidRPr="00017996">
        <w:rPr>
          <w:b/>
          <w:color w:val="C45911"/>
          <w:sz w:val="32"/>
          <w:szCs w:val="32"/>
          <w:lang w:val="en-US"/>
        </w:rPr>
        <w:t xml:space="preserve"> </w:t>
      </w:r>
      <w:proofErr w:type="spellStart"/>
      <w:r w:rsidRPr="00017996">
        <w:rPr>
          <w:b/>
          <w:color w:val="C45911"/>
          <w:sz w:val="32"/>
          <w:szCs w:val="32"/>
          <w:lang w:val="en-US"/>
        </w:rPr>
        <w:t>Científica</w:t>
      </w:r>
      <w:proofErr w:type="spellEnd"/>
      <w:r w:rsidRPr="00017996">
        <w:rPr>
          <w:b/>
          <w:color w:val="C45911"/>
          <w:sz w:val="32"/>
          <w:szCs w:val="32"/>
          <w:lang w:val="en-US"/>
        </w:rPr>
        <w:t xml:space="preserve"> de la </w:t>
      </w:r>
      <w:proofErr w:type="spellStart"/>
      <w:r w:rsidRPr="00017996">
        <w:rPr>
          <w:b/>
          <w:color w:val="C45911"/>
          <w:sz w:val="32"/>
          <w:szCs w:val="32"/>
          <w:lang w:val="en-US"/>
        </w:rPr>
        <w:t>Cátedra</w:t>
      </w:r>
      <w:proofErr w:type="spellEnd"/>
      <w:r w:rsidRPr="00017996">
        <w:rPr>
          <w:b/>
          <w:color w:val="C45911"/>
          <w:sz w:val="32"/>
          <w:szCs w:val="32"/>
          <w:lang w:val="en-US"/>
        </w:rPr>
        <w:t xml:space="preserve"> Santiago Ramón y </w:t>
      </w:r>
      <w:proofErr w:type="spellStart"/>
      <w:r w:rsidRPr="00017996">
        <w:rPr>
          <w:b/>
          <w:color w:val="C45911"/>
          <w:sz w:val="32"/>
          <w:szCs w:val="32"/>
          <w:lang w:val="en-US"/>
        </w:rPr>
        <w:t>Cajal</w:t>
      </w:r>
      <w:proofErr w:type="spellEnd"/>
      <w:r w:rsidRPr="00017996">
        <w:rPr>
          <w:b/>
          <w:color w:val="C45911"/>
          <w:sz w:val="32"/>
          <w:szCs w:val="32"/>
          <w:lang w:val="en-US"/>
        </w:rPr>
        <w:t>.</w:t>
      </w:r>
    </w:p>
    <w:p w:rsidR="00FA1BAA" w:rsidRPr="00FA1BAA" w:rsidRDefault="00FA1BAA" w:rsidP="00FA1BAA">
      <w:pPr>
        <w:spacing w:after="0" w:line="360" w:lineRule="auto"/>
        <w:ind w:right="4"/>
        <w:jc w:val="center"/>
        <w:rPr>
          <w:rFonts w:ascii="Verdana" w:eastAsia="Calibri" w:hAnsi="Verdana"/>
          <w:b/>
          <w:bCs/>
          <w:sz w:val="28"/>
          <w:szCs w:val="24"/>
          <w:lang w:val="es-MX"/>
        </w:rPr>
      </w:pPr>
      <w:r w:rsidRPr="00FA1BAA">
        <w:rPr>
          <w:rFonts w:ascii="Verdana" w:eastAsia="Calibri" w:hAnsi="Verdana"/>
          <w:b/>
          <w:bCs/>
          <w:sz w:val="28"/>
          <w:szCs w:val="24"/>
          <w:lang w:val="es-MX"/>
        </w:rPr>
        <w:t xml:space="preserve">Factores </w:t>
      </w:r>
      <w:bookmarkStart w:id="0" w:name="_GoBack"/>
      <w:r w:rsidRPr="008F0B90">
        <w:rPr>
          <w:rFonts w:ascii="Verdana" w:eastAsia="Calibri" w:hAnsi="Verdana"/>
          <w:b/>
          <w:bCs/>
          <w:caps/>
          <w:sz w:val="28"/>
          <w:szCs w:val="24"/>
          <w:lang w:val="es-MX"/>
        </w:rPr>
        <w:t>neurológicos asociados a la mortalidad en pacientes con accidente cerebrovascular y ventilación mecánica artificial.</w:t>
      </w:r>
      <w:bookmarkEnd w:id="0"/>
    </w:p>
    <w:p w:rsidR="00FA1BAA" w:rsidRPr="00FA1BAA" w:rsidRDefault="00FA1BAA" w:rsidP="00FA1BAA">
      <w:pPr>
        <w:spacing w:after="0" w:line="360" w:lineRule="auto"/>
        <w:ind w:right="4"/>
        <w:jc w:val="both"/>
        <w:rPr>
          <w:rFonts w:ascii="Verdana" w:eastAsia="Calibri" w:hAnsi="Verdana"/>
          <w:bCs/>
          <w:lang w:val="es-MX"/>
        </w:rPr>
      </w:pPr>
      <w:r w:rsidRPr="00FA1BAA">
        <w:rPr>
          <w:rFonts w:ascii="Verdana" w:eastAsia="Calibri" w:hAnsi="Verdana"/>
          <w:bCs/>
          <w:lang w:val="es-MX"/>
        </w:rPr>
        <w:t>Autores</w:t>
      </w:r>
    </w:p>
    <w:p w:rsidR="00FA1BAA" w:rsidRPr="00FA1BAA" w:rsidRDefault="00FA1BAA" w:rsidP="00FA1BAA">
      <w:pPr>
        <w:spacing w:after="0" w:line="360" w:lineRule="auto"/>
        <w:ind w:right="4"/>
        <w:jc w:val="both"/>
        <w:rPr>
          <w:rFonts w:ascii="Verdana" w:eastAsia="Calibri" w:hAnsi="Verdana" w:cs="Arial"/>
          <w:lang w:val="es-MX"/>
        </w:rPr>
      </w:pPr>
      <w:r w:rsidRPr="00FA1BAA">
        <w:rPr>
          <w:rFonts w:ascii="Verdana" w:eastAsia="Calibri" w:hAnsi="Verdana"/>
          <w:lang w:val="es-MX"/>
        </w:rPr>
        <w:t xml:space="preserve">Ariel Sosa Remón </w:t>
      </w:r>
      <w:r w:rsidRPr="00FA1BAA">
        <w:rPr>
          <w:rFonts w:ascii="Verdana" w:eastAsia="Calibri" w:hAnsi="Verdana"/>
          <w:vertAlign w:val="superscript"/>
          <w:lang w:val="es-MX"/>
        </w:rPr>
        <w:t>1</w:t>
      </w:r>
      <w:r w:rsidRPr="00FA1BAA">
        <w:rPr>
          <w:rFonts w:ascii="Verdana" w:eastAsia="Calibri" w:hAnsi="Verdana"/>
          <w:lang w:val="es-MX"/>
        </w:rPr>
        <w:t xml:space="preserve">*, Ana Esperanza, Jerez Álvarez </w:t>
      </w:r>
      <w:r w:rsidRPr="00FA1BAA">
        <w:rPr>
          <w:rFonts w:ascii="Verdana" w:eastAsia="Calibri" w:hAnsi="Verdana"/>
          <w:vertAlign w:val="superscript"/>
          <w:lang w:val="es-MX"/>
        </w:rPr>
        <w:t>2</w:t>
      </w:r>
      <w:r w:rsidRPr="00FA1BAA">
        <w:rPr>
          <w:rFonts w:ascii="Verdana" w:eastAsia="Calibri" w:hAnsi="Verdana"/>
          <w:lang w:val="es-MX"/>
        </w:rPr>
        <w:t xml:space="preserve">, Arian Jesús Cuba Naranjo </w:t>
      </w:r>
      <w:r w:rsidRPr="00FA1BAA">
        <w:rPr>
          <w:rFonts w:ascii="Verdana" w:eastAsia="Calibri" w:hAnsi="Verdana"/>
          <w:vertAlign w:val="superscript"/>
          <w:lang w:val="es-MX"/>
        </w:rPr>
        <w:t>3</w:t>
      </w:r>
      <w:r w:rsidRPr="00FA1BAA">
        <w:rPr>
          <w:rFonts w:ascii="Verdana" w:eastAsia="Calibri" w:hAnsi="Verdana"/>
          <w:lang w:val="es-MX"/>
        </w:rPr>
        <w:t xml:space="preserve">, </w:t>
      </w:r>
      <w:proofErr w:type="spellStart"/>
      <w:r w:rsidRPr="00FA1BAA">
        <w:rPr>
          <w:rFonts w:ascii="Verdana" w:eastAsia="Calibri" w:hAnsi="Verdana" w:cs="Arial"/>
          <w:lang w:val="es-MX"/>
        </w:rPr>
        <w:t>Dasha</w:t>
      </w:r>
      <w:proofErr w:type="spellEnd"/>
      <w:r w:rsidRPr="00FA1BAA">
        <w:rPr>
          <w:rFonts w:ascii="Verdana" w:eastAsia="Calibri" w:hAnsi="Verdana" w:cs="Arial"/>
          <w:lang w:val="es-MX"/>
        </w:rPr>
        <w:t xml:space="preserve"> María, García Arias </w:t>
      </w:r>
      <w:r w:rsidRPr="00FA1BAA">
        <w:rPr>
          <w:rFonts w:ascii="Verdana" w:eastAsia="Calibri" w:hAnsi="Verdana" w:cs="Arial"/>
          <w:vertAlign w:val="superscript"/>
          <w:lang w:val="es-MX"/>
        </w:rPr>
        <w:t>4</w:t>
      </w:r>
      <w:r w:rsidRPr="00FA1BAA">
        <w:rPr>
          <w:rFonts w:ascii="Verdana" w:eastAsia="Calibri" w:hAnsi="Verdana" w:cs="Arial"/>
          <w:lang w:val="es-MX"/>
        </w:rPr>
        <w:t xml:space="preserve">, </w:t>
      </w:r>
    </w:p>
    <w:p w:rsidR="00FA1BAA" w:rsidRPr="00FA1BAA" w:rsidRDefault="00FA1BAA" w:rsidP="00FA1BAA">
      <w:pPr>
        <w:spacing w:after="0" w:line="360" w:lineRule="auto"/>
        <w:ind w:right="4"/>
        <w:jc w:val="both"/>
        <w:rPr>
          <w:rFonts w:ascii="Verdana" w:eastAsia="Calibri" w:hAnsi="Verdana"/>
          <w:lang w:val="es-MX"/>
        </w:rPr>
      </w:pPr>
      <w:r w:rsidRPr="00FA1BAA">
        <w:rPr>
          <w:rFonts w:ascii="Verdana" w:eastAsia="Calibri" w:hAnsi="Verdana" w:cs="Arial"/>
          <w:vertAlign w:val="superscript"/>
          <w:lang w:val="es-MX"/>
        </w:rPr>
        <w:t>1</w:t>
      </w:r>
      <w:r w:rsidRPr="00FA1BAA">
        <w:rPr>
          <w:rFonts w:ascii="Verdana" w:eastAsia="Calibri" w:hAnsi="Verdana"/>
          <w:lang w:val="es-MX"/>
        </w:rPr>
        <w:t xml:space="preserve"> Doctor en Medicina. Especialista de 1er grado en Medicina Intensiva y Emergencias. Unidad de Cuidados Intensivos Oncológicos, Instituto Nacional de Oncología y Radiobiología. La Habana, Cuba. </w:t>
      </w:r>
    </w:p>
    <w:p w:rsidR="00FA1BAA" w:rsidRPr="00FA1BAA" w:rsidRDefault="00FA1BAA" w:rsidP="00FA1BAA">
      <w:pPr>
        <w:spacing w:after="0" w:line="360" w:lineRule="auto"/>
        <w:ind w:right="4"/>
        <w:jc w:val="both"/>
        <w:rPr>
          <w:rStyle w:val="15"/>
          <w:rFonts w:ascii="Verdana" w:eastAsia="SimSun" w:hAnsi="Verdana" w:cs="Times New Roman"/>
          <w:lang w:val="es-ES"/>
        </w:rPr>
      </w:pPr>
      <w:r w:rsidRPr="00FA1BAA">
        <w:rPr>
          <w:rFonts w:ascii="Verdana" w:eastAsia="Calibri" w:hAnsi="Verdana"/>
          <w:vertAlign w:val="superscript"/>
          <w:lang w:val="es-MX"/>
        </w:rPr>
        <w:t>2</w:t>
      </w:r>
      <w:r w:rsidRPr="00FA1BAA">
        <w:rPr>
          <w:rFonts w:ascii="Verdana" w:eastAsia="Calibri" w:hAnsi="Verdana"/>
          <w:lang w:val="es-MX"/>
        </w:rPr>
        <w:t xml:space="preserve"> Doctora en Medicina. Especialista de 1er grado en Medicina Interna, Servicio de Medicina Interna. Hospital clínico-quirúrgico ¨Celia Sánchez Manduley¨. Granma, Cuba.  </w:t>
      </w:r>
    </w:p>
    <w:p w:rsidR="00FA1BAA" w:rsidRPr="00FA1BAA" w:rsidRDefault="00FA1BAA" w:rsidP="00FA1BAA">
      <w:pPr>
        <w:pStyle w:val="Default"/>
        <w:spacing w:before="0" w:beforeAutospacing="0" w:line="360" w:lineRule="auto"/>
        <w:ind w:right="4"/>
        <w:jc w:val="both"/>
        <w:rPr>
          <w:rStyle w:val="Hipervnculo"/>
          <w:rFonts w:eastAsia="Times New Roman"/>
          <w:sz w:val="22"/>
          <w:szCs w:val="22"/>
        </w:rPr>
      </w:pPr>
      <w:r w:rsidRPr="00FA1BAA">
        <w:rPr>
          <w:rFonts w:eastAsia="Calibri"/>
          <w:sz w:val="22"/>
          <w:szCs w:val="22"/>
          <w:vertAlign w:val="superscript"/>
          <w:lang w:val="es-MX"/>
        </w:rPr>
        <w:t>3</w:t>
      </w:r>
      <w:r w:rsidRPr="00FA1BAA">
        <w:rPr>
          <w:rFonts w:eastAsia="Calibri"/>
          <w:sz w:val="22"/>
          <w:szCs w:val="22"/>
          <w:lang w:val="es-MX"/>
        </w:rPr>
        <w:t xml:space="preserve"> Doctor en Medicina. Especialista de 1er grado en Medicina Intensiva y Emergencias. Unidad de Cuidados Intensivos Polivalentes, Hospital Universitario de Maracaibo, Venezuela. </w:t>
      </w:r>
    </w:p>
    <w:p w:rsidR="00FA1BAA" w:rsidRPr="00FA1BAA" w:rsidRDefault="00FA1BAA" w:rsidP="00FA1BAA">
      <w:pPr>
        <w:spacing w:after="0" w:line="360" w:lineRule="auto"/>
        <w:ind w:right="4"/>
        <w:jc w:val="both"/>
        <w:rPr>
          <w:rStyle w:val="15"/>
          <w:rFonts w:ascii="Verdana" w:eastAsia="SimSun" w:hAnsi="Verdana" w:cs="Arial"/>
          <w:lang w:val="es-ES"/>
        </w:rPr>
      </w:pPr>
      <w:r w:rsidRPr="00FA1BAA">
        <w:rPr>
          <w:rFonts w:ascii="Verdana" w:eastAsia="Calibri" w:hAnsi="Verdana"/>
          <w:vertAlign w:val="superscript"/>
          <w:lang w:val="es-MX"/>
        </w:rPr>
        <w:t>4.</w:t>
      </w:r>
      <w:r w:rsidRPr="00FA1BAA">
        <w:rPr>
          <w:rFonts w:ascii="Verdana" w:eastAsia="Calibri" w:hAnsi="Verdana"/>
          <w:lang w:val="es-MX"/>
        </w:rPr>
        <w:t xml:space="preserve"> Ingeniera en telecomunicaciones. Departamento de Informática, Facultad de Ciencias Médicas “Celia Sánchez Manduley”. Granma, Cuba.  </w:t>
      </w:r>
    </w:p>
    <w:p w:rsidR="00FA1BAA" w:rsidRPr="00FA1BAA" w:rsidRDefault="00FA1BAA" w:rsidP="00FA1BAA">
      <w:pPr>
        <w:spacing w:after="0" w:line="360" w:lineRule="auto"/>
        <w:ind w:right="4"/>
        <w:jc w:val="both"/>
        <w:rPr>
          <w:rStyle w:val="Hipervnculo"/>
          <w:rFonts w:ascii="Verdana" w:hAnsi="Verdana"/>
          <w:lang w:val="es-MX"/>
        </w:rPr>
      </w:pPr>
      <w:r w:rsidRPr="00FA1BAA">
        <w:rPr>
          <w:rFonts w:ascii="Verdana" w:hAnsi="Verdana"/>
          <w:b/>
          <w:lang w:val="es-MX"/>
        </w:rPr>
        <w:t>*Autor para correspondencia:</w:t>
      </w:r>
      <w:r w:rsidRPr="00FA1BAA">
        <w:rPr>
          <w:rFonts w:ascii="Verdana" w:hAnsi="Verdana"/>
          <w:lang w:val="es-MX"/>
        </w:rPr>
        <w:t xml:space="preserve"> </w:t>
      </w:r>
      <w:hyperlink r:id="rId6" w:history="1">
        <w:r w:rsidRPr="00FA1BAA">
          <w:rPr>
            <w:rStyle w:val="Hipervnculo"/>
            <w:rFonts w:ascii="Verdana" w:hAnsi="Verdana"/>
            <w:lang w:val="es-MX"/>
          </w:rPr>
          <w:t>asosa@infomed.sld.cu</w:t>
        </w:r>
      </w:hyperlink>
    </w:p>
    <w:p w:rsidR="00FA1BAA" w:rsidRPr="00FA1BAA" w:rsidRDefault="00FA1BAA" w:rsidP="00FA1BAA">
      <w:pPr>
        <w:autoSpaceDE w:val="0"/>
        <w:autoSpaceDN w:val="0"/>
        <w:adjustRightInd w:val="0"/>
        <w:spacing w:after="0" w:line="360" w:lineRule="auto"/>
        <w:ind w:right="4"/>
        <w:jc w:val="both"/>
        <w:rPr>
          <w:rFonts w:ascii="Verdana" w:hAnsi="Verdana"/>
          <w:b/>
          <w:bCs/>
          <w:lang w:val="es-MX"/>
        </w:rPr>
      </w:pPr>
      <w:r w:rsidRPr="00FA1BAA">
        <w:rPr>
          <w:rFonts w:ascii="Verdana" w:hAnsi="Verdana"/>
          <w:b/>
          <w:bCs/>
          <w:lang w:val="es-MX"/>
        </w:rPr>
        <w:t>Resumen</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Introducción: El accidente cerebrovascular es una de las causas más comunes de mortalidad a nivel mundial.</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Objetivo: Determinar la asociación existente entre el desarrollo de afecciones neurológicas y la necesidad de ventilación mecánica con el aumento de la incidencia de mortalidad en la unidad de cuidados intensivos.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Métodos: Estudio observacional, prospectivo de corte transversal, realizado en la unidad de cuidados intensivos de un hospital de atención secundaria. La población de estudio estuvo constituida por 52 pacientes con accidente cerebrovascular los cuales recibieron soporte respiratorio artificial entre los años 2018 y 2020. La variable de interés final fue la mortalidad. Los factores </w:t>
      </w:r>
      <w:r w:rsidRPr="00FA1BAA">
        <w:rPr>
          <w:rFonts w:ascii="Verdana" w:eastAsia="Calibri" w:hAnsi="Verdana"/>
          <w:color w:val="000000"/>
          <w:lang w:val="es-MX"/>
        </w:rPr>
        <w:lastRenderedPageBreak/>
        <w:t>neurológicos estudiados fueron el tipo de accidente cerebrovascular, puntuación de la escala de coma de Glasgow, ausencia de reflejos de tallo encefálico, anisocoria y complicaciones neurológicas. El nivel de significación se halló según p valor ≤ 0,05 a través de Chi cuadrado de independencia.</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Resultados: La mortalidad proporcional predominó en el accidente cerebrovascular hemorrágico tipo hemorragia intracraneal no traumática (p= 0,118), ausencia de reflejos del tallo encefálico (p=0,000), anisocoria (p=0,000), escala de coma de Glasgow &lt;8 puntos (p=0,000) y complicaciones neurológicas como la hipertensión endocraneana (p=0,010).</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Conclusiones: Los factores neurológicos asociados a la mortalidad fueron la ausencia de reflejos del tallo encefálico, anisocoria, escala de coma de Glasgow &lt;8 puntos y complicaciones neurológicas como la hipertensión endocraneana.</w:t>
      </w:r>
    </w:p>
    <w:p w:rsidR="00FA1BAA" w:rsidRPr="00FA1BAA" w:rsidRDefault="00FA1BAA" w:rsidP="00FA1BAA">
      <w:pPr>
        <w:autoSpaceDE w:val="0"/>
        <w:autoSpaceDN w:val="0"/>
        <w:adjustRightInd w:val="0"/>
        <w:spacing w:after="0" w:line="360" w:lineRule="auto"/>
        <w:jc w:val="both"/>
        <w:rPr>
          <w:rFonts w:ascii="Verdana" w:hAnsi="Verdana"/>
        </w:rPr>
      </w:pPr>
      <w:r w:rsidRPr="00FA1BAA">
        <w:rPr>
          <w:rFonts w:ascii="Verdana" w:eastAsia="Calibri" w:hAnsi="Verdana"/>
          <w:color w:val="000000"/>
          <w:lang w:val="es-MX"/>
        </w:rPr>
        <w:t>Palabras clave: accidente cerebrovascular; complicaciones neurológicas; factores neurológicos; hemorragia intracraneal; ventilación mecánica artificial; mortalidad</w:t>
      </w:r>
      <w:r w:rsidRPr="00FA1BAA">
        <w:rPr>
          <w:rFonts w:ascii="Verdana" w:hAnsi="Verdana" w:cs="Trebuchet MS"/>
          <w:lang w:val="es-ES"/>
        </w:rPr>
        <w:t>.</w:t>
      </w:r>
    </w:p>
    <w:p w:rsidR="00FA1BAA" w:rsidRPr="00FA1BAA" w:rsidRDefault="00FA1BAA" w:rsidP="00FA1BAA">
      <w:pPr>
        <w:spacing w:after="0" w:line="360" w:lineRule="auto"/>
        <w:ind w:right="4"/>
        <w:jc w:val="both"/>
        <w:rPr>
          <w:rFonts w:ascii="Verdana" w:hAnsi="Verdana"/>
          <w:b/>
          <w:bCs/>
          <w:lang w:val="es-MX"/>
        </w:rPr>
      </w:pPr>
      <w:r w:rsidRPr="00FA1BAA">
        <w:rPr>
          <w:rFonts w:ascii="Verdana" w:hAnsi="Verdana"/>
          <w:b/>
          <w:bCs/>
          <w:lang w:val="es-MX"/>
        </w:rPr>
        <w:t>Introducción</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La indicación primaria de ventilación mecánica artificial (VMA) en una unidad de cuidados</w:t>
      </w:r>
      <w:r>
        <w:rPr>
          <w:rFonts w:ascii="Verdana" w:eastAsia="Calibri" w:hAnsi="Verdana"/>
          <w:color w:val="000000"/>
          <w:lang w:val="es-MX"/>
        </w:rPr>
        <w:t xml:space="preserve"> </w:t>
      </w:r>
      <w:r w:rsidRPr="00FA1BAA">
        <w:rPr>
          <w:rFonts w:ascii="Verdana" w:eastAsia="Calibri" w:hAnsi="Verdana"/>
          <w:color w:val="000000"/>
          <w:lang w:val="es-MX"/>
        </w:rPr>
        <w:t xml:space="preserve">intensivos (UCI) es neurológica en el 20 % de los casos. Estas estadísticas son mucho mayores en las unidades de cuidados neurocríticos en las cuales no menos del 80 % de los pacientes son intubados por injuria neurológica primaria. </w:t>
      </w:r>
      <w:r w:rsidRPr="00FA1BAA">
        <w:rPr>
          <w:rFonts w:ascii="Verdana" w:eastAsia="Calibri" w:hAnsi="Verdana"/>
          <w:color w:val="000000"/>
          <w:vertAlign w:val="superscript"/>
          <w:lang w:val="es-MX"/>
        </w:rPr>
        <w:t>(1)</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La VMA es frecuentemente aplicada para proteger la vía aérea del riesgo de aspiración de contenido gástrico y prevenir la hipoxemia e hipercapnia, las cuales son factores sistémicos de daño cerebral secundario. </w:t>
      </w:r>
      <w:r w:rsidRPr="00FA1BAA">
        <w:rPr>
          <w:rFonts w:ascii="Verdana" w:eastAsia="Calibri" w:hAnsi="Verdana"/>
          <w:color w:val="000000"/>
          <w:vertAlign w:val="superscript"/>
          <w:lang w:val="es-MX"/>
        </w:rPr>
        <w:t>(2)</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Estudios previos mostraron que los accidentes cerebrovasculares (ACV) isquémicos o hemorrágicos que requerían ingreso en UCI y VMA estaban asociadas a un peor pronóstico. Aproximadamente 60 % de los pacientes fallecen en los primeros 2 meses y la mayoría de los supervivientes quedan gravemente afectados. </w:t>
      </w:r>
      <w:r w:rsidRPr="00FA1BAA">
        <w:rPr>
          <w:rFonts w:ascii="Verdana" w:eastAsia="Calibri" w:hAnsi="Verdana"/>
          <w:color w:val="000000"/>
          <w:vertAlign w:val="superscript"/>
          <w:lang w:val="es-MX"/>
        </w:rPr>
        <w:t>(3)</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Se han estudiado diversos factores de índole clínicos, humorales, ventilatorios y neurológicos que pudieran influir en este trágico final. Sin embargo, los resultados de pacientes críticos que reciben VMA al comienzo de un ictus son limitados. </w:t>
      </w:r>
      <w:r w:rsidRPr="00FA1BAA">
        <w:rPr>
          <w:rFonts w:ascii="Verdana" w:eastAsia="Calibri" w:hAnsi="Verdana"/>
          <w:color w:val="000000"/>
          <w:vertAlign w:val="superscript"/>
          <w:lang w:val="es-MX"/>
        </w:rPr>
        <w:t>(4)</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lastRenderedPageBreak/>
        <w:t>Debido a que las alteraciones neurológicas primarias en el ictus agudo (deterioro de conciencia, pérdida de los reflejos protectores de la vía aérea, disfunción del tallo encefálico, hipertensión endocraneana [HEC], entre otros) definen la necesidad de VMA y ensombrecen los resultados finales, el objetivo de esta investigación fue determinar la asociación existente entre el desarrollo de afecciones neurológicas y la necesidad de ventilación mecánica con el aumento de la incidencia de mortalidad en la unidad de cuidados intensivos.</w:t>
      </w:r>
    </w:p>
    <w:p w:rsidR="00FA1BAA" w:rsidRPr="00FA1BAA" w:rsidRDefault="00FA1BAA" w:rsidP="00FA1BAA">
      <w:pPr>
        <w:autoSpaceDE w:val="0"/>
        <w:autoSpaceDN w:val="0"/>
        <w:adjustRightInd w:val="0"/>
        <w:spacing w:after="0" w:line="360" w:lineRule="auto"/>
        <w:jc w:val="both"/>
        <w:rPr>
          <w:rFonts w:ascii="Verdana" w:eastAsia="Calibri" w:hAnsi="Verdana"/>
          <w:b/>
          <w:color w:val="000000"/>
          <w:lang w:val="es-MX"/>
        </w:rPr>
      </w:pPr>
      <w:r w:rsidRPr="00FA1BAA">
        <w:rPr>
          <w:rFonts w:ascii="Verdana" w:eastAsia="Calibri" w:hAnsi="Verdana"/>
          <w:b/>
          <w:color w:val="000000"/>
          <w:lang w:val="es-MX"/>
        </w:rPr>
        <w:t>Métodos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Se realizó un estudio observacional, prospectivo y transversal, en la UCI polivalente del Hospital Clínico Quirúrgico Docente “Celia Sánchez Manduley” en Manzanillo, Cuba, en el período comprendido de enero de 2018 hasta enero 2020.</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Universo: pacientes ingresados en la unidad de cuidados intensivos en el período comprendido de enero de 2018 hasta enero 2020.</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Este universo se le aplicaron los siguientes criterios de inclusión: pacientes mayores de 18 años con diagnóstico clínico y </w:t>
      </w:r>
      <w:proofErr w:type="spellStart"/>
      <w:r w:rsidRPr="00FA1BAA">
        <w:rPr>
          <w:rFonts w:ascii="Verdana" w:eastAsia="Calibri" w:hAnsi="Verdana"/>
          <w:color w:val="000000"/>
          <w:lang w:val="es-MX"/>
        </w:rPr>
        <w:t>tomográfico</w:t>
      </w:r>
      <w:proofErr w:type="spellEnd"/>
      <w:r w:rsidRPr="00FA1BAA">
        <w:rPr>
          <w:rFonts w:ascii="Verdana" w:eastAsia="Calibri" w:hAnsi="Verdana"/>
          <w:color w:val="000000"/>
          <w:lang w:val="es-MX"/>
        </w:rPr>
        <w:t xml:space="preserve"> de ACV que demandaron el uso VMA por más de 24 h debido a criterios neurológicos o respiratorios (deterioro del nivel de conciencia, hipoventilación, neumonía aspirativa, HEC).</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Estos criterios se establecieron al ingreso del paciente en la unidad de cuidados emergentes, UCI o durante su estancia en sala de ictus.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El diagnóstico de ictus fue: ictus isquémico, hemorragia subaracnoidea (HSA), hemorragia</w:t>
      </w:r>
      <w:r>
        <w:rPr>
          <w:rFonts w:ascii="Verdana" w:eastAsia="Calibri" w:hAnsi="Verdana"/>
          <w:color w:val="000000"/>
          <w:lang w:val="es-MX"/>
        </w:rPr>
        <w:t xml:space="preserve"> </w:t>
      </w:r>
      <w:r w:rsidRPr="00FA1BAA">
        <w:rPr>
          <w:rFonts w:ascii="Verdana" w:eastAsia="Calibri" w:hAnsi="Verdana"/>
          <w:color w:val="000000"/>
          <w:lang w:val="es-MX"/>
        </w:rPr>
        <w:t xml:space="preserve">intracraneal no traumática (HIC) y hemorragia </w:t>
      </w:r>
      <w:proofErr w:type="spellStart"/>
      <w:r w:rsidRPr="00FA1BAA">
        <w:rPr>
          <w:rFonts w:ascii="Verdana" w:eastAsia="Calibri" w:hAnsi="Verdana"/>
          <w:color w:val="000000"/>
          <w:lang w:val="es-MX"/>
        </w:rPr>
        <w:t>cerebromeníngea</w:t>
      </w:r>
      <w:proofErr w:type="spellEnd"/>
      <w:r w:rsidRPr="00FA1BAA">
        <w:rPr>
          <w:rFonts w:ascii="Verdana" w:eastAsia="Calibri" w:hAnsi="Verdana"/>
          <w:color w:val="000000"/>
          <w:lang w:val="es-MX"/>
        </w:rPr>
        <w:t xml:space="preserve"> ([HCM] hemorragia intracraneal con extensión ventricular y/o subaracnoidea).</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La muestra quedo constituida por: 52 pacientes con ACV que requirieron uso de VMA debido a criterios neurológicos o respiratorios y cumplieron los criterios de inclusión.</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Al ingreso se estudiaron variables neurológicas como: tipo de ACV (isquémico: </w:t>
      </w:r>
      <w:proofErr w:type="spellStart"/>
      <w:r w:rsidRPr="00FA1BAA">
        <w:rPr>
          <w:rFonts w:ascii="Verdana" w:eastAsia="Calibri" w:hAnsi="Verdana"/>
          <w:color w:val="000000"/>
          <w:lang w:val="es-MX"/>
        </w:rPr>
        <w:t>aterotrombótico</w:t>
      </w:r>
      <w:proofErr w:type="spellEnd"/>
      <w:r w:rsidRPr="00FA1BAA">
        <w:rPr>
          <w:rFonts w:ascii="Verdana" w:eastAsia="Calibri" w:hAnsi="Verdana"/>
          <w:color w:val="000000"/>
          <w:lang w:val="es-MX"/>
        </w:rPr>
        <w:t xml:space="preserve"> [ATE], </w:t>
      </w:r>
      <w:proofErr w:type="spellStart"/>
      <w:r w:rsidRPr="00FA1BAA">
        <w:rPr>
          <w:rFonts w:ascii="Verdana" w:eastAsia="Calibri" w:hAnsi="Verdana"/>
          <w:color w:val="000000"/>
          <w:lang w:val="es-MX"/>
        </w:rPr>
        <w:t>cardioembólico</w:t>
      </w:r>
      <w:proofErr w:type="spellEnd"/>
      <w:r w:rsidRPr="00FA1BAA">
        <w:rPr>
          <w:rFonts w:ascii="Verdana" w:eastAsia="Calibri" w:hAnsi="Verdana"/>
          <w:color w:val="000000"/>
          <w:lang w:val="es-MX"/>
        </w:rPr>
        <w:t xml:space="preserve"> [CAR], hemorrágico: HSA, HIC y HCM), factores neurológicos como la ausencia de reflejos del tallo encefálico (según la </w:t>
      </w:r>
      <w:proofErr w:type="spellStart"/>
      <w:r w:rsidRPr="00FA1BAA">
        <w:rPr>
          <w:rFonts w:ascii="Verdana" w:eastAsia="Calibri" w:hAnsi="Verdana"/>
          <w:color w:val="000000"/>
          <w:lang w:val="es-MX"/>
        </w:rPr>
        <w:t>Brainstem</w:t>
      </w:r>
      <w:proofErr w:type="spellEnd"/>
      <w:r w:rsidRPr="00FA1BAA">
        <w:rPr>
          <w:rFonts w:ascii="Verdana" w:eastAsia="Calibri" w:hAnsi="Verdana"/>
          <w:color w:val="000000"/>
          <w:lang w:val="es-MX"/>
        </w:rPr>
        <w:t xml:space="preserve"> </w:t>
      </w:r>
      <w:proofErr w:type="spellStart"/>
      <w:r w:rsidRPr="00FA1BAA">
        <w:rPr>
          <w:rFonts w:ascii="Verdana" w:eastAsia="Calibri" w:hAnsi="Verdana"/>
          <w:color w:val="000000"/>
          <w:lang w:val="es-MX"/>
        </w:rPr>
        <w:t>Reflexes</w:t>
      </w:r>
      <w:proofErr w:type="spellEnd"/>
      <w:r w:rsidRPr="00FA1BAA">
        <w:rPr>
          <w:rFonts w:ascii="Verdana" w:eastAsia="Calibri" w:hAnsi="Verdana"/>
          <w:color w:val="000000"/>
          <w:lang w:val="es-MX"/>
        </w:rPr>
        <w:t xml:space="preserve"> </w:t>
      </w:r>
      <w:proofErr w:type="spellStart"/>
      <w:r w:rsidRPr="00FA1BAA">
        <w:rPr>
          <w:rFonts w:ascii="Verdana" w:eastAsia="Calibri" w:hAnsi="Verdana"/>
          <w:color w:val="000000"/>
          <w:lang w:val="es-MX"/>
        </w:rPr>
        <w:t>Assessment</w:t>
      </w:r>
      <w:proofErr w:type="spellEnd"/>
      <w:r w:rsidRPr="00FA1BAA">
        <w:rPr>
          <w:rFonts w:ascii="Verdana" w:eastAsia="Calibri" w:hAnsi="Verdana"/>
          <w:color w:val="000000"/>
          <w:lang w:val="es-MX"/>
        </w:rPr>
        <w:t xml:space="preserve"> </w:t>
      </w:r>
      <w:proofErr w:type="spellStart"/>
      <w:r w:rsidRPr="00FA1BAA">
        <w:rPr>
          <w:rFonts w:ascii="Verdana" w:eastAsia="Calibri" w:hAnsi="Verdana"/>
          <w:color w:val="000000"/>
          <w:lang w:val="es-MX"/>
        </w:rPr>
        <w:t>Sedation</w:t>
      </w:r>
      <w:proofErr w:type="spellEnd"/>
      <w:r w:rsidRPr="00FA1BAA">
        <w:rPr>
          <w:rFonts w:ascii="Verdana" w:eastAsia="Calibri" w:hAnsi="Verdana"/>
          <w:color w:val="000000"/>
          <w:lang w:val="es-MX"/>
        </w:rPr>
        <w:t xml:space="preserve"> </w:t>
      </w:r>
      <w:proofErr w:type="spellStart"/>
      <w:r w:rsidRPr="00FA1BAA">
        <w:rPr>
          <w:rFonts w:ascii="Verdana" w:eastAsia="Calibri" w:hAnsi="Verdana"/>
          <w:color w:val="000000"/>
          <w:lang w:val="es-MX"/>
        </w:rPr>
        <w:t>Scale</w:t>
      </w:r>
      <w:proofErr w:type="spellEnd"/>
      <w:r w:rsidRPr="00FA1BAA">
        <w:rPr>
          <w:rFonts w:ascii="Verdana" w:eastAsia="Calibri" w:hAnsi="Verdana"/>
          <w:color w:val="000000"/>
          <w:lang w:val="es-MX"/>
        </w:rPr>
        <w:t xml:space="preserve"> [BRASS], </w:t>
      </w:r>
      <w:r w:rsidRPr="00FA1BAA">
        <w:rPr>
          <w:rFonts w:ascii="Verdana" w:eastAsia="Calibri" w:hAnsi="Verdana"/>
          <w:color w:val="000000"/>
          <w:vertAlign w:val="superscript"/>
          <w:lang w:val="es-MX"/>
        </w:rPr>
        <w:t>(5)</w:t>
      </w:r>
      <w:r w:rsidRPr="00FA1BAA">
        <w:rPr>
          <w:rFonts w:ascii="Verdana" w:eastAsia="Calibri" w:hAnsi="Verdana"/>
          <w:color w:val="000000"/>
          <w:lang w:val="es-MX"/>
        </w:rPr>
        <w:t xml:space="preserve"> los reflejos a evaluar fueron: pupilar, </w:t>
      </w:r>
      <w:proofErr w:type="spellStart"/>
      <w:r w:rsidRPr="00FA1BAA">
        <w:rPr>
          <w:rFonts w:ascii="Verdana" w:eastAsia="Calibri" w:hAnsi="Verdana"/>
          <w:color w:val="000000"/>
          <w:lang w:val="es-MX"/>
        </w:rPr>
        <w:t>oculocefalogiro</w:t>
      </w:r>
      <w:proofErr w:type="spellEnd"/>
      <w:r w:rsidRPr="00FA1BAA">
        <w:rPr>
          <w:rFonts w:ascii="Verdana" w:eastAsia="Calibri" w:hAnsi="Verdana"/>
          <w:color w:val="000000"/>
          <w:lang w:val="es-MX"/>
        </w:rPr>
        <w:t xml:space="preserve">, corneal y tos/succión), presencia de anisocoria y el puntaje de la escala de coma de </w:t>
      </w:r>
      <w:r w:rsidRPr="00FA1BAA">
        <w:rPr>
          <w:rFonts w:ascii="Verdana" w:eastAsia="Calibri" w:hAnsi="Verdana"/>
          <w:color w:val="000000"/>
          <w:lang w:val="es-MX"/>
        </w:rPr>
        <w:lastRenderedPageBreak/>
        <w:t xml:space="preserve">Glasgow (GCS) menor o mayor a 8 puntos. Al ingreso y durante la estadía bajo VMA se estudiaron también la aparición de complicaciones neurológicas como: HEC, convulsiones, </w:t>
      </w:r>
      <w:proofErr w:type="spellStart"/>
      <w:r w:rsidRPr="00FA1BAA">
        <w:rPr>
          <w:rFonts w:ascii="Verdana" w:eastAsia="Calibri" w:hAnsi="Verdana"/>
          <w:color w:val="000000"/>
          <w:lang w:val="es-MX"/>
        </w:rPr>
        <w:t>resangrado</w:t>
      </w:r>
      <w:proofErr w:type="spellEnd"/>
      <w:r w:rsidRPr="00FA1BAA">
        <w:rPr>
          <w:rFonts w:ascii="Verdana" w:eastAsia="Calibri" w:hAnsi="Verdana"/>
          <w:color w:val="000000"/>
          <w:lang w:val="es-MX"/>
        </w:rPr>
        <w:t xml:space="preserve"> y transformación hemorrágica del ictus isquémico. Como variable dependiente se definió la muerte en la UCI.</w:t>
      </w:r>
    </w:p>
    <w:p w:rsidR="00FA1BAA" w:rsidRPr="00FA1BAA" w:rsidRDefault="00FA1BAA" w:rsidP="00FA1BAA">
      <w:pPr>
        <w:autoSpaceDE w:val="0"/>
        <w:autoSpaceDN w:val="0"/>
        <w:adjustRightInd w:val="0"/>
        <w:spacing w:after="0" w:line="360" w:lineRule="auto"/>
        <w:jc w:val="both"/>
        <w:rPr>
          <w:rFonts w:ascii="Verdana" w:eastAsia="Calibri" w:hAnsi="Verdana"/>
          <w:b/>
          <w:color w:val="000000"/>
          <w:lang w:val="es-MX"/>
        </w:rPr>
      </w:pPr>
      <w:r w:rsidRPr="00FA1BAA">
        <w:rPr>
          <w:rFonts w:ascii="Verdana" w:eastAsia="Calibri" w:hAnsi="Verdana"/>
          <w:b/>
          <w:color w:val="000000"/>
          <w:lang w:val="es-MX"/>
        </w:rPr>
        <w:t>Instrumento de registro de datos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Se confeccionó una base de datos, la cual fue analizada con el software SPSS 22.0. Con los resultados del análisis se consultaron diferentes bases bibliográficas como </w:t>
      </w:r>
      <w:proofErr w:type="spellStart"/>
      <w:r w:rsidRPr="00FA1BAA">
        <w:rPr>
          <w:rFonts w:ascii="Verdana" w:eastAsia="Calibri" w:hAnsi="Verdana"/>
          <w:color w:val="000000"/>
          <w:lang w:val="es-MX"/>
        </w:rPr>
        <w:t>Pubmed</w:t>
      </w:r>
      <w:proofErr w:type="spellEnd"/>
      <w:r w:rsidRPr="00FA1BAA">
        <w:rPr>
          <w:rFonts w:ascii="Verdana" w:eastAsia="Calibri" w:hAnsi="Verdana"/>
          <w:color w:val="000000"/>
          <w:lang w:val="es-MX"/>
        </w:rPr>
        <w:t>/</w:t>
      </w:r>
      <w:proofErr w:type="spellStart"/>
      <w:r w:rsidRPr="00FA1BAA">
        <w:rPr>
          <w:rFonts w:ascii="Verdana" w:eastAsia="Calibri" w:hAnsi="Verdana"/>
          <w:color w:val="000000"/>
          <w:lang w:val="es-MX"/>
        </w:rPr>
        <w:t>Medline</w:t>
      </w:r>
      <w:proofErr w:type="spellEnd"/>
      <w:r w:rsidRPr="00FA1BAA">
        <w:rPr>
          <w:rFonts w:ascii="Verdana" w:eastAsia="Calibri" w:hAnsi="Verdana"/>
          <w:color w:val="000000"/>
          <w:lang w:val="es-MX"/>
        </w:rPr>
        <w:t xml:space="preserve">, Google académico, </w:t>
      </w:r>
      <w:proofErr w:type="spellStart"/>
      <w:r w:rsidRPr="00FA1BAA">
        <w:rPr>
          <w:rFonts w:ascii="Verdana" w:eastAsia="Calibri" w:hAnsi="Verdana"/>
          <w:color w:val="000000"/>
          <w:lang w:val="es-MX"/>
        </w:rPr>
        <w:t>Lillacs</w:t>
      </w:r>
      <w:proofErr w:type="spellEnd"/>
      <w:r w:rsidRPr="00FA1BAA">
        <w:rPr>
          <w:rFonts w:ascii="Verdana" w:eastAsia="Calibri" w:hAnsi="Verdana"/>
          <w:color w:val="000000"/>
          <w:lang w:val="es-MX"/>
        </w:rPr>
        <w:t xml:space="preserve"> y Scielo para contrastar la información obtenida. Algunas de las palabras claves usadas fueron: “</w:t>
      </w:r>
      <w:proofErr w:type="spellStart"/>
      <w:r w:rsidRPr="00FA1BAA">
        <w:rPr>
          <w:rFonts w:ascii="Verdana" w:eastAsia="Calibri" w:hAnsi="Verdana"/>
          <w:color w:val="000000"/>
          <w:lang w:val="es-MX"/>
        </w:rPr>
        <w:t>stroke</w:t>
      </w:r>
      <w:proofErr w:type="spellEnd"/>
      <w:r w:rsidRPr="00FA1BAA">
        <w:rPr>
          <w:rFonts w:ascii="Verdana" w:eastAsia="Calibri" w:hAnsi="Verdana"/>
          <w:color w:val="000000"/>
          <w:lang w:val="es-MX"/>
        </w:rPr>
        <w:t>”, “</w:t>
      </w:r>
      <w:proofErr w:type="spellStart"/>
      <w:r w:rsidRPr="00FA1BAA">
        <w:rPr>
          <w:rFonts w:ascii="Verdana" w:eastAsia="Calibri" w:hAnsi="Verdana"/>
          <w:color w:val="000000"/>
          <w:lang w:val="es-MX"/>
        </w:rPr>
        <w:t>mechanicalventilation</w:t>
      </w:r>
      <w:proofErr w:type="spellEnd"/>
      <w:r w:rsidRPr="00FA1BAA">
        <w:rPr>
          <w:rFonts w:ascii="Verdana" w:eastAsia="Calibri" w:hAnsi="Verdana"/>
          <w:color w:val="000000"/>
          <w:lang w:val="es-MX"/>
        </w:rPr>
        <w:t>”, “</w:t>
      </w:r>
      <w:proofErr w:type="spellStart"/>
      <w:r w:rsidRPr="00FA1BAA">
        <w:rPr>
          <w:rFonts w:ascii="Verdana" w:eastAsia="Calibri" w:hAnsi="Verdana"/>
          <w:color w:val="000000"/>
          <w:lang w:val="es-MX"/>
        </w:rPr>
        <w:t>outcomes</w:t>
      </w:r>
      <w:proofErr w:type="spellEnd"/>
      <w:r w:rsidRPr="00FA1BAA">
        <w:rPr>
          <w:rFonts w:ascii="Verdana" w:eastAsia="Calibri" w:hAnsi="Verdana"/>
          <w:color w:val="000000"/>
          <w:lang w:val="es-MX"/>
        </w:rPr>
        <w:t>”, “</w:t>
      </w:r>
      <w:proofErr w:type="spellStart"/>
      <w:r w:rsidRPr="00FA1BAA">
        <w:rPr>
          <w:rFonts w:ascii="Verdana" w:eastAsia="Calibri" w:hAnsi="Verdana"/>
          <w:color w:val="000000"/>
          <w:lang w:val="es-MX"/>
        </w:rPr>
        <w:t>mortality</w:t>
      </w:r>
      <w:proofErr w:type="spellEnd"/>
      <w:r w:rsidRPr="00FA1BAA">
        <w:rPr>
          <w:rFonts w:ascii="Verdana" w:eastAsia="Calibri" w:hAnsi="Verdana"/>
          <w:color w:val="000000"/>
          <w:lang w:val="es-MX"/>
        </w:rPr>
        <w:t>”, “</w:t>
      </w:r>
      <w:proofErr w:type="spellStart"/>
      <w:r w:rsidRPr="00FA1BAA">
        <w:rPr>
          <w:rFonts w:ascii="Verdana" w:eastAsia="Calibri" w:hAnsi="Verdana"/>
          <w:color w:val="000000"/>
          <w:lang w:val="es-MX"/>
        </w:rPr>
        <w:t>ischemicstroke</w:t>
      </w:r>
      <w:proofErr w:type="spellEnd"/>
      <w:r w:rsidRPr="00FA1BAA">
        <w:rPr>
          <w:rFonts w:ascii="Verdana" w:eastAsia="Calibri" w:hAnsi="Verdana"/>
          <w:color w:val="000000"/>
          <w:lang w:val="es-MX"/>
        </w:rPr>
        <w:t>”, “</w:t>
      </w:r>
      <w:proofErr w:type="spellStart"/>
      <w:r w:rsidRPr="00FA1BAA">
        <w:rPr>
          <w:rFonts w:ascii="Verdana" w:eastAsia="Calibri" w:hAnsi="Verdana"/>
          <w:color w:val="000000"/>
          <w:lang w:val="es-MX"/>
        </w:rPr>
        <w:t>intracranialhemorrhage</w:t>
      </w:r>
      <w:proofErr w:type="spellEnd"/>
      <w:r w:rsidRPr="00FA1BAA">
        <w:rPr>
          <w:rFonts w:ascii="Verdana" w:eastAsia="Calibri" w:hAnsi="Verdana"/>
          <w:color w:val="000000"/>
          <w:lang w:val="es-MX"/>
        </w:rPr>
        <w:t>”.</w:t>
      </w:r>
    </w:p>
    <w:p w:rsidR="00FA1BAA" w:rsidRPr="00FA1BAA" w:rsidRDefault="00FA1BAA" w:rsidP="00FA1BAA">
      <w:pPr>
        <w:autoSpaceDE w:val="0"/>
        <w:autoSpaceDN w:val="0"/>
        <w:adjustRightInd w:val="0"/>
        <w:spacing w:after="0" w:line="360" w:lineRule="auto"/>
        <w:jc w:val="both"/>
        <w:rPr>
          <w:rFonts w:ascii="Verdana" w:eastAsia="Calibri" w:hAnsi="Verdana"/>
          <w:b/>
          <w:color w:val="000000"/>
          <w:lang w:val="es-MX"/>
        </w:rPr>
      </w:pPr>
      <w:r w:rsidRPr="00FA1BAA">
        <w:rPr>
          <w:rFonts w:ascii="Verdana" w:eastAsia="Calibri" w:hAnsi="Verdana"/>
          <w:b/>
          <w:color w:val="000000"/>
          <w:lang w:val="es-MX"/>
        </w:rPr>
        <w:t>Análisis estadístico</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Se aplicaron medidas de resumen de la estadística descriptiva para la caracterización de la población de estudio. Para variables cualitativas se obtuvieron las frecuencias absolutas y relativas (porciento); para las cuantitativas, medias, desviación estándar y límites. Con el objetivo de definir asociación estadística se utilizó el test de independencia de Chi</w:t>
      </w:r>
      <w:r w:rsidRPr="00FA1BAA">
        <w:rPr>
          <w:rFonts w:ascii="Verdana" w:eastAsia="Calibri" w:hAnsi="Verdana"/>
          <w:color w:val="000000"/>
          <w:vertAlign w:val="superscript"/>
          <w:lang w:val="es-MX"/>
        </w:rPr>
        <w:t>2</w:t>
      </w:r>
      <w:r w:rsidRPr="00FA1BAA">
        <w:rPr>
          <w:rFonts w:ascii="Verdana" w:eastAsia="Calibri" w:hAnsi="Verdana"/>
          <w:color w:val="000000"/>
          <w:lang w:val="es-MX"/>
        </w:rPr>
        <w:t xml:space="preserve"> partiendo de una hipótesis nula de que existe independencia entre la mortalidad y los factores neurológicos, utilizándose un nivel de significación al 0,05.</w:t>
      </w:r>
    </w:p>
    <w:p w:rsidR="00FA1BAA" w:rsidRPr="00FA1BAA" w:rsidRDefault="00FA1BAA" w:rsidP="00FA1BAA">
      <w:pPr>
        <w:spacing w:after="0" w:line="360" w:lineRule="auto"/>
        <w:ind w:right="4"/>
        <w:jc w:val="both"/>
        <w:rPr>
          <w:rFonts w:ascii="Verdana" w:eastAsia="Calibri" w:hAnsi="Verdana"/>
          <w:color w:val="000000"/>
          <w:lang w:val="es-MX"/>
        </w:rPr>
      </w:pPr>
      <w:r w:rsidRPr="00FA1BAA">
        <w:rPr>
          <w:rFonts w:ascii="Verdana" w:eastAsia="Calibri" w:hAnsi="Verdana"/>
          <w:color w:val="000000"/>
          <w:lang w:val="es-MX"/>
        </w:rPr>
        <w:t>Además, se calculó la tasa de Mortalidad Proporcional (MP) a través de la fórmula:</w:t>
      </w:r>
    </w:p>
    <w:p w:rsidR="00FA1BAA" w:rsidRPr="00FA1BAA" w:rsidRDefault="00FA1BAA" w:rsidP="00FA1BAA">
      <w:pPr>
        <w:spacing w:after="0" w:line="360" w:lineRule="auto"/>
        <w:ind w:right="4"/>
        <w:jc w:val="both"/>
        <w:rPr>
          <w:rFonts w:ascii="Verdana" w:eastAsia="Calibri" w:hAnsi="Verdana"/>
          <w:color w:val="000000"/>
          <w:lang w:val="es-MX"/>
        </w:rPr>
      </w:pPr>
      <m:oMathPara>
        <m:oMath>
          <m:r>
            <m:rPr>
              <m:nor/>
            </m:rPr>
            <w:rPr>
              <w:rFonts w:ascii="Verdana" w:eastAsia="Calibri" w:hAnsi="Verdana"/>
              <w:color w:val="000000"/>
              <w:lang w:val="es-MX"/>
            </w:rPr>
            <m:t>Mortalidad proporcional=</m:t>
          </m:r>
          <m:f>
            <m:fPr>
              <m:ctrlPr>
                <w:rPr>
                  <w:rFonts w:ascii="Cambria Math" w:eastAsia="Calibri" w:hAnsi="Cambria Math"/>
                  <w:color w:val="000000"/>
                  <w:lang w:val="es-MX"/>
                </w:rPr>
              </m:ctrlPr>
            </m:fPr>
            <m:num>
              <m:r>
                <m:rPr>
                  <m:nor/>
                </m:rPr>
                <w:rPr>
                  <w:rFonts w:ascii="Verdana" w:eastAsia="Calibri" w:hAnsi="Verdana"/>
                  <w:color w:val="000000"/>
                  <w:lang w:val="es-MX"/>
                </w:rPr>
                <m:t>total defunciones según determinada característica</m:t>
              </m:r>
            </m:num>
            <m:den>
              <m:r>
                <m:rPr>
                  <m:nor/>
                </m:rPr>
                <w:rPr>
                  <w:rFonts w:ascii="Verdana" w:eastAsia="Calibri" w:hAnsi="Verdana"/>
                  <w:color w:val="000000"/>
                  <w:lang w:val="es-MX"/>
                </w:rPr>
                <m:t>total de pacientes con estas características</m:t>
              </m:r>
            </m:den>
          </m:f>
          <m:r>
            <m:rPr>
              <m:nor/>
            </m:rPr>
            <w:rPr>
              <w:rFonts w:ascii="Verdana" w:eastAsia="Calibri" w:hAnsi="Verdana"/>
              <w:color w:val="000000"/>
              <w:lang w:val="es-MX"/>
            </w:rPr>
            <m:t>x 100</m:t>
          </m:r>
        </m:oMath>
      </m:oMathPara>
    </w:p>
    <w:p w:rsidR="00FA1BAA" w:rsidRPr="00FA1BAA" w:rsidRDefault="00FA1BAA" w:rsidP="00FA1BAA">
      <w:pPr>
        <w:autoSpaceDE w:val="0"/>
        <w:autoSpaceDN w:val="0"/>
        <w:adjustRightInd w:val="0"/>
        <w:spacing w:after="0" w:line="360" w:lineRule="auto"/>
        <w:jc w:val="both"/>
        <w:rPr>
          <w:rFonts w:ascii="Verdana" w:eastAsia="Calibri" w:hAnsi="Verdana"/>
          <w:b/>
          <w:color w:val="000000"/>
          <w:lang w:val="es-MX"/>
        </w:rPr>
      </w:pPr>
      <w:r w:rsidRPr="00FA1BAA">
        <w:rPr>
          <w:rFonts w:ascii="Verdana" w:eastAsia="Calibri" w:hAnsi="Verdana"/>
          <w:b/>
          <w:color w:val="000000"/>
          <w:lang w:val="es-MX"/>
        </w:rPr>
        <w:t>Aspectos éticos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Desde el punto de vista ético, se pidió autorización a la dirección del hospital y al Comité de Ética de Investigación y del Consejo Científico Institucional con el objetivo de desarrollar todos los pasos de la investigación. En todo momento se mantuvo el anonimato de los pacientes involucrados en el estudio y solo los autores manejaron la información referente a los pacientes.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Se tomó el consentimiento de los familiares para participar del estudio debido a la incapacidad de los pacientes por el estado neurológico y ventilatorio.</w:t>
      </w:r>
    </w:p>
    <w:p w:rsidR="00FA1BAA" w:rsidRPr="00FA1BAA" w:rsidRDefault="00FA1BAA" w:rsidP="00FA1BAA">
      <w:pPr>
        <w:autoSpaceDE w:val="0"/>
        <w:autoSpaceDN w:val="0"/>
        <w:adjustRightInd w:val="0"/>
        <w:spacing w:after="0" w:line="360" w:lineRule="auto"/>
        <w:jc w:val="both"/>
        <w:rPr>
          <w:rFonts w:ascii="Verdana" w:eastAsia="Calibri" w:hAnsi="Verdana"/>
          <w:b/>
          <w:color w:val="000000"/>
          <w:lang w:val="es-MX"/>
        </w:rPr>
      </w:pPr>
      <w:r w:rsidRPr="00FA1BAA">
        <w:rPr>
          <w:rFonts w:ascii="Verdana" w:eastAsia="Calibri" w:hAnsi="Verdana"/>
          <w:b/>
          <w:color w:val="000000"/>
          <w:lang w:val="es-MX"/>
        </w:rPr>
        <w:t>Resultados</w:t>
      </w:r>
    </w:p>
    <w:p w:rsidR="00FA1BAA" w:rsidRPr="00FA1BAA" w:rsidRDefault="00FA1BAA" w:rsidP="00FA1BAA">
      <w:pPr>
        <w:autoSpaceDE w:val="0"/>
        <w:autoSpaceDN w:val="0"/>
        <w:adjustRightInd w:val="0"/>
        <w:spacing w:after="0" w:line="360" w:lineRule="auto"/>
        <w:jc w:val="both"/>
        <w:rPr>
          <w:rFonts w:ascii="Verdana" w:eastAsia="Calibri" w:hAnsi="Verdana"/>
          <w:color w:val="000000"/>
          <w:lang w:val="es-MX"/>
        </w:rPr>
      </w:pPr>
      <w:r w:rsidRPr="00FA1BAA">
        <w:rPr>
          <w:rFonts w:ascii="Verdana" w:eastAsia="Calibri" w:hAnsi="Verdana"/>
          <w:color w:val="000000"/>
          <w:lang w:val="es-MX"/>
        </w:rPr>
        <w:t xml:space="preserve">La mortalidad proporcional fue elevada de manera general, particularmente predominó en los pacientes con ictus hemorrágico, en especial los que padecieron HIC (MP= 85,7 %, p=0,118). Solo el ACV </w:t>
      </w:r>
      <w:proofErr w:type="spellStart"/>
      <w:r w:rsidRPr="00FA1BAA">
        <w:rPr>
          <w:rFonts w:ascii="Verdana" w:eastAsia="Calibri" w:hAnsi="Verdana"/>
          <w:color w:val="000000"/>
          <w:lang w:val="es-MX"/>
        </w:rPr>
        <w:t>cardioembólico</w:t>
      </w:r>
      <w:proofErr w:type="spellEnd"/>
      <w:r w:rsidRPr="00FA1BAA">
        <w:rPr>
          <w:rFonts w:ascii="Verdana" w:eastAsia="Calibri" w:hAnsi="Verdana"/>
          <w:color w:val="000000"/>
          <w:lang w:val="es-MX"/>
        </w:rPr>
        <w:t xml:space="preserve"> mostró </w:t>
      </w:r>
      <w:r w:rsidRPr="00FA1BAA">
        <w:rPr>
          <w:rFonts w:ascii="Verdana" w:eastAsia="Calibri" w:hAnsi="Verdana"/>
          <w:color w:val="000000"/>
          <w:lang w:val="es-MX"/>
        </w:rPr>
        <w:lastRenderedPageBreak/>
        <w:t>nivel de significación estadística (p= 0,000); sin embargo, un análisis del contexto clínico en el cual se presentó, expresa que los pacientes que sufrieron este evento no murieron (MP= 0,00 %), por lo que se asume que dicha asociación está presente, más no es con la mortalidad (tabla 1).</w:t>
      </w:r>
    </w:p>
    <w:p w:rsidR="00FA1BAA" w:rsidRPr="00FA1BAA" w:rsidRDefault="00FA1BAA" w:rsidP="00FA1BAA">
      <w:pPr>
        <w:spacing w:after="0" w:line="360" w:lineRule="auto"/>
        <w:ind w:right="4"/>
        <w:jc w:val="both"/>
        <w:rPr>
          <w:rFonts w:ascii="Verdana" w:hAnsi="Verdana"/>
          <w:lang w:val="es-MX"/>
        </w:rPr>
      </w:pPr>
      <w:r w:rsidRPr="00FA1BAA">
        <w:rPr>
          <w:rFonts w:ascii="Verdana" w:hAnsi="Verdana"/>
          <w:lang w:val="es-MX"/>
        </w:rPr>
        <w:t>Tabla 1. Distribución de la población de estudio según el diagnóstico y su asociación al test de independencia</w:t>
      </w:r>
    </w:p>
    <w:tbl>
      <w:tblPr>
        <w:tblStyle w:val="Tablaconcuadrcula"/>
        <w:tblW w:w="85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28"/>
        <w:gridCol w:w="1440"/>
        <w:gridCol w:w="540"/>
        <w:gridCol w:w="720"/>
        <w:gridCol w:w="1332"/>
        <w:gridCol w:w="1818"/>
        <w:gridCol w:w="972"/>
      </w:tblGrid>
      <w:tr w:rsidR="00FA1BAA" w:rsidRPr="00FA1BAA" w:rsidTr="00FA1BAA">
        <w:trPr>
          <w:trHeight w:val="331"/>
        </w:trPr>
        <w:tc>
          <w:tcPr>
            <w:tcW w:w="1728" w:type="dxa"/>
            <w:vMerge w:val="restart"/>
          </w:tcPr>
          <w:p w:rsidR="00FA1BAA" w:rsidRPr="00FA1BAA" w:rsidRDefault="00FA1BAA" w:rsidP="00FA1BAA">
            <w:pPr>
              <w:spacing w:line="276" w:lineRule="auto"/>
              <w:ind w:right="4"/>
              <w:jc w:val="both"/>
              <w:rPr>
                <w:rFonts w:ascii="Verdana" w:hAnsi="Verdana"/>
                <w:b/>
                <w:sz w:val="22"/>
                <w:szCs w:val="22"/>
              </w:rPr>
            </w:pPr>
            <w:r w:rsidRPr="00FA1BAA">
              <w:rPr>
                <w:rFonts w:ascii="Verdana" w:hAnsi="Verdana"/>
                <w:sz w:val="22"/>
                <w:szCs w:val="22"/>
              </w:rPr>
              <w:t>Variables</w:t>
            </w:r>
          </w:p>
        </w:tc>
        <w:tc>
          <w:tcPr>
            <w:tcW w:w="1440" w:type="dxa"/>
            <w:vMerge w:val="restart"/>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Categorías</w:t>
            </w:r>
          </w:p>
        </w:tc>
        <w:tc>
          <w:tcPr>
            <w:tcW w:w="1260" w:type="dxa"/>
            <w:gridSpan w:val="2"/>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Total</w:t>
            </w:r>
          </w:p>
        </w:tc>
        <w:tc>
          <w:tcPr>
            <w:tcW w:w="1332" w:type="dxa"/>
            <w:vMerge w:val="restart"/>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Fallecidos al egreso</w:t>
            </w:r>
          </w:p>
        </w:tc>
        <w:tc>
          <w:tcPr>
            <w:tcW w:w="1818" w:type="dxa"/>
            <w:vMerge w:val="restart"/>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Mortalidad Proporcional (%)</w:t>
            </w:r>
          </w:p>
        </w:tc>
        <w:tc>
          <w:tcPr>
            <w:tcW w:w="972" w:type="dxa"/>
            <w:vMerge w:val="restart"/>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Valor p</w:t>
            </w:r>
          </w:p>
        </w:tc>
      </w:tr>
      <w:tr w:rsidR="00FA1BAA" w:rsidRPr="00FA1BAA" w:rsidTr="00FA1BAA">
        <w:trPr>
          <w:trHeight w:val="279"/>
        </w:trPr>
        <w:tc>
          <w:tcPr>
            <w:tcW w:w="1728" w:type="dxa"/>
            <w:vMerge/>
          </w:tcPr>
          <w:p w:rsidR="00FA1BAA" w:rsidRPr="00FA1BAA" w:rsidRDefault="00FA1BAA" w:rsidP="00FA1BAA">
            <w:pPr>
              <w:spacing w:line="276" w:lineRule="auto"/>
              <w:ind w:right="4"/>
              <w:jc w:val="both"/>
              <w:rPr>
                <w:rFonts w:ascii="Verdana" w:hAnsi="Verdana"/>
                <w:sz w:val="22"/>
                <w:szCs w:val="22"/>
              </w:rPr>
            </w:pPr>
          </w:p>
        </w:tc>
        <w:tc>
          <w:tcPr>
            <w:tcW w:w="1440" w:type="dxa"/>
            <w:vMerge/>
          </w:tcPr>
          <w:p w:rsidR="00FA1BAA" w:rsidRPr="00FA1BAA" w:rsidRDefault="00FA1BAA" w:rsidP="00FA1BAA">
            <w:pPr>
              <w:spacing w:line="276" w:lineRule="auto"/>
              <w:ind w:right="4"/>
              <w:jc w:val="both"/>
              <w:rPr>
                <w:rFonts w:ascii="Verdana" w:hAnsi="Verdana"/>
                <w:sz w:val="22"/>
                <w:szCs w:val="22"/>
              </w:rPr>
            </w:pPr>
          </w:p>
        </w:tc>
        <w:tc>
          <w:tcPr>
            <w:tcW w:w="54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No</w:t>
            </w:r>
          </w:p>
        </w:tc>
        <w:tc>
          <w:tcPr>
            <w:tcW w:w="72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w:t>
            </w:r>
            <w:r w:rsidRPr="00FA1BAA">
              <w:rPr>
                <w:rFonts w:ascii="Verdana" w:hAnsi="Verdana"/>
                <w:sz w:val="22"/>
                <w:szCs w:val="22"/>
                <w:vertAlign w:val="superscript"/>
              </w:rPr>
              <w:t>*</w:t>
            </w:r>
          </w:p>
        </w:tc>
        <w:tc>
          <w:tcPr>
            <w:tcW w:w="1332" w:type="dxa"/>
            <w:vMerge/>
          </w:tcPr>
          <w:p w:rsidR="00FA1BAA" w:rsidRPr="00FA1BAA" w:rsidRDefault="00FA1BAA" w:rsidP="00FA1BAA">
            <w:pPr>
              <w:spacing w:line="276" w:lineRule="auto"/>
              <w:ind w:right="4"/>
              <w:jc w:val="both"/>
              <w:rPr>
                <w:rFonts w:ascii="Verdana" w:hAnsi="Verdana"/>
                <w:sz w:val="22"/>
                <w:szCs w:val="22"/>
              </w:rPr>
            </w:pPr>
          </w:p>
        </w:tc>
        <w:tc>
          <w:tcPr>
            <w:tcW w:w="1818" w:type="dxa"/>
            <w:vMerge/>
          </w:tcPr>
          <w:p w:rsidR="00FA1BAA" w:rsidRPr="00FA1BAA" w:rsidRDefault="00FA1BAA" w:rsidP="00FA1BAA">
            <w:pPr>
              <w:spacing w:line="276" w:lineRule="auto"/>
              <w:ind w:right="4"/>
              <w:jc w:val="both"/>
              <w:rPr>
                <w:rFonts w:ascii="Verdana" w:hAnsi="Verdana"/>
                <w:sz w:val="22"/>
                <w:szCs w:val="22"/>
              </w:rPr>
            </w:pPr>
          </w:p>
        </w:tc>
        <w:tc>
          <w:tcPr>
            <w:tcW w:w="972" w:type="dxa"/>
            <w:vMerge/>
          </w:tcPr>
          <w:p w:rsidR="00FA1BAA" w:rsidRPr="00FA1BAA" w:rsidRDefault="00FA1BAA" w:rsidP="00FA1BAA">
            <w:pPr>
              <w:spacing w:line="276" w:lineRule="auto"/>
              <w:ind w:right="4"/>
              <w:jc w:val="both"/>
              <w:rPr>
                <w:rFonts w:ascii="Verdana" w:hAnsi="Verdana"/>
                <w:sz w:val="22"/>
                <w:szCs w:val="22"/>
              </w:rPr>
            </w:pPr>
          </w:p>
        </w:tc>
      </w:tr>
      <w:tr w:rsidR="00FA1BAA" w:rsidRPr="00FA1BAA" w:rsidTr="00FA1BAA">
        <w:trPr>
          <w:trHeight w:val="277"/>
        </w:trPr>
        <w:tc>
          <w:tcPr>
            <w:tcW w:w="1728" w:type="dxa"/>
            <w:vMerge w:val="restart"/>
          </w:tcPr>
          <w:p w:rsidR="00FA1BAA" w:rsidRPr="00FA1BAA" w:rsidRDefault="00FA1BAA" w:rsidP="00FA1BAA">
            <w:pPr>
              <w:spacing w:line="276" w:lineRule="auto"/>
              <w:ind w:right="4"/>
              <w:rPr>
                <w:rFonts w:ascii="Verdana" w:hAnsi="Verdana"/>
                <w:sz w:val="22"/>
                <w:szCs w:val="22"/>
              </w:rPr>
            </w:pPr>
            <w:r w:rsidRPr="00FA1BAA">
              <w:rPr>
                <w:rFonts w:ascii="Verdana" w:hAnsi="Verdana"/>
                <w:sz w:val="22"/>
                <w:szCs w:val="22"/>
              </w:rPr>
              <w:t>Tipo de ACV</w:t>
            </w:r>
          </w:p>
        </w:tc>
        <w:tc>
          <w:tcPr>
            <w:tcW w:w="144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ATE</w:t>
            </w:r>
          </w:p>
        </w:tc>
        <w:tc>
          <w:tcPr>
            <w:tcW w:w="54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18</w:t>
            </w:r>
          </w:p>
        </w:tc>
        <w:tc>
          <w:tcPr>
            <w:tcW w:w="72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34,6</w:t>
            </w:r>
          </w:p>
        </w:tc>
        <w:tc>
          <w:tcPr>
            <w:tcW w:w="1332"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10</w:t>
            </w:r>
          </w:p>
        </w:tc>
        <w:tc>
          <w:tcPr>
            <w:tcW w:w="1818"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55,6</w:t>
            </w:r>
          </w:p>
        </w:tc>
        <w:tc>
          <w:tcPr>
            <w:tcW w:w="972"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0,120</w:t>
            </w:r>
          </w:p>
        </w:tc>
      </w:tr>
      <w:tr w:rsidR="00FA1BAA" w:rsidRPr="00FA1BAA" w:rsidTr="00FA1BAA">
        <w:trPr>
          <w:trHeight w:val="267"/>
        </w:trPr>
        <w:tc>
          <w:tcPr>
            <w:tcW w:w="1728" w:type="dxa"/>
            <w:vMerge/>
          </w:tcPr>
          <w:p w:rsidR="00FA1BAA" w:rsidRPr="00FA1BAA" w:rsidRDefault="00FA1BAA" w:rsidP="00FA1BAA">
            <w:pPr>
              <w:spacing w:line="276" w:lineRule="auto"/>
              <w:ind w:right="4"/>
              <w:rPr>
                <w:rFonts w:ascii="Verdana" w:hAnsi="Verdana"/>
                <w:sz w:val="22"/>
                <w:szCs w:val="22"/>
              </w:rPr>
            </w:pPr>
          </w:p>
        </w:tc>
        <w:tc>
          <w:tcPr>
            <w:tcW w:w="144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CAR</w:t>
            </w:r>
          </w:p>
        </w:tc>
        <w:tc>
          <w:tcPr>
            <w:tcW w:w="54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4</w:t>
            </w:r>
          </w:p>
        </w:tc>
        <w:tc>
          <w:tcPr>
            <w:tcW w:w="72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7,7</w:t>
            </w:r>
          </w:p>
        </w:tc>
        <w:tc>
          <w:tcPr>
            <w:tcW w:w="1332"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0</w:t>
            </w:r>
          </w:p>
        </w:tc>
        <w:tc>
          <w:tcPr>
            <w:tcW w:w="1818"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0,00</w:t>
            </w:r>
          </w:p>
        </w:tc>
        <w:tc>
          <w:tcPr>
            <w:tcW w:w="972"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0,000</w:t>
            </w:r>
          </w:p>
        </w:tc>
      </w:tr>
      <w:tr w:rsidR="00FA1BAA" w:rsidRPr="00FA1BAA" w:rsidTr="00FA1BAA">
        <w:trPr>
          <w:trHeight w:val="129"/>
        </w:trPr>
        <w:tc>
          <w:tcPr>
            <w:tcW w:w="1728" w:type="dxa"/>
            <w:vMerge/>
          </w:tcPr>
          <w:p w:rsidR="00FA1BAA" w:rsidRPr="00FA1BAA" w:rsidRDefault="00FA1BAA" w:rsidP="00FA1BAA">
            <w:pPr>
              <w:spacing w:line="276" w:lineRule="auto"/>
              <w:ind w:right="4"/>
              <w:rPr>
                <w:rFonts w:ascii="Verdana" w:hAnsi="Verdana"/>
                <w:sz w:val="22"/>
                <w:szCs w:val="22"/>
              </w:rPr>
            </w:pPr>
          </w:p>
        </w:tc>
        <w:tc>
          <w:tcPr>
            <w:tcW w:w="144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HCM</w:t>
            </w:r>
          </w:p>
        </w:tc>
        <w:tc>
          <w:tcPr>
            <w:tcW w:w="54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7</w:t>
            </w:r>
          </w:p>
        </w:tc>
        <w:tc>
          <w:tcPr>
            <w:tcW w:w="72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13,5</w:t>
            </w:r>
          </w:p>
        </w:tc>
        <w:tc>
          <w:tcPr>
            <w:tcW w:w="1332"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7</w:t>
            </w:r>
          </w:p>
        </w:tc>
        <w:tc>
          <w:tcPr>
            <w:tcW w:w="1818"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100</w:t>
            </w:r>
          </w:p>
        </w:tc>
        <w:tc>
          <w:tcPr>
            <w:tcW w:w="972"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0,058</w:t>
            </w:r>
          </w:p>
        </w:tc>
      </w:tr>
      <w:tr w:rsidR="00FA1BAA" w:rsidRPr="00FA1BAA" w:rsidTr="00FA1BAA">
        <w:trPr>
          <w:trHeight w:val="119"/>
        </w:trPr>
        <w:tc>
          <w:tcPr>
            <w:tcW w:w="1728" w:type="dxa"/>
            <w:vMerge/>
          </w:tcPr>
          <w:p w:rsidR="00FA1BAA" w:rsidRPr="00FA1BAA" w:rsidRDefault="00FA1BAA" w:rsidP="00FA1BAA">
            <w:pPr>
              <w:spacing w:line="276" w:lineRule="auto"/>
              <w:ind w:right="4"/>
              <w:rPr>
                <w:rFonts w:ascii="Verdana" w:hAnsi="Verdana"/>
                <w:sz w:val="22"/>
                <w:szCs w:val="22"/>
              </w:rPr>
            </w:pPr>
          </w:p>
        </w:tc>
        <w:tc>
          <w:tcPr>
            <w:tcW w:w="144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HIC</w:t>
            </w:r>
          </w:p>
        </w:tc>
        <w:tc>
          <w:tcPr>
            <w:tcW w:w="54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14</w:t>
            </w:r>
          </w:p>
        </w:tc>
        <w:tc>
          <w:tcPr>
            <w:tcW w:w="72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26,9</w:t>
            </w:r>
          </w:p>
        </w:tc>
        <w:tc>
          <w:tcPr>
            <w:tcW w:w="1332"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12</w:t>
            </w:r>
          </w:p>
        </w:tc>
        <w:tc>
          <w:tcPr>
            <w:tcW w:w="1818"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85,7</w:t>
            </w:r>
          </w:p>
        </w:tc>
        <w:tc>
          <w:tcPr>
            <w:tcW w:w="972"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0,118</w:t>
            </w:r>
          </w:p>
        </w:tc>
      </w:tr>
      <w:tr w:rsidR="00FA1BAA" w:rsidRPr="00FA1BAA" w:rsidTr="00FA1BAA">
        <w:trPr>
          <w:trHeight w:val="280"/>
        </w:trPr>
        <w:tc>
          <w:tcPr>
            <w:tcW w:w="1728" w:type="dxa"/>
            <w:vMerge/>
          </w:tcPr>
          <w:p w:rsidR="00FA1BAA" w:rsidRPr="00FA1BAA" w:rsidRDefault="00FA1BAA" w:rsidP="00FA1BAA">
            <w:pPr>
              <w:spacing w:line="276" w:lineRule="auto"/>
              <w:ind w:right="4"/>
              <w:rPr>
                <w:rFonts w:ascii="Verdana" w:hAnsi="Verdana"/>
                <w:sz w:val="22"/>
                <w:szCs w:val="22"/>
              </w:rPr>
            </w:pPr>
          </w:p>
        </w:tc>
        <w:tc>
          <w:tcPr>
            <w:tcW w:w="1440"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HSA</w:t>
            </w:r>
          </w:p>
        </w:tc>
        <w:tc>
          <w:tcPr>
            <w:tcW w:w="54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9</w:t>
            </w:r>
          </w:p>
        </w:tc>
        <w:tc>
          <w:tcPr>
            <w:tcW w:w="720"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17,3</w:t>
            </w:r>
          </w:p>
        </w:tc>
        <w:tc>
          <w:tcPr>
            <w:tcW w:w="1332" w:type="dxa"/>
          </w:tcPr>
          <w:p w:rsidR="00FA1BAA" w:rsidRPr="00FA1BAA" w:rsidRDefault="00FA1BAA" w:rsidP="00FA1BAA">
            <w:pPr>
              <w:spacing w:line="276" w:lineRule="auto"/>
              <w:ind w:right="4"/>
              <w:jc w:val="center"/>
              <w:rPr>
                <w:rFonts w:ascii="Verdana" w:hAnsi="Verdana"/>
                <w:b/>
                <w:color w:val="000000"/>
                <w:sz w:val="22"/>
                <w:szCs w:val="22"/>
              </w:rPr>
            </w:pPr>
            <w:r w:rsidRPr="00FA1BAA">
              <w:rPr>
                <w:rFonts w:ascii="Verdana" w:hAnsi="Verdana"/>
                <w:color w:val="000000"/>
                <w:sz w:val="22"/>
                <w:szCs w:val="22"/>
              </w:rPr>
              <w:t>7</w:t>
            </w:r>
          </w:p>
        </w:tc>
        <w:tc>
          <w:tcPr>
            <w:tcW w:w="1818"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77,8</w:t>
            </w:r>
          </w:p>
        </w:tc>
        <w:tc>
          <w:tcPr>
            <w:tcW w:w="972" w:type="dxa"/>
          </w:tcPr>
          <w:p w:rsidR="00FA1BAA" w:rsidRPr="00FA1BAA" w:rsidRDefault="00FA1BAA" w:rsidP="00FA1BAA">
            <w:pPr>
              <w:spacing w:line="276" w:lineRule="auto"/>
              <w:ind w:right="4"/>
              <w:jc w:val="center"/>
              <w:rPr>
                <w:rFonts w:ascii="Verdana" w:hAnsi="Verdana"/>
                <w:b/>
                <w:sz w:val="22"/>
                <w:szCs w:val="22"/>
              </w:rPr>
            </w:pPr>
            <w:r w:rsidRPr="00FA1BAA">
              <w:rPr>
                <w:rFonts w:ascii="Verdana" w:hAnsi="Verdana"/>
                <w:sz w:val="22"/>
                <w:szCs w:val="22"/>
              </w:rPr>
              <w:t>0,541</w:t>
            </w:r>
          </w:p>
        </w:tc>
      </w:tr>
      <w:tr w:rsidR="00FA1BAA" w:rsidRPr="00FA1BAA" w:rsidTr="00FA1BAA">
        <w:trPr>
          <w:trHeight w:val="280"/>
        </w:trPr>
        <w:tc>
          <w:tcPr>
            <w:tcW w:w="3168" w:type="dxa"/>
            <w:gridSpan w:val="2"/>
          </w:tcPr>
          <w:p w:rsidR="00FA1BAA" w:rsidRPr="00FA1BAA" w:rsidRDefault="00FA1BAA" w:rsidP="00FA1BAA">
            <w:pPr>
              <w:spacing w:line="276" w:lineRule="auto"/>
              <w:ind w:right="4"/>
              <w:rPr>
                <w:rFonts w:ascii="Verdana" w:hAnsi="Verdana"/>
                <w:sz w:val="22"/>
                <w:szCs w:val="22"/>
              </w:rPr>
            </w:pPr>
            <w:r w:rsidRPr="00FA1BAA">
              <w:rPr>
                <w:rFonts w:ascii="Verdana" w:hAnsi="Verdana"/>
                <w:sz w:val="22"/>
                <w:szCs w:val="22"/>
              </w:rPr>
              <w:t>Total</w:t>
            </w:r>
          </w:p>
        </w:tc>
        <w:tc>
          <w:tcPr>
            <w:tcW w:w="540" w:type="dxa"/>
          </w:tcPr>
          <w:p w:rsidR="00FA1BAA" w:rsidRPr="00FA1BAA" w:rsidRDefault="00FA1BAA" w:rsidP="00FA1BAA">
            <w:pPr>
              <w:spacing w:line="276" w:lineRule="auto"/>
              <w:ind w:right="4"/>
              <w:jc w:val="center"/>
              <w:rPr>
                <w:rFonts w:ascii="Verdana" w:hAnsi="Verdana"/>
                <w:color w:val="000000"/>
                <w:sz w:val="22"/>
                <w:szCs w:val="22"/>
              </w:rPr>
            </w:pPr>
            <w:r w:rsidRPr="00FA1BAA">
              <w:rPr>
                <w:rFonts w:ascii="Verdana" w:hAnsi="Verdana"/>
                <w:color w:val="000000"/>
                <w:sz w:val="22"/>
                <w:szCs w:val="22"/>
              </w:rPr>
              <w:t>52</w:t>
            </w:r>
          </w:p>
        </w:tc>
        <w:tc>
          <w:tcPr>
            <w:tcW w:w="720" w:type="dxa"/>
          </w:tcPr>
          <w:p w:rsidR="00FA1BAA" w:rsidRPr="00FA1BAA" w:rsidRDefault="00FA1BAA" w:rsidP="00FA1BAA">
            <w:pPr>
              <w:spacing w:line="276" w:lineRule="auto"/>
              <w:ind w:right="4"/>
              <w:jc w:val="center"/>
              <w:rPr>
                <w:rFonts w:ascii="Verdana" w:hAnsi="Verdana"/>
                <w:color w:val="000000"/>
                <w:sz w:val="22"/>
                <w:szCs w:val="22"/>
              </w:rPr>
            </w:pPr>
            <w:r w:rsidRPr="00FA1BAA">
              <w:rPr>
                <w:rFonts w:ascii="Verdana" w:hAnsi="Verdana"/>
                <w:color w:val="000000"/>
                <w:sz w:val="22"/>
                <w:szCs w:val="22"/>
              </w:rPr>
              <w:t>100</w:t>
            </w:r>
          </w:p>
        </w:tc>
        <w:tc>
          <w:tcPr>
            <w:tcW w:w="1332" w:type="dxa"/>
          </w:tcPr>
          <w:p w:rsidR="00FA1BAA" w:rsidRPr="00FA1BAA" w:rsidRDefault="00FA1BAA" w:rsidP="00FA1BAA">
            <w:pPr>
              <w:spacing w:line="276" w:lineRule="auto"/>
              <w:ind w:right="4"/>
              <w:jc w:val="center"/>
              <w:rPr>
                <w:rFonts w:ascii="Verdana" w:hAnsi="Verdana"/>
                <w:color w:val="000000"/>
                <w:sz w:val="22"/>
                <w:szCs w:val="22"/>
              </w:rPr>
            </w:pPr>
            <w:r w:rsidRPr="00FA1BAA">
              <w:rPr>
                <w:rFonts w:ascii="Verdana" w:hAnsi="Verdana"/>
                <w:color w:val="000000"/>
                <w:sz w:val="22"/>
                <w:szCs w:val="22"/>
              </w:rPr>
              <w:t>36</w:t>
            </w:r>
          </w:p>
        </w:tc>
        <w:tc>
          <w:tcPr>
            <w:tcW w:w="1818" w:type="dxa"/>
          </w:tcPr>
          <w:p w:rsidR="00FA1BAA" w:rsidRPr="00FA1BAA" w:rsidRDefault="00FA1BAA" w:rsidP="00FA1BAA">
            <w:pPr>
              <w:spacing w:line="276" w:lineRule="auto"/>
              <w:ind w:right="4"/>
              <w:jc w:val="center"/>
              <w:rPr>
                <w:rFonts w:ascii="Verdana" w:hAnsi="Verdana"/>
                <w:sz w:val="22"/>
                <w:szCs w:val="22"/>
              </w:rPr>
            </w:pPr>
            <w:r w:rsidRPr="00FA1BAA">
              <w:rPr>
                <w:rFonts w:ascii="Verdana" w:hAnsi="Verdana"/>
                <w:sz w:val="22"/>
                <w:szCs w:val="22"/>
              </w:rPr>
              <w:t>69,23</w:t>
            </w:r>
          </w:p>
        </w:tc>
        <w:tc>
          <w:tcPr>
            <w:tcW w:w="972" w:type="dxa"/>
          </w:tcPr>
          <w:p w:rsidR="00FA1BAA" w:rsidRPr="00FA1BAA" w:rsidRDefault="00FA1BAA" w:rsidP="00FA1BAA">
            <w:pPr>
              <w:spacing w:line="276" w:lineRule="auto"/>
              <w:ind w:right="4"/>
              <w:jc w:val="center"/>
              <w:rPr>
                <w:rFonts w:ascii="Verdana" w:hAnsi="Verdana"/>
                <w:sz w:val="22"/>
                <w:szCs w:val="22"/>
              </w:rPr>
            </w:pPr>
            <w:r w:rsidRPr="00FA1BAA">
              <w:rPr>
                <w:rFonts w:ascii="Verdana" w:hAnsi="Verdana"/>
                <w:sz w:val="22"/>
                <w:szCs w:val="22"/>
              </w:rPr>
              <w:t>-</w:t>
            </w:r>
          </w:p>
        </w:tc>
      </w:tr>
      <w:tr w:rsidR="00FA1BAA" w:rsidRPr="00FA1BAA" w:rsidTr="00FA1BAA">
        <w:trPr>
          <w:trHeight w:val="280"/>
        </w:trPr>
        <w:tc>
          <w:tcPr>
            <w:tcW w:w="8550" w:type="dxa"/>
            <w:gridSpan w:val="7"/>
          </w:tcPr>
          <w:p w:rsidR="00FA1BAA" w:rsidRPr="00FA1BAA" w:rsidRDefault="00FA1BAA" w:rsidP="00FA1BAA">
            <w:pPr>
              <w:spacing w:line="276" w:lineRule="auto"/>
              <w:ind w:right="4"/>
              <w:jc w:val="both"/>
              <w:rPr>
                <w:rFonts w:ascii="Verdana" w:hAnsi="Verdana"/>
                <w:sz w:val="22"/>
                <w:szCs w:val="22"/>
                <w:lang w:val="es-MX"/>
              </w:rPr>
            </w:pPr>
            <w:r w:rsidRPr="00FA1BAA">
              <w:rPr>
                <w:rFonts w:ascii="Verdana" w:hAnsi="Verdana"/>
                <w:b/>
                <w:sz w:val="22"/>
                <w:szCs w:val="22"/>
                <w:lang w:val="es-MX"/>
              </w:rPr>
              <w:t>*</w:t>
            </w:r>
            <w:r w:rsidRPr="00FA1BAA">
              <w:rPr>
                <w:rFonts w:ascii="Verdana" w:hAnsi="Verdana"/>
                <w:sz w:val="22"/>
                <w:szCs w:val="22"/>
                <w:lang w:val="es-MX"/>
              </w:rPr>
              <w:t>Calculado en base a n=52</w:t>
            </w:r>
          </w:p>
        </w:tc>
      </w:tr>
    </w:tbl>
    <w:p w:rsidR="00FA1BAA" w:rsidRPr="00FA1BAA" w:rsidRDefault="00FA1BAA" w:rsidP="00FA1BAA">
      <w:pPr>
        <w:autoSpaceDE w:val="0"/>
        <w:autoSpaceDN w:val="0"/>
        <w:adjustRightInd w:val="0"/>
        <w:spacing w:after="0" w:line="360" w:lineRule="auto"/>
        <w:jc w:val="both"/>
        <w:rPr>
          <w:rFonts w:ascii="Verdana" w:hAnsi="Verdana"/>
          <w:lang w:val="es-MX"/>
        </w:rPr>
      </w:pPr>
      <w:r w:rsidRPr="00FA1BAA">
        <w:rPr>
          <w:rFonts w:ascii="Verdana" w:hAnsi="Verdana"/>
          <w:lang w:val="es-MX"/>
        </w:rPr>
        <w:t>La ausencia de reflejo del tallo encefálico estuvo presente en 21 pacientes, de los cuales todos murieron (MP= 100 %, p=0,000), el tipo de reflejo de tallo ausente según el ejemplo de ACV se muestra en la figura 1. De los 22 pacientes que presentaron anisocoria, 21 fallecieron, lo que representó elevada mortalidad (MP= 95,5 %, p= 0,000) al igual que la puntuación &lt; 8 de la GCS (Media: 5,8; Mediana: 5,0; Desviación estándar: ±2,7; MP= 96,2 %, p= 0,000) (tabla 2).</w:t>
      </w:r>
    </w:p>
    <w:p w:rsidR="00FA1BAA" w:rsidRPr="00FA1BAA" w:rsidRDefault="00FA1BAA" w:rsidP="00FA1BAA">
      <w:pPr>
        <w:spacing w:after="0" w:line="360" w:lineRule="auto"/>
        <w:ind w:right="4"/>
        <w:jc w:val="both"/>
        <w:rPr>
          <w:rFonts w:ascii="Verdana" w:hAnsi="Verdana"/>
          <w:lang w:val="es-MX"/>
        </w:rPr>
      </w:pPr>
      <w:r w:rsidRPr="00FA1BAA">
        <w:rPr>
          <w:rFonts w:ascii="Verdana" w:hAnsi="Verdana"/>
          <w:lang w:val="es-MX"/>
        </w:rPr>
        <w:t>Tabla 2. Alteraciones neurológicas de la población de estudio y asociación al test de independencia</w:t>
      </w:r>
    </w:p>
    <w:tbl>
      <w:tblPr>
        <w:tblW w:w="864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76"/>
        <w:gridCol w:w="1572"/>
        <w:gridCol w:w="630"/>
        <w:gridCol w:w="720"/>
        <w:gridCol w:w="1332"/>
        <w:gridCol w:w="1818"/>
        <w:gridCol w:w="792"/>
      </w:tblGrid>
      <w:tr w:rsidR="00FA1BAA" w:rsidRPr="00FA1BAA" w:rsidTr="00FA1BAA">
        <w:trPr>
          <w:trHeight w:val="331"/>
        </w:trPr>
        <w:tc>
          <w:tcPr>
            <w:tcW w:w="1776" w:type="dxa"/>
            <w:vMerge w:val="restart"/>
          </w:tcPr>
          <w:p w:rsidR="00FA1BAA" w:rsidRPr="00FA1BAA" w:rsidRDefault="00FA1BAA" w:rsidP="00FA1BAA">
            <w:pPr>
              <w:spacing w:after="0" w:line="276" w:lineRule="auto"/>
              <w:ind w:right="4"/>
              <w:rPr>
                <w:rFonts w:ascii="Verdana" w:hAnsi="Verdana"/>
                <w:b/>
              </w:rPr>
            </w:pPr>
            <w:r w:rsidRPr="00FA1BAA">
              <w:rPr>
                <w:rFonts w:ascii="Verdana" w:hAnsi="Verdana"/>
              </w:rPr>
              <w:t>Variables</w:t>
            </w:r>
          </w:p>
        </w:tc>
        <w:tc>
          <w:tcPr>
            <w:tcW w:w="1572"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Categorías</w:t>
            </w:r>
          </w:p>
        </w:tc>
        <w:tc>
          <w:tcPr>
            <w:tcW w:w="1350" w:type="dxa"/>
            <w:gridSpan w:val="2"/>
          </w:tcPr>
          <w:p w:rsidR="00FA1BAA" w:rsidRPr="00FA1BAA" w:rsidRDefault="00FA1BAA" w:rsidP="00FA1BAA">
            <w:pPr>
              <w:spacing w:after="0" w:line="276" w:lineRule="auto"/>
              <w:ind w:right="4"/>
              <w:jc w:val="center"/>
              <w:rPr>
                <w:rFonts w:ascii="Verdana" w:hAnsi="Verdana"/>
                <w:b/>
              </w:rPr>
            </w:pPr>
            <w:r w:rsidRPr="00FA1BAA">
              <w:rPr>
                <w:rFonts w:ascii="Verdana" w:hAnsi="Verdana"/>
              </w:rPr>
              <w:t>Total</w:t>
            </w:r>
          </w:p>
        </w:tc>
        <w:tc>
          <w:tcPr>
            <w:tcW w:w="1332"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Fallecidos al egreso</w:t>
            </w:r>
          </w:p>
        </w:tc>
        <w:tc>
          <w:tcPr>
            <w:tcW w:w="1818"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Mortalidad Proporcional (%)</w:t>
            </w:r>
          </w:p>
        </w:tc>
        <w:tc>
          <w:tcPr>
            <w:tcW w:w="792"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Valor p</w:t>
            </w:r>
          </w:p>
        </w:tc>
      </w:tr>
      <w:tr w:rsidR="00FA1BAA" w:rsidRPr="00FA1BAA" w:rsidTr="00FA1BAA">
        <w:trPr>
          <w:trHeight w:val="279"/>
        </w:trPr>
        <w:tc>
          <w:tcPr>
            <w:tcW w:w="1776" w:type="dxa"/>
            <w:vMerge/>
          </w:tcPr>
          <w:p w:rsidR="00FA1BAA" w:rsidRPr="00FA1BAA" w:rsidRDefault="00FA1BAA" w:rsidP="00FA1BAA">
            <w:pPr>
              <w:spacing w:after="0" w:line="276" w:lineRule="auto"/>
              <w:ind w:right="4"/>
              <w:rPr>
                <w:rFonts w:ascii="Verdana" w:hAnsi="Verdana"/>
              </w:rPr>
            </w:pPr>
          </w:p>
        </w:tc>
        <w:tc>
          <w:tcPr>
            <w:tcW w:w="1572" w:type="dxa"/>
            <w:vMerge/>
          </w:tcPr>
          <w:p w:rsidR="00FA1BAA" w:rsidRPr="00FA1BAA" w:rsidRDefault="00FA1BAA" w:rsidP="00FA1BAA">
            <w:pPr>
              <w:spacing w:after="0" w:line="276" w:lineRule="auto"/>
              <w:ind w:right="4"/>
              <w:jc w:val="center"/>
              <w:rPr>
                <w:rFonts w:ascii="Verdana" w:hAnsi="Verdana"/>
              </w:rPr>
            </w:pPr>
          </w:p>
        </w:tc>
        <w:tc>
          <w:tcPr>
            <w:tcW w:w="63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No</w:t>
            </w:r>
          </w:p>
        </w:tc>
        <w:tc>
          <w:tcPr>
            <w:tcW w:w="72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w:t>
            </w:r>
            <w:r w:rsidRPr="00FA1BAA">
              <w:rPr>
                <w:rFonts w:ascii="Verdana" w:hAnsi="Verdana"/>
                <w:vertAlign w:val="superscript"/>
              </w:rPr>
              <w:t>*</w:t>
            </w:r>
          </w:p>
        </w:tc>
        <w:tc>
          <w:tcPr>
            <w:tcW w:w="1332" w:type="dxa"/>
            <w:vMerge/>
          </w:tcPr>
          <w:p w:rsidR="00FA1BAA" w:rsidRPr="00FA1BAA" w:rsidRDefault="00FA1BAA" w:rsidP="00FA1BAA">
            <w:pPr>
              <w:spacing w:after="0" w:line="276" w:lineRule="auto"/>
              <w:ind w:right="4"/>
              <w:jc w:val="center"/>
              <w:rPr>
                <w:rFonts w:ascii="Verdana" w:hAnsi="Verdana"/>
              </w:rPr>
            </w:pPr>
          </w:p>
        </w:tc>
        <w:tc>
          <w:tcPr>
            <w:tcW w:w="1818" w:type="dxa"/>
            <w:vMerge/>
          </w:tcPr>
          <w:p w:rsidR="00FA1BAA" w:rsidRPr="00FA1BAA" w:rsidRDefault="00FA1BAA" w:rsidP="00FA1BAA">
            <w:pPr>
              <w:spacing w:after="0" w:line="276" w:lineRule="auto"/>
              <w:ind w:right="4"/>
              <w:jc w:val="center"/>
              <w:rPr>
                <w:rFonts w:ascii="Verdana" w:hAnsi="Verdana"/>
              </w:rPr>
            </w:pPr>
          </w:p>
        </w:tc>
        <w:tc>
          <w:tcPr>
            <w:tcW w:w="792" w:type="dxa"/>
            <w:vMerge/>
          </w:tcPr>
          <w:p w:rsidR="00FA1BAA" w:rsidRPr="00FA1BAA" w:rsidRDefault="00FA1BAA" w:rsidP="00FA1BAA">
            <w:pPr>
              <w:spacing w:after="0" w:line="276" w:lineRule="auto"/>
              <w:ind w:right="4"/>
              <w:jc w:val="center"/>
              <w:rPr>
                <w:rFonts w:ascii="Verdana" w:hAnsi="Verdana"/>
              </w:rPr>
            </w:pPr>
          </w:p>
        </w:tc>
      </w:tr>
      <w:tr w:rsidR="00FA1BAA" w:rsidRPr="00FA1BAA" w:rsidTr="00FA1BAA">
        <w:trPr>
          <w:trHeight w:val="280"/>
        </w:trPr>
        <w:tc>
          <w:tcPr>
            <w:tcW w:w="1776" w:type="dxa"/>
            <w:vMerge w:val="restart"/>
          </w:tcPr>
          <w:p w:rsidR="00FA1BAA" w:rsidRPr="00FA1BAA" w:rsidRDefault="00FA1BAA" w:rsidP="00FA1BAA">
            <w:pPr>
              <w:spacing w:after="0" w:line="276" w:lineRule="auto"/>
              <w:ind w:right="4"/>
              <w:rPr>
                <w:rFonts w:ascii="Verdana" w:hAnsi="Verdana"/>
                <w:bCs/>
                <w:color w:val="000000"/>
              </w:rPr>
            </w:pPr>
          </w:p>
          <w:p w:rsidR="00FA1BAA" w:rsidRPr="00FA1BAA" w:rsidRDefault="00FA1BAA" w:rsidP="00FA1BAA">
            <w:pPr>
              <w:spacing w:after="0" w:line="276" w:lineRule="auto"/>
              <w:ind w:right="4"/>
              <w:rPr>
                <w:rFonts w:ascii="Verdana" w:hAnsi="Verdana"/>
              </w:rPr>
            </w:pPr>
            <w:r w:rsidRPr="00FA1BAA">
              <w:rPr>
                <w:rFonts w:ascii="Verdana" w:hAnsi="Verdana"/>
                <w:bCs/>
                <w:color w:val="000000"/>
              </w:rPr>
              <w:t>Alteraciones neurológicas</w:t>
            </w:r>
          </w:p>
        </w:tc>
        <w:tc>
          <w:tcPr>
            <w:tcW w:w="1572" w:type="dxa"/>
          </w:tcPr>
          <w:p w:rsidR="00FA1BAA" w:rsidRPr="00FA1BAA" w:rsidRDefault="00FA1BAA" w:rsidP="00FA1BAA">
            <w:pPr>
              <w:spacing w:after="0" w:line="276" w:lineRule="auto"/>
              <w:ind w:right="4"/>
              <w:jc w:val="center"/>
              <w:rPr>
                <w:rFonts w:ascii="Verdana" w:hAnsi="Verdana"/>
                <w:b/>
                <w:color w:val="000000"/>
                <w:lang w:val="es-MX"/>
              </w:rPr>
            </w:pPr>
            <w:r w:rsidRPr="00FA1BAA">
              <w:rPr>
                <w:rFonts w:ascii="Verdana" w:hAnsi="Verdana"/>
                <w:bCs/>
                <w:color w:val="000000"/>
                <w:lang w:val="es-MX"/>
              </w:rPr>
              <w:t>Ausencia de reflejos del tallo cerebral</w:t>
            </w:r>
          </w:p>
        </w:tc>
        <w:tc>
          <w:tcPr>
            <w:tcW w:w="63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21</w:t>
            </w:r>
          </w:p>
        </w:tc>
        <w:tc>
          <w:tcPr>
            <w:tcW w:w="72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40,4</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21</w:t>
            </w:r>
          </w:p>
        </w:tc>
        <w:tc>
          <w:tcPr>
            <w:tcW w:w="1818"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100</w:t>
            </w:r>
          </w:p>
        </w:tc>
        <w:tc>
          <w:tcPr>
            <w:tcW w:w="792" w:type="dxa"/>
          </w:tcPr>
          <w:p w:rsidR="00FA1BAA" w:rsidRPr="00FA1BAA" w:rsidRDefault="00FA1BAA" w:rsidP="00FA1BAA">
            <w:pPr>
              <w:spacing w:after="0" w:line="276" w:lineRule="auto"/>
              <w:ind w:right="4"/>
              <w:jc w:val="center"/>
              <w:rPr>
                <w:rFonts w:ascii="Verdana" w:hAnsi="Verdana"/>
                <w:b/>
              </w:rPr>
            </w:pPr>
            <w:r>
              <w:rPr>
                <w:rFonts w:ascii="Verdana" w:hAnsi="Verdana"/>
              </w:rPr>
              <w:t>0,00</w:t>
            </w:r>
          </w:p>
        </w:tc>
      </w:tr>
      <w:tr w:rsidR="00FA1BAA" w:rsidRPr="00FA1BAA" w:rsidTr="00FA1BAA">
        <w:trPr>
          <w:trHeight w:val="280"/>
        </w:trPr>
        <w:tc>
          <w:tcPr>
            <w:tcW w:w="1776" w:type="dxa"/>
            <w:vMerge/>
          </w:tcPr>
          <w:p w:rsidR="00FA1BAA" w:rsidRPr="00FA1BAA" w:rsidRDefault="00FA1BAA" w:rsidP="00FA1BAA">
            <w:pPr>
              <w:spacing w:after="0" w:line="276" w:lineRule="auto"/>
              <w:ind w:right="4"/>
              <w:jc w:val="both"/>
              <w:rPr>
                <w:rFonts w:ascii="Verdana" w:hAnsi="Verdana"/>
              </w:rPr>
            </w:pPr>
          </w:p>
        </w:tc>
        <w:tc>
          <w:tcPr>
            <w:tcW w:w="157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bCs/>
                <w:color w:val="000000"/>
              </w:rPr>
              <w:t>Anisocoria</w:t>
            </w:r>
          </w:p>
        </w:tc>
        <w:tc>
          <w:tcPr>
            <w:tcW w:w="63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22</w:t>
            </w:r>
          </w:p>
        </w:tc>
        <w:tc>
          <w:tcPr>
            <w:tcW w:w="72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42,3</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21</w:t>
            </w:r>
          </w:p>
        </w:tc>
        <w:tc>
          <w:tcPr>
            <w:tcW w:w="1818"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95,5</w:t>
            </w:r>
          </w:p>
        </w:tc>
        <w:tc>
          <w:tcPr>
            <w:tcW w:w="792" w:type="dxa"/>
          </w:tcPr>
          <w:p w:rsidR="00FA1BAA" w:rsidRPr="00FA1BAA" w:rsidRDefault="00FA1BAA" w:rsidP="00FA1BAA">
            <w:pPr>
              <w:spacing w:after="0" w:line="276" w:lineRule="auto"/>
              <w:ind w:right="4"/>
              <w:jc w:val="center"/>
              <w:rPr>
                <w:rFonts w:ascii="Verdana" w:hAnsi="Verdana"/>
                <w:b/>
              </w:rPr>
            </w:pPr>
            <w:r>
              <w:rPr>
                <w:rFonts w:ascii="Verdana" w:hAnsi="Verdana"/>
              </w:rPr>
              <w:t>0,00</w:t>
            </w:r>
          </w:p>
        </w:tc>
      </w:tr>
      <w:tr w:rsidR="00FA1BAA" w:rsidRPr="00FA1BAA" w:rsidTr="00FA1BAA">
        <w:trPr>
          <w:trHeight w:val="280"/>
        </w:trPr>
        <w:tc>
          <w:tcPr>
            <w:tcW w:w="1776" w:type="dxa"/>
            <w:vMerge/>
          </w:tcPr>
          <w:p w:rsidR="00FA1BAA" w:rsidRPr="00FA1BAA" w:rsidRDefault="00FA1BAA" w:rsidP="00FA1BAA">
            <w:pPr>
              <w:spacing w:after="0" w:line="276" w:lineRule="auto"/>
              <w:ind w:right="4"/>
              <w:jc w:val="both"/>
              <w:rPr>
                <w:rFonts w:ascii="Verdana" w:hAnsi="Verdana"/>
              </w:rPr>
            </w:pPr>
          </w:p>
        </w:tc>
        <w:tc>
          <w:tcPr>
            <w:tcW w:w="1572"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GCS &lt; 8ptos</w:t>
            </w:r>
          </w:p>
        </w:tc>
        <w:tc>
          <w:tcPr>
            <w:tcW w:w="63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26</w:t>
            </w:r>
            <w:r w:rsidRPr="00FA1BAA">
              <w:rPr>
                <w:rFonts w:ascii="Verdana" w:hAnsi="Verdana"/>
                <w:vertAlign w:val="superscript"/>
              </w:rPr>
              <w:t>†</w:t>
            </w:r>
          </w:p>
        </w:tc>
        <w:tc>
          <w:tcPr>
            <w:tcW w:w="72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50,0</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25</w:t>
            </w:r>
            <w:r w:rsidRPr="00FA1BAA">
              <w:rPr>
                <w:rFonts w:ascii="Verdana" w:hAnsi="Verdana"/>
                <w:vertAlign w:val="superscript"/>
              </w:rPr>
              <w:t>‡</w:t>
            </w:r>
          </w:p>
        </w:tc>
        <w:tc>
          <w:tcPr>
            <w:tcW w:w="1818"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96,2</w:t>
            </w:r>
          </w:p>
        </w:tc>
        <w:tc>
          <w:tcPr>
            <w:tcW w:w="792" w:type="dxa"/>
          </w:tcPr>
          <w:p w:rsidR="00FA1BAA" w:rsidRPr="00FA1BAA" w:rsidRDefault="00FA1BAA" w:rsidP="00FA1BAA">
            <w:pPr>
              <w:spacing w:after="0" w:line="276" w:lineRule="auto"/>
              <w:ind w:right="4"/>
              <w:jc w:val="center"/>
              <w:rPr>
                <w:rFonts w:ascii="Verdana" w:hAnsi="Verdana"/>
                <w:b/>
              </w:rPr>
            </w:pPr>
            <w:r>
              <w:rPr>
                <w:rFonts w:ascii="Verdana" w:hAnsi="Verdana"/>
              </w:rPr>
              <w:t>0,00</w:t>
            </w:r>
          </w:p>
        </w:tc>
      </w:tr>
      <w:tr w:rsidR="00FA1BAA" w:rsidRPr="00FA1BAA" w:rsidTr="00FA1BAA">
        <w:trPr>
          <w:trHeight w:val="280"/>
        </w:trPr>
        <w:tc>
          <w:tcPr>
            <w:tcW w:w="8640" w:type="dxa"/>
            <w:gridSpan w:val="7"/>
          </w:tcPr>
          <w:p w:rsidR="00FA1BAA" w:rsidRPr="00FA1BAA" w:rsidRDefault="00FA1BAA" w:rsidP="00FA1BAA">
            <w:pPr>
              <w:spacing w:after="0" w:line="276" w:lineRule="auto"/>
              <w:ind w:right="4"/>
              <w:jc w:val="both"/>
              <w:rPr>
                <w:rFonts w:ascii="Verdana" w:hAnsi="Verdana"/>
                <w:lang w:val="es-MX"/>
              </w:rPr>
            </w:pPr>
            <w:r w:rsidRPr="00FA1BAA">
              <w:rPr>
                <w:rFonts w:ascii="Verdana" w:hAnsi="Verdana"/>
                <w:b/>
                <w:lang w:val="es-MX"/>
              </w:rPr>
              <w:t>*</w:t>
            </w:r>
            <w:r w:rsidRPr="00FA1BAA">
              <w:rPr>
                <w:rFonts w:ascii="Verdana" w:hAnsi="Verdana"/>
                <w:lang w:val="es-MX"/>
              </w:rPr>
              <w:t>Calculado en base a n=52</w:t>
            </w:r>
          </w:p>
          <w:p w:rsidR="00FA1BAA" w:rsidRPr="00FA1BAA" w:rsidRDefault="00FA1BAA" w:rsidP="00FA1BAA">
            <w:pPr>
              <w:spacing w:after="0" w:line="276" w:lineRule="auto"/>
              <w:ind w:right="4"/>
              <w:jc w:val="both"/>
              <w:rPr>
                <w:rFonts w:ascii="Verdana" w:hAnsi="Verdana"/>
                <w:lang w:val="es-MX"/>
              </w:rPr>
            </w:pPr>
            <w:r w:rsidRPr="00FA1BAA">
              <w:rPr>
                <w:rFonts w:ascii="Verdana" w:hAnsi="Verdana"/>
                <w:vertAlign w:val="superscript"/>
                <w:lang w:val="es-MX"/>
              </w:rPr>
              <w:t>†</w:t>
            </w:r>
            <w:r w:rsidRPr="00FA1BAA">
              <w:rPr>
                <w:rFonts w:ascii="Verdana" w:hAnsi="Verdana"/>
                <w:lang w:val="es-MX"/>
              </w:rPr>
              <w:t>Media: 7,1 Mediana: 7,0 Desviación estándar: ±3,2 Límites: 3 - 14</w:t>
            </w:r>
          </w:p>
          <w:p w:rsidR="00FA1BAA" w:rsidRPr="00FA1BAA" w:rsidRDefault="00FA1BAA" w:rsidP="00FA1BAA">
            <w:pPr>
              <w:spacing w:after="0" w:line="276" w:lineRule="auto"/>
              <w:ind w:right="4"/>
              <w:jc w:val="both"/>
              <w:rPr>
                <w:rFonts w:ascii="Verdana" w:hAnsi="Verdana"/>
                <w:lang w:val="es-MX"/>
              </w:rPr>
            </w:pPr>
            <w:r w:rsidRPr="00FA1BAA">
              <w:rPr>
                <w:rFonts w:ascii="Verdana" w:hAnsi="Verdana"/>
                <w:vertAlign w:val="superscript"/>
                <w:lang w:val="es-MX"/>
              </w:rPr>
              <w:t>‡</w:t>
            </w:r>
            <w:r w:rsidRPr="00FA1BAA">
              <w:rPr>
                <w:rFonts w:ascii="Verdana" w:hAnsi="Verdana"/>
                <w:lang w:val="es-MX"/>
              </w:rPr>
              <w:t>Media: 5,8 Mediana: 5,0 Desviación estándar: ±2,7 Límites: 3 - 11</w:t>
            </w:r>
          </w:p>
        </w:tc>
      </w:tr>
    </w:tbl>
    <w:p w:rsidR="00FA1BAA" w:rsidRPr="00FA1BAA" w:rsidRDefault="00FA1BAA" w:rsidP="00FA1BAA">
      <w:pPr>
        <w:autoSpaceDE w:val="0"/>
        <w:autoSpaceDN w:val="0"/>
        <w:adjustRightInd w:val="0"/>
        <w:spacing w:after="0" w:line="360" w:lineRule="auto"/>
        <w:jc w:val="both"/>
        <w:rPr>
          <w:rFonts w:ascii="Verdana" w:hAnsi="Verdana"/>
          <w:lang w:val="es-MX"/>
        </w:rPr>
      </w:pPr>
      <w:r w:rsidRPr="00FA1BAA">
        <w:rPr>
          <w:rFonts w:ascii="Verdana" w:hAnsi="Verdana"/>
          <w:lang w:val="es-MX"/>
        </w:rPr>
        <w:lastRenderedPageBreak/>
        <w:t>Los 4 reflejos de tallo encefálico más discriminativos estuvieron ausentes en al menos una ocasión. La ausencia de reflejo pupilar fue la más representativa, sobre todo en pacientes con HIC (fig. 1).</w:t>
      </w:r>
    </w:p>
    <w:p w:rsidR="00FA1BAA" w:rsidRPr="00FA1BAA" w:rsidRDefault="00FA1BAA" w:rsidP="00FA1BAA">
      <w:pPr>
        <w:autoSpaceDE w:val="0"/>
        <w:autoSpaceDN w:val="0"/>
        <w:adjustRightInd w:val="0"/>
        <w:spacing w:after="0" w:line="276" w:lineRule="auto"/>
        <w:jc w:val="both"/>
        <w:rPr>
          <w:rFonts w:ascii="Verdana" w:hAnsi="Verdana"/>
          <w:lang w:val="es-MX"/>
        </w:rPr>
      </w:pPr>
      <w:r w:rsidRPr="00FA1BAA">
        <w:rPr>
          <w:rFonts w:ascii="Verdana" w:hAnsi="Verdana"/>
          <w:noProof/>
          <w:lang w:val="es-MX" w:eastAsia="es-MX"/>
        </w:rPr>
        <w:drawing>
          <wp:inline distT="0" distB="0" distL="0" distR="0" wp14:anchorId="0E73C610" wp14:editId="0A821D19">
            <wp:extent cx="4819650" cy="2565400"/>
            <wp:effectExtent l="0" t="0" r="0" b="63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A1BAA" w:rsidRPr="00FA1BAA" w:rsidRDefault="00FA1BAA" w:rsidP="00FA1BAA">
      <w:pPr>
        <w:autoSpaceDE w:val="0"/>
        <w:autoSpaceDN w:val="0"/>
        <w:adjustRightInd w:val="0"/>
        <w:spacing w:after="0" w:line="360" w:lineRule="auto"/>
        <w:jc w:val="both"/>
        <w:rPr>
          <w:rFonts w:ascii="Verdana" w:hAnsi="Verdana"/>
          <w:lang w:val="es-MX"/>
        </w:rPr>
      </w:pPr>
      <w:r w:rsidRPr="00FA1BAA">
        <w:rPr>
          <w:rFonts w:ascii="Verdana" w:hAnsi="Verdana"/>
          <w:lang w:val="es-MX"/>
        </w:rPr>
        <w:t xml:space="preserve">Dentro de las complicaciones neurológicas presentadas (tabla 3), la mortalidad fue mayor cuando estuvo presente la HEC (MP= 90,0 %, </w:t>
      </w:r>
      <w:r>
        <w:rPr>
          <w:rFonts w:ascii="Verdana" w:hAnsi="Verdana"/>
          <w:lang w:val="es-MX"/>
        </w:rPr>
        <w:t xml:space="preserve">             </w:t>
      </w:r>
      <w:r w:rsidRPr="00FA1BAA">
        <w:rPr>
          <w:rFonts w:ascii="Verdana" w:hAnsi="Verdana"/>
          <w:lang w:val="es-MX"/>
        </w:rPr>
        <w:t>p= 0,010) con asociación estadística positiva.</w:t>
      </w:r>
    </w:p>
    <w:p w:rsidR="00FA1BAA" w:rsidRPr="00FA1BAA" w:rsidRDefault="00FA1BAA" w:rsidP="00FA1BAA">
      <w:pPr>
        <w:spacing w:after="0" w:line="360" w:lineRule="auto"/>
        <w:ind w:right="4"/>
        <w:jc w:val="both"/>
        <w:rPr>
          <w:rFonts w:ascii="Verdana" w:hAnsi="Verdana"/>
          <w:lang w:val="es-MX"/>
        </w:rPr>
      </w:pPr>
      <w:r w:rsidRPr="00FA1BAA">
        <w:rPr>
          <w:rFonts w:ascii="Verdana" w:hAnsi="Verdana"/>
          <w:lang w:val="es-MX"/>
        </w:rPr>
        <w:t>Tabla 3. Complicaciones neurológicas de la población de estudio y asociación al test de independencia</w:t>
      </w:r>
    </w:p>
    <w:tbl>
      <w:tblPr>
        <w:tblW w:w="873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76"/>
        <w:gridCol w:w="1842"/>
        <w:gridCol w:w="630"/>
        <w:gridCol w:w="810"/>
        <w:gridCol w:w="1332"/>
        <w:gridCol w:w="1440"/>
        <w:gridCol w:w="900"/>
      </w:tblGrid>
      <w:tr w:rsidR="00FA1BAA" w:rsidRPr="00FA1BAA" w:rsidTr="00FA1BAA">
        <w:trPr>
          <w:trHeight w:val="331"/>
        </w:trPr>
        <w:tc>
          <w:tcPr>
            <w:tcW w:w="1776" w:type="dxa"/>
            <w:vMerge w:val="restart"/>
          </w:tcPr>
          <w:p w:rsidR="00FA1BAA" w:rsidRPr="00FA1BAA" w:rsidRDefault="00FA1BAA" w:rsidP="00FA1BAA">
            <w:pPr>
              <w:spacing w:after="0" w:line="276" w:lineRule="auto"/>
              <w:ind w:right="4"/>
              <w:rPr>
                <w:rFonts w:ascii="Verdana" w:hAnsi="Verdana"/>
                <w:b/>
              </w:rPr>
            </w:pPr>
            <w:r w:rsidRPr="00FA1BAA">
              <w:rPr>
                <w:rFonts w:ascii="Verdana" w:hAnsi="Verdana"/>
              </w:rPr>
              <w:t>Variables</w:t>
            </w:r>
          </w:p>
        </w:tc>
        <w:tc>
          <w:tcPr>
            <w:tcW w:w="1842"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Categorías</w:t>
            </w:r>
          </w:p>
        </w:tc>
        <w:tc>
          <w:tcPr>
            <w:tcW w:w="1440" w:type="dxa"/>
            <w:gridSpan w:val="2"/>
          </w:tcPr>
          <w:p w:rsidR="00FA1BAA" w:rsidRPr="00FA1BAA" w:rsidRDefault="00FA1BAA" w:rsidP="00FA1BAA">
            <w:pPr>
              <w:spacing w:after="0" w:line="276" w:lineRule="auto"/>
              <w:ind w:right="4"/>
              <w:jc w:val="center"/>
              <w:rPr>
                <w:rFonts w:ascii="Verdana" w:hAnsi="Verdana"/>
                <w:b/>
              </w:rPr>
            </w:pPr>
            <w:r w:rsidRPr="00FA1BAA">
              <w:rPr>
                <w:rFonts w:ascii="Verdana" w:hAnsi="Verdana"/>
              </w:rPr>
              <w:t>Total</w:t>
            </w:r>
          </w:p>
        </w:tc>
        <w:tc>
          <w:tcPr>
            <w:tcW w:w="1332" w:type="dxa"/>
            <w:vMerge w:val="restart"/>
          </w:tcPr>
          <w:p w:rsidR="00FA1BAA" w:rsidRPr="00FA1BAA" w:rsidRDefault="00FA1BAA" w:rsidP="00FA1BAA">
            <w:pPr>
              <w:spacing w:after="0" w:line="276" w:lineRule="auto"/>
              <w:ind w:right="4"/>
              <w:jc w:val="center"/>
              <w:rPr>
                <w:rFonts w:ascii="Verdana" w:hAnsi="Verdana"/>
              </w:rPr>
            </w:pPr>
            <w:r w:rsidRPr="00FA1BAA">
              <w:rPr>
                <w:rFonts w:ascii="Verdana" w:hAnsi="Verdana"/>
              </w:rPr>
              <w:t>Fallecidos</w:t>
            </w:r>
          </w:p>
          <w:p w:rsidR="00FA1BAA" w:rsidRPr="00FA1BAA" w:rsidRDefault="00FA1BAA" w:rsidP="00FA1BAA">
            <w:pPr>
              <w:spacing w:after="0" w:line="276" w:lineRule="auto"/>
              <w:ind w:right="4"/>
              <w:jc w:val="center"/>
              <w:rPr>
                <w:rFonts w:ascii="Verdana" w:hAnsi="Verdana"/>
                <w:b/>
              </w:rPr>
            </w:pPr>
            <w:r w:rsidRPr="00FA1BAA">
              <w:rPr>
                <w:rFonts w:ascii="Verdana" w:hAnsi="Verdana"/>
              </w:rPr>
              <w:t>al egreso</w:t>
            </w:r>
          </w:p>
        </w:tc>
        <w:tc>
          <w:tcPr>
            <w:tcW w:w="1440"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Mortalidad Proporcional (%)</w:t>
            </w:r>
          </w:p>
        </w:tc>
        <w:tc>
          <w:tcPr>
            <w:tcW w:w="900" w:type="dxa"/>
            <w:vMerge w:val="restart"/>
          </w:tcPr>
          <w:p w:rsidR="00FA1BAA" w:rsidRPr="00FA1BAA" w:rsidRDefault="00FA1BAA" w:rsidP="00FA1BAA">
            <w:pPr>
              <w:spacing w:after="0" w:line="276" w:lineRule="auto"/>
              <w:ind w:right="4"/>
              <w:jc w:val="center"/>
              <w:rPr>
                <w:rFonts w:ascii="Verdana" w:hAnsi="Verdana"/>
                <w:b/>
              </w:rPr>
            </w:pPr>
            <w:r w:rsidRPr="00FA1BAA">
              <w:rPr>
                <w:rFonts w:ascii="Verdana" w:hAnsi="Verdana"/>
              </w:rPr>
              <w:t>Valor p</w:t>
            </w:r>
          </w:p>
        </w:tc>
      </w:tr>
      <w:tr w:rsidR="00FA1BAA" w:rsidRPr="00FA1BAA" w:rsidTr="00FA1BAA">
        <w:trPr>
          <w:trHeight w:val="279"/>
        </w:trPr>
        <w:tc>
          <w:tcPr>
            <w:tcW w:w="1776" w:type="dxa"/>
            <w:vMerge/>
          </w:tcPr>
          <w:p w:rsidR="00FA1BAA" w:rsidRPr="00FA1BAA" w:rsidRDefault="00FA1BAA" w:rsidP="00FA1BAA">
            <w:pPr>
              <w:spacing w:after="0" w:line="276" w:lineRule="auto"/>
              <w:ind w:right="4"/>
              <w:rPr>
                <w:rFonts w:ascii="Verdana" w:hAnsi="Verdana"/>
              </w:rPr>
            </w:pPr>
          </w:p>
        </w:tc>
        <w:tc>
          <w:tcPr>
            <w:tcW w:w="1842" w:type="dxa"/>
            <w:vMerge/>
          </w:tcPr>
          <w:p w:rsidR="00FA1BAA" w:rsidRPr="00FA1BAA" w:rsidRDefault="00FA1BAA" w:rsidP="00FA1BAA">
            <w:pPr>
              <w:spacing w:after="0" w:line="276" w:lineRule="auto"/>
              <w:ind w:right="4"/>
              <w:jc w:val="center"/>
              <w:rPr>
                <w:rFonts w:ascii="Verdana" w:hAnsi="Verdana"/>
              </w:rPr>
            </w:pPr>
          </w:p>
        </w:tc>
        <w:tc>
          <w:tcPr>
            <w:tcW w:w="63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No</w:t>
            </w:r>
          </w:p>
        </w:tc>
        <w:tc>
          <w:tcPr>
            <w:tcW w:w="81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w:t>
            </w:r>
            <w:r w:rsidRPr="00FA1BAA">
              <w:rPr>
                <w:rFonts w:ascii="Verdana" w:hAnsi="Verdana"/>
                <w:vertAlign w:val="superscript"/>
              </w:rPr>
              <w:t>*</w:t>
            </w:r>
          </w:p>
        </w:tc>
        <w:tc>
          <w:tcPr>
            <w:tcW w:w="1332" w:type="dxa"/>
            <w:vMerge/>
          </w:tcPr>
          <w:p w:rsidR="00FA1BAA" w:rsidRPr="00FA1BAA" w:rsidRDefault="00FA1BAA" w:rsidP="00FA1BAA">
            <w:pPr>
              <w:spacing w:after="0" w:line="276" w:lineRule="auto"/>
              <w:ind w:right="4"/>
              <w:jc w:val="center"/>
              <w:rPr>
                <w:rFonts w:ascii="Verdana" w:hAnsi="Verdana"/>
              </w:rPr>
            </w:pPr>
          </w:p>
        </w:tc>
        <w:tc>
          <w:tcPr>
            <w:tcW w:w="1440" w:type="dxa"/>
            <w:vMerge/>
          </w:tcPr>
          <w:p w:rsidR="00FA1BAA" w:rsidRPr="00FA1BAA" w:rsidRDefault="00FA1BAA" w:rsidP="00FA1BAA">
            <w:pPr>
              <w:spacing w:after="0" w:line="276" w:lineRule="auto"/>
              <w:ind w:right="4"/>
              <w:jc w:val="center"/>
              <w:rPr>
                <w:rFonts w:ascii="Verdana" w:hAnsi="Verdana"/>
              </w:rPr>
            </w:pPr>
          </w:p>
        </w:tc>
        <w:tc>
          <w:tcPr>
            <w:tcW w:w="900" w:type="dxa"/>
            <w:vMerge/>
          </w:tcPr>
          <w:p w:rsidR="00FA1BAA" w:rsidRPr="00FA1BAA" w:rsidRDefault="00FA1BAA" w:rsidP="00FA1BAA">
            <w:pPr>
              <w:spacing w:after="0" w:line="276" w:lineRule="auto"/>
              <w:ind w:right="4"/>
              <w:jc w:val="center"/>
              <w:rPr>
                <w:rFonts w:ascii="Verdana" w:hAnsi="Verdana"/>
              </w:rPr>
            </w:pPr>
          </w:p>
        </w:tc>
      </w:tr>
      <w:tr w:rsidR="00FA1BAA" w:rsidRPr="00FA1BAA" w:rsidTr="00FA1BAA">
        <w:trPr>
          <w:trHeight w:val="280"/>
        </w:trPr>
        <w:tc>
          <w:tcPr>
            <w:tcW w:w="1776" w:type="dxa"/>
            <w:vMerge w:val="restart"/>
          </w:tcPr>
          <w:p w:rsidR="00FA1BAA" w:rsidRPr="00FA1BAA" w:rsidRDefault="00FA1BAA" w:rsidP="00FA1BAA">
            <w:pPr>
              <w:spacing w:after="0" w:line="276" w:lineRule="auto"/>
              <w:ind w:right="4"/>
              <w:rPr>
                <w:rFonts w:ascii="Verdana" w:hAnsi="Verdana"/>
              </w:rPr>
            </w:pPr>
            <w:proofErr w:type="spellStart"/>
            <w:r w:rsidRPr="00FA1BAA">
              <w:rPr>
                <w:rFonts w:ascii="Verdana" w:hAnsi="Verdana"/>
              </w:rPr>
              <w:t>Complicacio-nes</w:t>
            </w:r>
            <w:proofErr w:type="spellEnd"/>
            <w:r w:rsidRPr="00FA1BAA">
              <w:rPr>
                <w:rFonts w:ascii="Verdana" w:hAnsi="Verdana"/>
              </w:rPr>
              <w:t xml:space="preserve"> neurológicas</w:t>
            </w:r>
          </w:p>
        </w:tc>
        <w:tc>
          <w:tcPr>
            <w:tcW w:w="1842"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HEC</w:t>
            </w:r>
          </w:p>
        </w:tc>
        <w:tc>
          <w:tcPr>
            <w:tcW w:w="63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20</w:t>
            </w:r>
          </w:p>
        </w:tc>
        <w:tc>
          <w:tcPr>
            <w:tcW w:w="81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38,5</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18</w:t>
            </w:r>
          </w:p>
        </w:tc>
        <w:tc>
          <w:tcPr>
            <w:tcW w:w="144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90,0</w:t>
            </w:r>
          </w:p>
        </w:tc>
        <w:tc>
          <w:tcPr>
            <w:tcW w:w="90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0,010</w:t>
            </w:r>
          </w:p>
        </w:tc>
      </w:tr>
      <w:tr w:rsidR="00FA1BAA" w:rsidRPr="00FA1BAA" w:rsidTr="00FA1BAA">
        <w:trPr>
          <w:trHeight w:val="280"/>
        </w:trPr>
        <w:tc>
          <w:tcPr>
            <w:tcW w:w="1776" w:type="dxa"/>
            <w:vMerge/>
          </w:tcPr>
          <w:p w:rsidR="00FA1BAA" w:rsidRPr="00FA1BAA" w:rsidRDefault="00FA1BAA" w:rsidP="00FA1BAA">
            <w:pPr>
              <w:spacing w:after="0" w:line="276" w:lineRule="auto"/>
              <w:ind w:right="4"/>
              <w:jc w:val="both"/>
              <w:rPr>
                <w:rFonts w:ascii="Verdana" w:hAnsi="Verdana"/>
                <w:b/>
              </w:rPr>
            </w:pPr>
          </w:p>
        </w:tc>
        <w:tc>
          <w:tcPr>
            <w:tcW w:w="1842"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Convulsiones</w:t>
            </w:r>
          </w:p>
        </w:tc>
        <w:tc>
          <w:tcPr>
            <w:tcW w:w="63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10</w:t>
            </w:r>
          </w:p>
        </w:tc>
        <w:tc>
          <w:tcPr>
            <w:tcW w:w="81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19,2</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6</w:t>
            </w:r>
          </w:p>
        </w:tc>
        <w:tc>
          <w:tcPr>
            <w:tcW w:w="144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60,0</w:t>
            </w:r>
          </w:p>
        </w:tc>
        <w:tc>
          <w:tcPr>
            <w:tcW w:w="90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0,482</w:t>
            </w:r>
          </w:p>
        </w:tc>
      </w:tr>
      <w:tr w:rsidR="00FA1BAA" w:rsidRPr="00FA1BAA" w:rsidTr="00FA1BAA">
        <w:trPr>
          <w:trHeight w:val="280"/>
        </w:trPr>
        <w:tc>
          <w:tcPr>
            <w:tcW w:w="1776" w:type="dxa"/>
            <w:vMerge/>
          </w:tcPr>
          <w:p w:rsidR="00FA1BAA" w:rsidRPr="00FA1BAA" w:rsidRDefault="00FA1BAA" w:rsidP="00FA1BAA">
            <w:pPr>
              <w:spacing w:after="0" w:line="276" w:lineRule="auto"/>
              <w:ind w:right="4"/>
              <w:jc w:val="both"/>
              <w:rPr>
                <w:rFonts w:ascii="Verdana" w:hAnsi="Verdana"/>
                <w:b/>
              </w:rPr>
            </w:pPr>
          </w:p>
        </w:tc>
        <w:tc>
          <w:tcPr>
            <w:tcW w:w="1842" w:type="dxa"/>
          </w:tcPr>
          <w:p w:rsidR="00FA1BAA" w:rsidRPr="00FA1BAA" w:rsidRDefault="00FA1BAA" w:rsidP="00FA1BAA">
            <w:pPr>
              <w:spacing w:after="0" w:line="276" w:lineRule="auto"/>
              <w:ind w:right="4"/>
              <w:jc w:val="center"/>
              <w:rPr>
                <w:rFonts w:ascii="Verdana" w:hAnsi="Verdana"/>
                <w:b/>
              </w:rPr>
            </w:pPr>
            <w:proofErr w:type="spellStart"/>
            <w:r w:rsidRPr="00FA1BAA">
              <w:rPr>
                <w:rFonts w:ascii="Verdana" w:hAnsi="Verdana"/>
              </w:rPr>
              <w:t>Resangrado</w:t>
            </w:r>
            <w:proofErr w:type="spellEnd"/>
          </w:p>
        </w:tc>
        <w:tc>
          <w:tcPr>
            <w:tcW w:w="63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w:t>
            </w:r>
          </w:p>
        </w:tc>
        <w:tc>
          <w:tcPr>
            <w:tcW w:w="81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1,9</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w:t>
            </w:r>
          </w:p>
        </w:tc>
        <w:tc>
          <w:tcPr>
            <w:tcW w:w="144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100</w:t>
            </w:r>
          </w:p>
        </w:tc>
        <w:tc>
          <w:tcPr>
            <w:tcW w:w="90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0,501</w:t>
            </w:r>
          </w:p>
        </w:tc>
      </w:tr>
      <w:tr w:rsidR="00FA1BAA" w:rsidRPr="00FA1BAA" w:rsidTr="00FA1BAA">
        <w:trPr>
          <w:trHeight w:val="280"/>
        </w:trPr>
        <w:tc>
          <w:tcPr>
            <w:tcW w:w="1776" w:type="dxa"/>
            <w:vMerge/>
          </w:tcPr>
          <w:p w:rsidR="00FA1BAA" w:rsidRPr="00FA1BAA" w:rsidRDefault="00FA1BAA" w:rsidP="00FA1BAA">
            <w:pPr>
              <w:spacing w:after="0" w:line="276" w:lineRule="auto"/>
              <w:ind w:right="4"/>
              <w:jc w:val="both"/>
              <w:rPr>
                <w:rFonts w:ascii="Verdana" w:hAnsi="Verdana"/>
                <w:b/>
              </w:rPr>
            </w:pPr>
          </w:p>
        </w:tc>
        <w:tc>
          <w:tcPr>
            <w:tcW w:w="1842"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Transforma-ción hemorrágica</w:t>
            </w:r>
          </w:p>
        </w:tc>
        <w:tc>
          <w:tcPr>
            <w:tcW w:w="63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3</w:t>
            </w:r>
          </w:p>
        </w:tc>
        <w:tc>
          <w:tcPr>
            <w:tcW w:w="81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5,8</w:t>
            </w:r>
          </w:p>
        </w:tc>
        <w:tc>
          <w:tcPr>
            <w:tcW w:w="1332"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2</w:t>
            </w:r>
          </w:p>
        </w:tc>
        <w:tc>
          <w:tcPr>
            <w:tcW w:w="1440" w:type="dxa"/>
          </w:tcPr>
          <w:p w:rsidR="00FA1BAA" w:rsidRPr="00FA1BAA" w:rsidRDefault="00FA1BAA" w:rsidP="00FA1BAA">
            <w:pPr>
              <w:spacing w:after="0" w:line="276" w:lineRule="auto"/>
              <w:ind w:right="4"/>
              <w:jc w:val="center"/>
              <w:rPr>
                <w:rFonts w:ascii="Verdana" w:hAnsi="Verdana"/>
                <w:b/>
                <w:color w:val="000000"/>
              </w:rPr>
            </w:pPr>
            <w:r w:rsidRPr="00FA1BAA">
              <w:rPr>
                <w:rFonts w:ascii="Verdana" w:hAnsi="Verdana"/>
                <w:color w:val="000000"/>
              </w:rPr>
              <w:t>66,7</w:t>
            </w:r>
          </w:p>
        </w:tc>
        <w:tc>
          <w:tcPr>
            <w:tcW w:w="900" w:type="dxa"/>
          </w:tcPr>
          <w:p w:rsidR="00FA1BAA" w:rsidRPr="00FA1BAA" w:rsidRDefault="00FA1BAA" w:rsidP="00FA1BAA">
            <w:pPr>
              <w:spacing w:after="0" w:line="276" w:lineRule="auto"/>
              <w:ind w:right="4"/>
              <w:jc w:val="center"/>
              <w:rPr>
                <w:rFonts w:ascii="Verdana" w:hAnsi="Verdana"/>
                <w:b/>
              </w:rPr>
            </w:pPr>
            <w:r w:rsidRPr="00FA1BAA">
              <w:rPr>
                <w:rFonts w:ascii="Verdana" w:hAnsi="Verdana"/>
              </w:rPr>
              <w:t>0,921</w:t>
            </w:r>
          </w:p>
        </w:tc>
      </w:tr>
      <w:tr w:rsidR="00FA1BAA" w:rsidRPr="00FA1BAA" w:rsidTr="00FA1BAA">
        <w:trPr>
          <w:trHeight w:val="280"/>
        </w:trPr>
        <w:tc>
          <w:tcPr>
            <w:tcW w:w="8730" w:type="dxa"/>
            <w:gridSpan w:val="7"/>
          </w:tcPr>
          <w:p w:rsidR="00FA1BAA" w:rsidRPr="00FA1BAA" w:rsidRDefault="00FA1BAA" w:rsidP="00FA1BAA">
            <w:pPr>
              <w:spacing w:after="0" w:line="276" w:lineRule="auto"/>
              <w:ind w:right="4"/>
              <w:jc w:val="both"/>
              <w:rPr>
                <w:rFonts w:ascii="Verdana" w:hAnsi="Verdana"/>
                <w:lang w:val="es-MX"/>
              </w:rPr>
            </w:pPr>
            <w:r w:rsidRPr="00FA1BAA">
              <w:rPr>
                <w:rFonts w:ascii="Verdana" w:hAnsi="Verdana"/>
                <w:b/>
                <w:lang w:val="es-MX"/>
              </w:rPr>
              <w:t>*</w:t>
            </w:r>
            <w:r w:rsidRPr="00FA1BAA">
              <w:rPr>
                <w:rFonts w:ascii="Verdana" w:hAnsi="Verdana"/>
                <w:lang w:val="es-MX"/>
              </w:rPr>
              <w:t>Calculado en base a n=52</w:t>
            </w:r>
          </w:p>
        </w:tc>
      </w:tr>
    </w:tbl>
    <w:p w:rsidR="00FA1BAA" w:rsidRPr="00FA1BAA" w:rsidRDefault="00FA1BAA" w:rsidP="00FA1BAA">
      <w:pPr>
        <w:autoSpaceDE w:val="0"/>
        <w:autoSpaceDN w:val="0"/>
        <w:adjustRightInd w:val="0"/>
        <w:spacing w:after="0" w:line="276" w:lineRule="auto"/>
        <w:jc w:val="both"/>
        <w:rPr>
          <w:rFonts w:ascii="Verdana" w:hAnsi="Verdana"/>
          <w:lang w:val="es-MX"/>
        </w:rPr>
      </w:pPr>
      <w:r w:rsidRPr="00FA1BAA">
        <w:rPr>
          <w:rFonts w:ascii="Verdana" w:hAnsi="Verdana"/>
          <w:lang w:val="es-MX"/>
        </w:rPr>
        <w:t>Los elementos neurológicos como la anisocoria, el GCS &lt; 8 puntos y la hipertensión endocraneana estuvieron presentes en mayor cuantía en los</w:t>
      </w:r>
      <w:r>
        <w:rPr>
          <w:rFonts w:ascii="Verdana" w:hAnsi="Verdana"/>
          <w:lang w:val="es-MX"/>
        </w:rPr>
        <w:t xml:space="preserve"> </w:t>
      </w:r>
      <w:r w:rsidRPr="00FA1BAA">
        <w:rPr>
          <w:rFonts w:ascii="Verdana" w:hAnsi="Verdana"/>
          <w:lang w:val="es-MX"/>
        </w:rPr>
        <w:lastRenderedPageBreak/>
        <w:t>pacientes con HIC (fig. 2).</w:t>
      </w:r>
      <w:r w:rsidRPr="00FA1BAA">
        <w:rPr>
          <w:rFonts w:ascii="Verdana" w:hAnsi="Verdana"/>
          <w:noProof/>
          <w:lang w:val="es-MX" w:eastAsia="es-MX"/>
        </w:rPr>
        <w:drawing>
          <wp:inline distT="0" distB="0" distL="0" distR="0" wp14:anchorId="3CA304ED" wp14:editId="5500BE74">
            <wp:extent cx="4988560" cy="2683510"/>
            <wp:effectExtent l="0" t="0" r="2540" b="25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1BAA" w:rsidRPr="00FA1BAA" w:rsidRDefault="00FA1BAA" w:rsidP="00FA1BAA">
      <w:pPr>
        <w:spacing w:after="0" w:line="360" w:lineRule="auto"/>
        <w:ind w:right="4"/>
        <w:jc w:val="both"/>
        <w:rPr>
          <w:rFonts w:ascii="Verdana" w:hAnsi="Verdana"/>
          <w:b/>
          <w:lang w:val="es-MX"/>
        </w:rPr>
      </w:pPr>
      <w:r w:rsidRPr="00FA1BAA">
        <w:rPr>
          <w:rFonts w:ascii="Verdana" w:hAnsi="Verdana"/>
          <w:b/>
          <w:lang w:val="es-MX"/>
        </w:rPr>
        <w:t>Discusión</w:t>
      </w:r>
    </w:p>
    <w:p w:rsidR="00FA1BAA" w:rsidRPr="00FA1BAA" w:rsidRDefault="00FA1BAA" w:rsidP="00FA1BAA">
      <w:pPr>
        <w:spacing w:after="0" w:line="360" w:lineRule="auto"/>
        <w:jc w:val="both"/>
        <w:rPr>
          <w:rFonts w:ascii="Verdana" w:hAnsi="Verdana"/>
          <w:lang w:val="es-ES"/>
        </w:rPr>
      </w:pPr>
      <w:r w:rsidRPr="00FA1BAA">
        <w:rPr>
          <w:rFonts w:ascii="Verdana" w:hAnsi="Verdana"/>
          <w:lang w:val="es-MX"/>
        </w:rPr>
        <w:t xml:space="preserve">En Cuba, la mortalidad por ACV se comporta de manera variable en dependencia del tipo de ictus, aun cuando se suele suponer que los episodios hemorrágicos conlleven una mayor gravedad que los isquémicos. </w:t>
      </w:r>
      <w:r w:rsidRPr="00FA1BAA">
        <w:rPr>
          <w:rFonts w:ascii="Verdana" w:hAnsi="Verdana"/>
          <w:vertAlign w:val="superscript"/>
          <w:lang w:val="es-MX"/>
        </w:rPr>
        <w:t xml:space="preserve">(6) </w:t>
      </w:r>
      <w:r w:rsidRPr="00FA1BAA">
        <w:rPr>
          <w:rFonts w:ascii="Verdana" w:hAnsi="Verdana"/>
          <w:lang w:val="es-MX"/>
        </w:rPr>
        <w:t xml:space="preserve">Algunas series muestran que la mayor mortalidad se presenta en el ACV isquémico, </w:t>
      </w:r>
      <w:r w:rsidRPr="00FA1BAA">
        <w:rPr>
          <w:rFonts w:ascii="Verdana" w:hAnsi="Verdana"/>
          <w:vertAlign w:val="superscript"/>
          <w:lang w:val="es-MX"/>
        </w:rPr>
        <w:t xml:space="preserve">(7, 8) </w:t>
      </w:r>
      <w:r w:rsidRPr="00FA1BAA">
        <w:rPr>
          <w:rFonts w:ascii="Verdana" w:hAnsi="Verdana"/>
          <w:lang w:val="es-MX"/>
        </w:rPr>
        <w:t xml:space="preserve">otras coinciden con los resultados de la presente investigación, </w:t>
      </w:r>
      <w:r w:rsidRPr="00FA1BAA">
        <w:rPr>
          <w:rFonts w:ascii="Verdana" w:hAnsi="Verdana"/>
          <w:vertAlign w:val="superscript"/>
          <w:lang w:val="es-MX"/>
        </w:rPr>
        <w:t xml:space="preserve">(3, 9) </w:t>
      </w:r>
      <w:r w:rsidRPr="00FA1BAA">
        <w:rPr>
          <w:rFonts w:ascii="Verdana" w:hAnsi="Verdana"/>
          <w:lang w:val="es-MX"/>
        </w:rPr>
        <w:t xml:space="preserve">sin embargo estos datos reflejan a los pacientes con ACV sin distinguir si están bajo VMA o no. No existen suficientes estudios publicados en Cuba que aborden la temática del ACV y la VMA juntas. González Mendoza y colaboradores </w:t>
      </w:r>
      <w:r w:rsidRPr="00FA1BAA">
        <w:rPr>
          <w:rFonts w:ascii="Verdana" w:hAnsi="Verdana"/>
          <w:vertAlign w:val="superscript"/>
          <w:lang w:val="es-MX"/>
        </w:rPr>
        <w:t xml:space="preserve">(6) </w:t>
      </w:r>
      <w:r w:rsidRPr="00FA1BAA">
        <w:rPr>
          <w:rFonts w:ascii="Verdana" w:hAnsi="Verdana"/>
          <w:lang w:val="es-MX"/>
        </w:rPr>
        <w:t xml:space="preserve">coinciden con este estudio en que la mayoría de sus pacientes ventilados fueron hemorrágicos, sin embargo la mortalidad predominó en los isquémicos (p= 0,79), en la serie de </w:t>
      </w:r>
      <w:proofErr w:type="spellStart"/>
      <w:r w:rsidRPr="00FA1BAA">
        <w:rPr>
          <w:rFonts w:ascii="Verdana" w:hAnsi="Verdana"/>
          <w:lang w:val="es-ES"/>
        </w:rPr>
        <w:t>Gan-Fong</w:t>
      </w:r>
      <w:proofErr w:type="spellEnd"/>
      <w:r w:rsidRPr="00FA1BAA">
        <w:rPr>
          <w:rFonts w:ascii="Verdana" w:hAnsi="Verdana"/>
          <w:lang w:val="es-ES"/>
        </w:rPr>
        <w:t xml:space="preserve"> y colaboradores </w:t>
      </w:r>
      <w:r w:rsidRPr="00FA1BAA">
        <w:rPr>
          <w:rFonts w:ascii="Verdana" w:hAnsi="Verdana"/>
          <w:vertAlign w:val="superscript"/>
          <w:lang w:val="es-ES"/>
        </w:rPr>
        <w:t xml:space="preserve">(10) </w:t>
      </w:r>
      <w:r w:rsidRPr="00FA1BAA">
        <w:rPr>
          <w:rFonts w:ascii="Verdana" w:hAnsi="Verdana"/>
          <w:lang w:val="es-ES"/>
        </w:rPr>
        <w:t>predominaron los pacientes con ictus hemorrágico, de ellos los diagnosticados con HIC, lo cual coincide con el presente estudio.</w:t>
      </w:r>
    </w:p>
    <w:p w:rsidR="00FA1BAA" w:rsidRPr="00FA1BAA" w:rsidRDefault="00FA1BAA" w:rsidP="00FA1BAA">
      <w:pPr>
        <w:spacing w:after="0" w:line="360" w:lineRule="auto"/>
        <w:jc w:val="both"/>
        <w:rPr>
          <w:rFonts w:ascii="Verdana" w:hAnsi="Verdana"/>
          <w:vertAlign w:val="superscript"/>
          <w:lang w:val="es-ES"/>
        </w:rPr>
      </w:pPr>
      <w:r w:rsidRPr="00FA1BAA">
        <w:rPr>
          <w:rFonts w:ascii="Verdana" w:hAnsi="Verdana"/>
          <w:lang w:val="es-ES"/>
        </w:rPr>
        <w:t xml:space="preserve">Los pacientes con HIC presentan riesgo de deterioro neurológico temprano debido a la expansión del hematoma o al desarrollo de hidrocefalia por hemorragia interventricular aislada. Esto se traduce clínicamente por cambios en la GCS inicial o progresión directa a la muerte, </w:t>
      </w:r>
      <w:r w:rsidRPr="00FA1BAA">
        <w:rPr>
          <w:rFonts w:ascii="Verdana" w:hAnsi="Verdana"/>
          <w:vertAlign w:val="superscript"/>
          <w:lang w:val="es-ES"/>
        </w:rPr>
        <w:t>(11)</w:t>
      </w:r>
      <w:r w:rsidRPr="00FA1BAA">
        <w:rPr>
          <w:rFonts w:ascii="Verdana" w:hAnsi="Verdana"/>
          <w:lang w:val="es-ES"/>
        </w:rPr>
        <w:t xml:space="preserve"> la cual ocurre en más del 70 % de los pacientes en las primeras 24 horas del comienzo de los síntomas </w:t>
      </w:r>
      <w:r w:rsidRPr="00FA1BAA">
        <w:rPr>
          <w:rFonts w:ascii="Verdana" w:hAnsi="Verdana"/>
          <w:vertAlign w:val="superscript"/>
          <w:lang w:val="es-ES"/>
        </w:rPr>
        <w:t xml:space="preserve">(13) </w:t>
      </w:r>
      <w:r w:rsidRPr="00FA1BAA">
        <w:rPr>
          <w:rFonts w:ascii="Verdana" w:hAnsi="Verdana"/>
          <w:lang w:val="es-ES"/>
        </w:rPr>
        <w:t xml:space="preserve">y está asociado con peores resultados a largo plazo. </w:t>
      </w:r>
      <w:r w:rsidRPr="00FA1BAA">
        <w:rPr>
          <w:rFonts w:ascii="Verdana" w:hAnsi="Verdana"/>
          <w:vertAlign w:val="superscript"/>
          <w:lang w:val="es-ES"/>
        </w:rPr>
        <w:t xml:space="preserve">(11, 12) </w:t>
      </w:r>
    </w:p>
    <w:p w:rsidR="00FA1BAA" w:rsidRPr="00FA1BAA" w:rsidRDefault="00FA1BAA" w:rsidP="00FA1BAA">
      <w:pPr>
        <w:spacing w:after="0" w:line="360" w:lineRule="auto"/>
        <w:jc w:val="both"/>
        <w:rPr>
          <w:rFonts w:ascii="Verdana" w:hAnsi="Verdana"/>
          <w:lang w:val="es-ES"/>
        </w:rPr>
      </w:pPr>
      <w:r w:rsidRPr="00FA1BAA">
        <w:rPr>
          <w:rFonts w:ascii="Verdana" w:hAnsi="Verdana"/>
          <w:lang w:val="es-ES"/>
        </w:rPr>
        <w:t>Este mecanismo suscita la necesidad de VMA inmediatamente y pudiera explicar la alta mortalidad en este subgrupo de pacientes.</w:t>
      </w:r>
    </w:p>
    <w:p w:rsidR="00FA1BAA" w:rsidRPr="00FA1BAA" w:rsidRDefault="00FA1BAA" w:rsidP="00FA1BAA">
      <w:pPr>
        <w:spacing w:after="0" w:line="360" w:lineRule="auto"/>
        <w:jc w:val="both"/>
        <w:rPr>
          <w:rFonts w:ascii="Verdana" w:hAnsi="Verdana"/>
          <w:lang w:val="es-MX"/>
        </w:rPr>
      </w:pPr>
      <w:r w:rsidRPr="00FA1BAA">
        <w:rPr>
          <w:rFonts w:ascii="Verdana" w:hAnsi="Verdana"/>
          <w:lang w:val="es-MX"/>
        </w:rPr>
        <w:lastRenderedPageBreak/>
        <w:t xml:space="preserve">En la arena internacional, los resultados son variables también. </w:t>
      </w:r>
      <w:proofErr w:type="spellStart"/>
      <w:r w:rsidRPr="00FA1BAA">
        <w:rPr>
          <w:rFonts w:ascii="Verdana" w:hAnsi="Verdana"/>
          <w:lang w:val="es-MX"/>
        </w:rPr>
        <w:t>Lahiri</w:t>
      </w:r>
      <w:proofErr w:type="spellEnd"/>
      <w:r w:rsidRPr="00FA1BAA">
        <w:rPr>
          <w:rFonts w:ascii="Verdana" w:hAnsi="Verdana"/>
          <w:lang w:val="es-MX"/>
        </w:rPr>
        <w:t xml:space="preserve"> S y colaboradores </w:t>
      </w:r>
      <w:r w:rsidRPr="00FA1BAA">
        <w:rPr>
          <w:rFonts w:ascii="Verdana" w:hAnsi="Verdana"/>
          <w:vertAlign w:val="superscript"/>
          <w:lang w:val="es-MX"/>
        </w:rPr>
        <w:t xml:space="preserve">(13) </w:t>
      </w:r>
      <w:r w:rsidRPr="00FA1BAA">
        <w:rPr>
          <w:rFonts w:ascii="Verdana" w:hAnsi="Verdana"/>
          <w:lang w:val="es-MX"/>
        </w:rPr>
        <w:t xml:space="preserve">encontraron que, a pesar de ventilarse más los ictus isquémicos, la mortalidad fue mayor en los hemorrágicos, especialmente en la HIC, la cual fue de un 61 %, al igual que de </w:t>
      </w:r>
      <w:proofErr w:type="spellStart"/>
      <w:r w:rsidRPr="00FA1BAA">
        <w:rPr>
          <w:rFonts w:ascii="Verdana" w:hAnsi="Verdana"/>
          <w:lang w:val="es-MX"/>
        </w:rPr>
        <w:t>Montmollin</w:t>
      </w:r>
      <w:proofErr w:type="spellEnd"/>
      <w:r w:rsidRPr="00FA1BAA">
        <w:rPr>
          <w:rFonts w:ascii="Verdana" w:hAnsi="Verdana"/>
          <w:lang w:val="es-MX"/>
        </w:rPr>
        <w:t xml:space="preserve"> E y colaboradores </w:t>
      </w:r>
      <w:r w:rsidRPr="00FA1BAA">
        <w:rPr>
          <w:rFonts w:ascii="Verdana" w:hAnsi="Verdana"/>
          <w:vertAlign w:val="superscript"/>
          <w:lang w:val="es-MX"/>
        </w:rPr>
        <w:t xml:space="preserve">(14) </w:t>
      </w:r>
      <w:r w:rsidRPr="00FA1BAA">
        <w:rPr>
          <w:rFonts w:ascii="Verdana" w:hAnsi="Verdana"/>
          <w:lang w:val="es-MX"/>
        </w:rPr>
        <w:t xml:space="preserve">en su gran estudio multicéntrico en el cual los pacientes con HIC tuvieron una menor supervivencia al año de evolución, estos datos concuerdan con resultados presentados en esta investigación. Ahora, en cuanto al tipo de ACV como factor relacionado con la mortalidad, los datos aportados por </w:t>
      </w:r>
      <w:proofErr w:type="spellStart"/>
      <w:r w:rsidRPr="00FA1BAA">
        <w:rPr>
          <w:rFonts w:ascii="Verdana" w:hAnsi="Verdana"/>
          <w:lang w:val="es-MX"/>
        </w:rPr>
        <w:t>Popat</w:t>
      </w:r>
      <w:proofErr w:type="spellEnd"/>
      <w:r w:rsidRPr="00FA1BAA">
        <w:rPr>
          <w:rFonts w:ascii="Verdana" w:hAnsi="Verdana"/>
          <w:lang w:val="es-MX"/>
        </w:rPr>
        <w:t xml:space="preserve"> C y colaboradores </w:t>
      </w:r>
      <w:r w:rsidRPr="00FA1BAA">
        <w:rPr>
          <w:rFonts w:ascii="Verdana" w:hAnsi="Verdana"/>
          <w:vertAlign w:val="superscript"/>
          <w:lang w:val="es-MX"/>
        </w:rPr>
        <w:t xml:space="preserve">(15) </w:t>
      </w:r>
      <w:r w:rsidRPr="00FA1BAA">
        <w:rPr>
          <w:rFonts w:ascii="Verdana" w:hAnsi="Verdana"/>
          <w:lang w:val="es-MX"/>
        </w:rPr>
        <w:t xml:space="preserve">y </w:t>
      </w:r>
      <w:proofErr w:type="spellStart"/>
      <w:r w:rsidRPr="00FA1BAA">
        <w:rPr>
          <w:rFonts w:ascii="Verdana" w:hAnsi="Verdana"/>
          <w:lang w:val="es-MX"/>
        </w:rPr>
        <w:t>Bouvet</w:t>
      </w:r>
      <w:proofErr w:type="spellEnd"/>
      <w:r w:rsidRPr="00FA1BAA">
        <w:rPr>
          <w:rFonts w:ascii="Verdana" w:hAnsi="Verdana"/>
          <w:lang w:val="es-MX"/>
        </w:rPr>
        <w:t xml:space="preserve"> P y colaboradores </w:t>
      </w:r>
      <w:r w:rsidRPr="00FA1BAA">
        <w:rPr>
          <w:rFonts w:ascii="Verdana" w:hAnsi="Verdana"/>
          <w:vertAlign w:val="superscript"/>
          <w:lang w:val="es-MX"/>
        </w:rPr>
        <w:t>(4)</w:t>
      </w:r>
      <w:r w:rsidRPr="00FA1BAA">
        <w:rPr>
          <w:rFonts w:ascii="Verdana" w:hAnsi="Verdana"/>
          <w:lang w:val="es-MX"/>
        </w:rPr>
        <w:t xml:space="preserve"> coinciden con los de este estudio al no encontrar relación estadística.</w:t>
      </w:r>
    </w:p>
    <w:p w:rsidR="00FA1BAA" w:rsidRPr="00FA1BAA" w:rsidRDefault="00FA1BAA" w:rsidP="00FA1BAA">
      <w:pPr>
        <w:spacing w:after="0" w:line="360" w:lineRule="auto"/>
        <w:jc w:val="both"/>
        <w:rPr>
          <w:rFonts w:ascii="Verdana" w:hAnsi="Verdana"/>
          <w:vertAlign w:val="superscript"/>
          <w:lang w:val="es-MX"/>
        </w:rPr>
      </w:pPr>
      <w:r w:rsidRPr="00FA1BAA">
        <w:rPr>
          <w:rFonts w:ascii="Verdana" w:hAnsi="Verdana"/>
          <w:lang w:val="es-MX"/>
        </w:rPr>
        <w:t xml:space="preserve">Luego de la lesión cerebral, el deterioro de conciencia y la afectación de los reflejos de tallo encefálico inducen hipoventilación y precipitan a la </w:t>
      </w:r>
      <w:proofErr w:type="spellStart"/>
      <w:r w:rsidRPr="00FA1BAA">
        <w:rPr>
          <w:rFonts w:ascii="Verdana" w:hAnsi="Verdana"/>
          <w:lang w:val="es-MX"/>
        </w:rPr>
        <w:t>broncoaspiración</w:t>
      </w:r>
      <w:proofErr w:type="spellEnd"/>
      <w:r w:rsidRPr="00FA1BAA">
        <w:rPr>
          <w:rFonts w:ascii="Verdana" w:hAnsi="Verdana"/>
          <w:lang w:val="es-MX"/>
        </w:rPr>
        <w:t xml:space="preserve">. El primer objetivo de la ventilación mecánica es entonces proteger la vía aérea con la intubación endotraqueal. </w:t>
      </w:r>
      <w:r w:rsidRPr="00FA1BAA">
        <w:rPr>
          <w:rFonts w:ascii="Verdana" w:hAnsi="Verdana"/>
          <w:vertAlign w:val="superscript"/>
          <w:lang w:val="es-MX"/>
        </w:rPr>
        <w:t xml:space="preserve">(2) </w:t>
      </w:r>
      <w:r w:rsidRPr="00FA1BAA">
        <w:rPr>
          <w:rFonts w:ascii="Verdana" w:hAnsi="Verdana"/>
          <w:lang w:val="es-MX"/>
        </w:rPr>
        <w:t xml:space="preserve">La evaluación clínica de los reflejos del tallo encefálico, forman parte del neuromonitoreo rutinario de los pacientes con ACV ingresados en la UCI. Estos no solo ayudan en la localización de la lesión, sino que también son de utilidad como guía de soporte terapéutico en el paciente crítico. Comparado con la respuesta motora anormal, los reflejos del tallo resultan ser más útiles en la localización de la lesión según el nervio craneal involucrado. </w:t>
      </w:r>
      <w:r w:rsidRPr="00FA1BAA">
        <w:rPr>
          <w:rFonts w:ascii="Verdana" w:hAnsi="Verdana"/>
          <w:vertAlign w:val="superscript"/>
          <w:lang w:val="es-MX"/>
        </w:rPr>
        <w:t>(16)</w:t>
      </w:r>
    </w:p>
    <w:p w:rsidR="00FA1BAA" w:rsidRPr="00FA1BAA" w:rsidRDefault="00FA1BAA" w:rsidP="00FA1BAA">
      <w:pPr>
        <w:spacing w:after="0" w:line="360" w:lineRule="auto"/>
        <w:jc w:val="both"/>
        <w:rPr>
          <w:rFonts w:ascii="Verdana" w:hAnsi="Verdana"/>
          <w:lang w:val="es-MX"/>
        </w:rPr>
      </w:pPr>
      <w:r w:rsidRPr="00FA1BAA">
        <w:rPr>
          <w:rFonts w:ascii="Verdana" w:hAnsi="Verdana"/>
          <w:lang w:val="es-MX"/>
        </w:rPr>
        <w:t xml:space="preserve">La pérdida de los mismos (total o parcial) </w:t>
      </w:r>
      <w:proofErr w:type="gramStart"/>
      <w:r w:rsidRPr="00FA1BAA">
        <w:rPr>
          <w:rFonts w:ascii="Verdana" w:hAnsi="Verdana"/>
          <w:lang w:val="es-MX"/>
        </w:rPr>
        <w:t>son</w:t>
      </w:r>
      <w:proofErr w:type="gramEnd"/>
      <w:r w:rsidRPr="00FA1BAA">
        <w:rPr>
          <w:rFonts w:ascii="Verdana" w:hAnsi="Verdana"/>
          <w:lang w:val="es-MX"/>
        </w:rPr>
        <w:t xml:space="preserve"> parte de la patente clínica de la hipertensión endocraneana y herniación cerebral, </w:t>
      </w:r>
      <w:r w:rsidRPr="00FA1BAA">
        <w:rPr>
          <w:rFonts w:ascii="Verdana" w:hAnsi="Verdana"/>
          <w:vertAlign w:val="superscript"/>
          <w:lang w:val="es-MX"/>
        </w:rPr>
        <w:t>(5, 16)</w:t>
      </w:r>
      <w:r w:rsidRPr="00FA1BAA">
        <w:rPr>
          <w:rFonts w:ascii="Verdana" w:hAnsi="Verdana"/>
          <w:lang w:val="es-MX"/>
        </w:rPr>
        <w:t xml:space="preserve"> la cual se relacionó con la mortalidad en la presente investigación.</w:t>
      </w:r>
    </w:p>
    <w:p w:rsidR="00FA1BAA" w:rsidRPr="00FA1BAA" w:rsidRDefault="00FA1BAA" w:rsidP="00FA1BAA">
      <w:pPr>
        <w:spacing w:after="0" w:line="360" w:lineRule="auto"/>
        <w:jc w:val="both"/>
        <w:rPr>
          <w:rFonts w:ascii="Verdana" w:hAnsi="Verdana"/>
          <w:vertAlign w:val="superscript"/>
          <w:lang w:val="es-MX"/>
        </w:rPr>
      </w:pPr>
      <w:r w:rsidRPr="00FA1BAA">
        <w:rPr>
          <w:rFonts w:ascii="Verdana" w:hAnsi="Verdana"/>
          <w:lang w:val="es-MX"/>
        </w:rPr>
        <w:t xml:space="preserve">Estudios en pacientes ventilados con patologías neurológicas agudas, mostraron relación estadística con la mortalidad cuando estaban ausentes los reflejos del tallo cerebral, </w:t>
      </w:r>
      <w:r w:rsidRPr="00FA1BAA">
        <w:rPr>
          <w:rFonts w:ascii="Verdana" w:hAnsi="Verdana"/>
          <w:vertAlign w:val="superscript"/>
          <w:lang w:val="es-MX"/>
        </w:rPr>
        <w:t xml:space="preserve">(17, 18) </w:t>
      </w:r>
      <w:r w:rsidRPr="00FA1BAA">
        <w:rPr>
          <w:rFonts w:ascii="Verdana" w:hAnsi="Verdana"/>
          <w:lang w:val="es-MX"/>
        </w:rPr>
        <w:t xml:space="preserve">estos resultados coinciden con los mostrados en esta serie, donde la mortalidad se asoció a con alto nivel de significación (p&lt; 0,001). Otros autores también mencionan la usencia de reflejos del tallo encefálico como predictores de mortalidad. </w:t>
      </w:r>
      <w:r w:rsidRPr="00FA1BAA">
        <w:rPr>
          <w:rFonts w:ascii="Verdana" w:hAnsi="Verdana"/>
          <w:vertAlign w:val="superscript"/>
          <w:lang w:val="es-MX"/>
        </w:rPr>
        <w:t xml:space="preserve">(10, 19) </w:t>
      </w:r>
      <w:r w:rsidRPr="00FA1BAA">
        <w:rPr>
          <w:rFonts w:ascii="Verdana" w:hAnsi="Verdana"/>
          <w:lang w:val="es-MX"/>
        </w:rPr>
        <w:t xml:space="preserve">De manera independiente, la ausencia del reflejo </w:t>
      </w:r>
      <w:proofErr w:type="spellStart"/>
      <w:r w:rsidRPr="00FA1BAA">
        <w:rPr>
          <w:rFonts w:ascii="Verdana" w:hAnsi="Verdana"/>
          <w:lang w:val="es-MX"/>
        </w:rPr>
        <w:t>fotomotor</w:t>
      </w:r>
      <w:proofErr w:type="spellEnd"/>
      <w:r w:rsidRPr="00FA1BAA">
        <w:rPr>
          <w:rFonts w:ascii="Verdana" w:hAnsi="Verdana"/>
          <w:lang w:val="es-MX"/>
        </w:rPr>
        <w:t xml:space="preserve"> al momento inicial del examen se asocia a mal pronóstico general, el 90% de los pacientes sin reflejo corneal a las 24 h fallece, la abolición del reflejo vestíbulo-ocular se asocia a pronóstico ominoso. </w:t>
      </w:r>
      <w:r w:rsidRPr="00FA1BAA">
        <w:rPr>
          <w:rFonts w:ascii="Verdana" w:hAnsi="Verdana"/>
          <w:vertAlign w:val="superscript"/>
          <w:lang w:val="es-MX"/>
        </w:rPr>
        <w:t>(20)</w:t>
      </w:r>
    </w:p>
    <w:p w:rsidR="00FA1BAA" w:rsidRPr="00FA1BAA" w:rsidRDefault="00FA1BAA" w:rsidP="00FA1BAA">
      <w:pPr>
        <w:spacing w:after="0" w:line="360" w:lineRule="auto"/>
        <w:jc w:val="both"/>
        <w:rPr>
          <w:rFonts w:ascii="Verdana" w:hAnsi="Verdana"/>
          <w:vertAlign w:val="superscript"/>
          <w:lang w:val="es-ES"/>
        </w:rPr>
      </w:pPr>
      <w:r w:rsidRPr="00FA1BAA">
        <w:rPr>
          <w:rFonts w:ascii="Verdana" w:hAnsi="Verdana"/>
          <w:lang w:val="es-MX"/>
        </w:rPr>
        <w:t>La anisocoria se define como la asimetría en el diámetro pupilar y representa también un hallazgo de importancia en el paciente con ACV. Relacionad</w:t>
      </w:r>
      <w:r w:rsidRPr="00FA1BAA">
        <w:rPr>
          <w:rFonts w:ascii="Verdana" w:hAnsi="Verdana"/>
          <w:lang w:val="es-ES"/>
        </w:rPr>
        <w:t>a</w:t>
      </w:r>
      <w:r w:rsidRPr="00FA1BAA">
        <w:rPr>
          <w:rFonts w:ascii="Verdana" w:hAnsi="Verdana"/>
          <w:lang w:val="es-MX"/>
        </w:rPr>
        <w:t xml:space="preserve"> con </w:t>
      </w:r>
      <w:r w:rsidRPr="00FA1BAA">
        <w:rPr>
          <w:rFonts w:ascii="Verdana" w:hAnsi="Verdana"/>
          <w:lang w:val="es-MX"/>
        </w:rPr>
        <w:lastRenderedPageBreak/>
        <w:t xml:space="preserve">la afectación del III par craneal, </w:t>
      </w:r>
      <w:r w:rsidRPr="00FA1BAA">
        <w:rPr>
          <w:rFonts w:ascii="Verdana" w:hAnsi="Verdana"/>
          <w:vertAlign w:val="superscript"/>
          <w:lang w:val="es-MX"/>
        </w:rPr>
        <w:t xml:space="preserve">(12) </w:t>
      </w:r>
      <w:r w:rsidRPr="00FA1BAA">
        <w:rPr>
          <w:rFonts w:ascii="Verdana" w:hAnsi="Verdana"/>
          <w:lang w:val="es-MX"/>
        </w:rPr>
        <w:t xml:space="preserve">su aparición significa un incremento de la presión endocraneana. Son signos frecuentes acompañantes de anisocoria: la disminución del nivel de conciencia, </w:t>
      </w:r>
      <w:proofErr w:type="spellStart"/>
      <w:r w:rsidRPr="00FA1BAA">
        <w:rPr>
          <w:rFonts w:ascii="Verdana" w:hAnsi="Verdana"/>
          <w:lang w:val="es-MX"/>
        </w:rPr>
        <w:t>ptosis</w:t>
      </w:r>
      <w:proofErr w:type="spellEnd"/>
      <w:r w:rsidRPr="00FA1BAA">
        <w:rPr>
          <w:rFonts w:ascii="Verdana" w:hAnsi="Verdana"/>
          <w:lang w:val="es-MX"/>
        </w:rPr>
        <w:t xml:space="preserve"> palpebral </w:t>
      </w:r>
      <w:proofErr w:type="spellStart"/>
      <w:r w:rsidRPr="00FA1BAA">
        <w:rPr>
          <w:rFonts w:ascii="Verdana" w:hAnsi="Verdana"/>
          <w:lang w:val="es-MX"/>
        </w:rPr>
        <w:t>ipsolateral</w:t>
      </w:r>
      <w:proofErr w:type="spellEnd"/>
      <w:r w:rsidRPr="00FA1BAA">
        <w:rPr>
          <w:rFonts w:ascii="Verdana" w:hAnsi="Verdana"/>
          <w:lang w:val="es-MX"/>
        </w:rPr>
        <w:t xml:space="preserve">, disminución de la frecuencia del pulso y la respiración. </w:t>
      </w:r>
      <w:r w:rsidRPr="00FA1BAA">
        <w:rPr>
          <w:rFonts w:ascii="Verdana" w:hAnsi="Verdana"/>
          <w:vertAlign w:val="superscript"/>
          <w:lang w:val="es-MX"/>
        </w:rPr>
        <w:t xml:space="preserve">(21) </w:t>
      </w:r>
      <w:r w:rsidRPr="00FA1BAA">
        <w:rPr>
          <w:rFonts w:ascii="Verdana" w:hAnsi="Verdana"/>
          <w:lang w:val="es-MX"/>
        </w:rPr>
        <w:t xml:space="preserve">Los resultados de la búsqueda comparativa de los autores con otras investigaciones que usaran esta variable arrojó las limitaciones antes enunciadas, no se ha publicado sobre este tema en el ámbito nacional, por otro lado, en los hallazgos de </w:t>
      </w:r>
      <w:proofErr w:type="spellStart"/>
      <w:r w:rsidRPr="00FA1BAA">
        <w:rPr>
          <w:rFonts w:ascii="Verdana" w:hAnsi="Verdana"/>
          <w:lang w:val="es-MX"/>
        </w:rPr>
        <w:t>Foerch</w:t>
      </w:r>
      <w:proofErr w:type="spellEnd"/>
      <w:r w:rsidRPr="00FA1BAA">
        <w:rPr>
          <w:rFonts w:ascii="Verdana" w:hAnsi="Verdana"/>
          <w:lang w:val="es-MX"/>
        </w:rPr>
        <w:t xml:space="preserve"> y colaboradores, </w:t>
      </w:r>
      <w:r w:rsidRPr="00FA1BAA">
        <w:rPr>
          <w:rFonts w:ascii="Verdana" w:hAnsi="Verdana"/>
          <w:vertAlign w:val="superscript"/>
          <w:lang w:val="es-MX"/>
        </w:rPr>
        <w:t xml:space="preserve">(22) </w:t>
      </w:r>
      <w:r w:rsidRPr="00FA1BAA">
        <w:rPr>
          <w:rFonts w:ascii="Verdana" w:hAnsi="Verdana"/>
          <w:lang w:val="es-MX"/>
        </w:rPr>
        <w:t xml:space="preserve">la anisocoria estuvo presente en el 28 % de su serie, sin obtenerse relación estadística. </w:t>
      </w:r>
      <w:proofErr w:type="spellStart"/>
      <w:r w:rsidRPr="00FA1BAA">
        <w:rPr>
          <w:rFonts w:ascii="Verdana" w:hAnsi="Verdana"/>
          <w:lang w:val="es-MX"/>
        </w:rPr>
        <w:t>Bouvet</w:t>
      </w:r>
      <w:proofErr w:type="spellEnd"/>
      <w:r w:rsidRPr="00FA1BAA">
        <w:rPr>
          <w:rFonts w:ascii="Verdana" w:hAnsi="Verdana"/>
          <w:lang w:val="es-MX"/>
        </w:rPr>
        <w:t xml:space="preserve"> P y colaboradores </w:t>
      </w:r>
      <w:r w:rsidRPr="00FA1BAA">
        <w:rPr>
          <w:rFonts w:ascii="Verdana" w:hAnsi="Verdana"/>
          <w:vertAlign w:val="superscript"/>
          <w:lang w:val="es-MX"/>
        </w:rPr>
        <w:t>(4)</w:t>
      </w:r>
      <w:r w:rsidRPr="00FA1BAA">
        <w:rPr>
          <w:rFonts w:ascii="Verdana" w:hAnsi="Verdana"/>
          <w:lang w:val="es-MX"/>
        </w:rPr>
        <w:t xml:space="preserve"> encontraron este hallazgo en el 12 % de sus ventilados, demostrando asociación independiente con la mortalidad (p=0,003), estos datos concuerdan con los resultados de la presente investigación. Los autores opinan que tanto la búsqueda de los reflejos del tallo encefálicos como la </w:t>
      </w:r>
      <w:proofErr w:type="spellStart"/>
      <w:r w:rsidRPr="00FA1BAA">
        <w:rPr>
          <w:rFonts w:ascii="Verdana" w:hAnsi="Verdana"/>
          <w:lang w:val="es-MX"/>
        </w:rPr>
        <w:t>anisocoria</w:t>
      </w:r>
      <w:proofErr w:type="spellEnd"/>
      <w:r w:rsidRPr="00FA1BAA">
        <w:rPr>
          <w:rFonts w:ascii="Verdana" w:hAnsi="Verdana"/>
          <w:lang w:val="es-MX"/>
        </w:rPr>
        <w:t xml:space="preserve"> representan herramientas </w:t>
      </w:r>
      <w:proofErr w:type="spellStart"/>
      <w:r w:rsidRPr="00FA1BAA">
        <w:rPr>
          <w:rFonts w:ascii="Verdana" w:hAnsi="Verdana"/>
          <w:lang w:val="es-MX"/>
        </w:rPr>
        <w:t>pronósticas</w:t>
      </w:r>
      <w:proofErr w:type="spellEnd"/>
      <w:r w:rsidRPr="00FA1BAA">
        <w:rPr>
          <w:rFonts w:ascii="Verdana" w:hAnsi="Verdana"/>
          <w:lang w:val="es-MX"/>
        </w:rPr>
        <w:t xml:space="preserve"> en estos pacientes, por lo que debería generalizarse su uso.</w:t>
      </w:r>
    </w:p>
    <w:p w:rsidR="00FA1BAA" w:rsidRPr="00FA1BAA" w:rsidRDefault="00FA1BAA" w:rsidP="00FA1BAA">
      <w:pPr>
        <w:spacing w:after="0" w:line="360" w:lineRule="auto"/>
        <w:jc w:val="both"/>
        <w:rPr>
          <w:rFonts w:ascii="Verdana" w:hAnsi="Verdana"/>
          <w:vertAlign w:val="superscript"/>
          <w:lang w:val="es-MX"/>
        </w:rPr>
      </w:pPr>
      <w:r w:rsidRPr="00FA1BAA">
        <w:rPr>
          <w:rFonts w:ascii="Verdana" w:hAnsi="Verdana"/>
          <w:lang w:val="es-MX"/>
        </w:rPr>
        <w:t xml:space="preserve">La GCS se mantiene para la evaluación del estado de conciencia al evitar el uso de una descripción mediante palabras suponiendo que sean interpretadas por todos de la misma manera. Un valor inferior a 8 puntos se relaciona con una toma de conciencia grave y con un peor pronóstico al egreso, incluyendo no sólo la supervivencia si no también la calidad de vida. </w:t>
      </w:r>
      <w:r w:rsidRPr="00FA1BAA">
        <w:rPr>
          <w:rFonts w:ascii="Verdana" w:hAnsi="Verdana"/>
          <w:vertAlign w:val="superscript"/>
          <w:lang w:val="es-MX"/>
        </w:rPr>
        <w:t>(6)</w:t>
      </w:r>
    </w:p>
    <w:p w:rsidR="00FA1BAA" w:rsidRPr="00FA1BAA" w:rsidRDefault="00FA1BAA" w:rsidP="00FA1BAA">
      <w:pPr>
        <w:spacing w:after="0" w:line="360" w:lineRule="auto"/>
        <w:jc w:val="both"/>
        <w:rPr>
          <w:rFonts w:ascii="Verdana" w:hAnsi="Verdana"/>
          <w:lang w:val="es-MX"/>
        </w:rPr>
      </w:pPr>
      <w:r w:rsidRPr="00FA1BAA">
        <w:rPr>
          <w:rFonts w:ascii="Verdana" w:hAnsi="Verdana"/>
          <w:lang w:val="es-MX"/>
        </w:rPr>
        <w:t xml:space="preserve">Esta consideración se aplica a resultados mostrados donde la mortalidad, cuando se cumplió esta característica, fue elevada y se relacionó estadísticamente. Otros autores consultados también coinciden con estos datos. </w:t>
      </w:r>
      <w:r w:rsidRPr="00FA1BAA">
        <w:rPr>
          <w:rFonts w:ascii="Verdana" w:hAnsi="Verdana"/>
          <w:vertAlign w:val="superscript"/>
          <w:lang w:val="es-MX"/>
        </w:rPr>
        <w:t xml:space="preserve">(10, 14, 19, 23, 24) </w:t>
      </w:r>
      <w:r w:rsidRPr="00FA1BAA">
        <w:rPr>
          <w:rFonts w:ascii="Verdana" w:hAnsi="Verdana"/>
          <w:lang w:val="es-MX"/>
        </w:rPr>
        <w:t>El deterioro neurológico observado (y explicado) en el paciente con ACV hemorrágico se corresponde con esta puntuación, por su parte en el ACV isquémico algunas consideraciones afines con el GCS bajo están en relación con complicaciones como la extensión del área isquémica, el efecto del edema cerebral y la aparición de HEC.</w:t>
      </w:r>
    </w:p>
    <w:p w:rsidR="00FA1BAA" w:rsidRPr="00FA1BAA" w:rsidRDefault="00FA1BAA" w:rsidP="00FA1BAA">
      <w:pPr>
        <w:spacing w:after="0" w:line="360" w:lineRule="auto"/>
        <w:jc w:val="both"/>
        <w:rPr>
          <w:rFonts w:ascii="Verdana" w:hAnsi="Verdana"/>
          <w:vertAlign w:val="superscript"/>
          <w:lang w:val="es-ES"/>
        </w:rPr>
      </w:pPr>
      <w:r w:rsidRPr="00FA1BAA">
        <w:rPr>
          <w:rFonts w:ascii="Verdana" w:hAnsi="Verdana"/>
          <w:lang w:val="es-MX"/>
        </w:rPr>
        <w:t xml:space="preserve">Precisamente la HEC como complicación, fue la más observada en el presente estudio con resultados que coinciden a los mostrados por </w:t>
      </w:r>
      <w:proofErr w:type="spellStart"/>
      <w:r w:rsidRPr="00FA1BAA">
        <w:rPr>
          <w:rFonts w:ascii="Verdana" w:hAnsi="Verdana"/>
          <w:lang w:val="es-MX"/>
        </w:rPr>
        <w:t>Bouvet</w:t>
      </w:r>
      <w:proofErr w:type="spellEnd"/>
      <w:r w:rsidRPr="00FA1BAA">
        <w:rPr>
          <w:rFonts w:ascii="Verdana" w:hAnsi="Verdana"/>
          <w:lang w:val="es-MX"/>
        </w:rPr>
        <w:t xml:space="preserve"> P y colaboradores </w:t>
      </w:r>
      <w:r w:rsidRPr="00FA1BAA">
        <w:rPr>
          <w:rFonts w:ascii="Verdana" w:hAnsi="Verdana"/>
          <w:vertAlign w:val="superscript"/>
          <w:lang w:val="es-MX"/>
        </w:rPr>
        <w:t>(4)</w:t>
      </w:r>
      <w:r w:rsidRPr="00FA1BAA">
        <w:rPr>
          <w:rFonts w:ascii="Verdana" w:hAnsi="Verdana"/>
          <w:lang w:val="es-MX"/>
        </w:rPr>
        <w:t xml:space="preserve"> los cuales no encontraron relación estadística con la mortalidad en su serie (p= 0,76).</w:t>
      </w:r>
    </w:p>
    <w:p w:rsidR="00FA1BAA" w:rsidRPr="00FA1BAA" w:rsidRDefault="00FA1BAA" w:rsidP="00FA1BAA">
      <w:pPr>
        <w:spacing w:after="0" w:line="360" w:lineRule="auto"/>
        <w:jc w:val="both"/>
        <w:rPr>
          <w:rFonts w:ascii="Verdana" w:hAnsi="Verdana"/>
          <w:vertAlign w:val="superscript"/>
          <w:lang w:val="es-MX"/>
        </w:rPr>
      </w:pPr>
      <w:r w:rsidRPr="00FA1BAA">
        <w:rPr>
          <w:rFonts w:ascii="Verdana" w:hAnsi="Verdana"/>
          <w:lang w:val="es-MX"/>
        </w:rPr>
        <w:t xml:space="preserve">La búsqueda bibliográfica no arrojó otras consideraciones con respecto a </w:t>
      </w:r>
      <w:proofErr w:type="spellStart"/>
      <w:r w:rsidRPr="00FA1BAA">
        <w:rPr>
          <w:rFonts w:ascii="Verdana" w:hAnsi="Verdana"/>
          <w:lang w:val="es-MX"/>
        </w:rPr>
        <w:t>estatemática</w:t>
      </w:r>
      <w:proofErr w:type="spellEnd"/>
      <w:r w:rsidRPr="00FA1BAA">
        <w:rPr>
          <w:rFonts w:ascii="Verdana" w:hAnsi="Verdana"/>
          <w:lang w:val="es-MX"/>
        </w:rPr>
        <w:t xml:space="preserve">, aunque se tienen registros de asociación con la mortalidad en pacientes con ictus de forma general. </w:t>
      </w:r>
      <w:r w:rsidRPr="00FA1BAA">
        <w:rPr>
          <w:rFonts w:ascii="Verdana" w:hAnsi="Verdana"/>
          <w:vertAlign w:val="superscript"/>
          <w:lang w:val="es-MX"/>
        </w:rPr>
        <w:t>(25, 26)</w:t>
      </w:r>
    </w:p>
    <w:p w:rsidR="00FA1BAA" w:rsidRPr="00FA1BAA" w:rsidRDefault="00FA1BAA" w:rsidP="00FA1BAA">
      <w:pPr>
        <w:spacing w:after="0" w:line="360" w:lineRule="auto"/>
        <w:jc w:val="both"/>
        <w:rPr>
          <w:rFonts w:ascii="Verdana" w:hAnsi="Verdana"/>
          <w:lang w:val="es-MX"/>
        </w:rPr>
      </w:pPr>
      <w:r w:rsidRPr="00FA1BAA">
        <w:rPr>
          <w:rFonts w:ascii="Verdana" w:hAnsi="Verdana"/>
          <w:lang w:val="es-MX"/>
        </w:rPr>
        <w:lastRenderedPageBreak/>
        <w:t>Sin embargo, los autores consideran que la presencia de HEC representa un elemento crucial en el desenlace del paciente ventilado con ACV, sobre todo por lo controversial que aún resulta establecer una estrategia ventilatoria adecuada con el fin de brindar el mejor soporte respiratorio y neurológico a la vez, por lo que se hace evidente la necesidad de prevenir y tratar este problema.</w:t>
      </w:r>
    </w:p>
    <w:p w:rsidR="00FA1BAA" w:rsidRPr="00FA1BAA" w:rsidRDefault="00FA1BAA" w:rsidP="00FA1BAA">
      <w:pPr>
        <w:spacing w:after="0" w:line="360" w:lineRule="auto"/>
        <w:jc w:val="both"/>
        <w:rPr>
          <w:rFonts w:ascii="Verdana" w:hAnsi="Verdana"/>
          <w:lang w:val="es-MX"/>
        </w:rPr>
      </w:pPr>
      <w:r w:rsidRPr="00FA1BAA">
        <w:rPr>
          <w:rFonts w:ascii="Verdana" w:hAnsi="Verdana"/>
          <w:lang w:val="es-MX"/>
        </w:rPr>
        <w:t>Se concluye que la mortalidad en pacientes con accidente cerebrovascular hemorrágico y ventilación mecánica artificial es elevada, los factores neurológicos asociados con la mortalidad fueron la ausencia de reflejos del tallo encefálico, presencia de anisocoria, la escala de coma de Glasgow &lt;8ptos y complicaciones neurológicas como la hipertensión endocraneana.</w:t>
      </w:r>
    </w:p>
    <w:p w:rsidR="00FA1BAA" w:rsidRPr="00FA1BAA" w:rsidRDefault="00FA1BAA" w:rsidP="00FA1BAA">
      <w:pPr>
        <w:spacing w:after="0" w:line="360" w:lineRule="auto"/>
        <w:jc w:val="both"/>
        <w:rPr>
          <w:rFonts w:ascii="Verdana" w:hAnsi="Verdana"/>
          <w:b/>
          <w:lang w:val="es-MX"/>
        </w:rPr>
      </w:pPr>
      <w:r w:rsidRPr="00FA1BAA">
        <w:rPr>
          <w:rFonts w:ascii="Verdana" w:hAnsi="Verdana"/>
          <w:b/>
          <w:lang w:val="es-MX"/>
        </w:rPr>
        <w:t>Limitaciones del estudio</w:t>
      </w:r>
    </w:p>
    <w:p w:rsidR="00FA1BAA" w:rsidRPr="00FA1BAA" w:rsidRDefault="00FA1BAA" w:rsidP="00FA1BAA">
      <w:pPr>
        <w:autoSpaceDE w:val="0"/>
        <w:autoSpaceDN w:val="0"/>
        <w:adjustRightInd w:val="0"/>
        <w:spacing w:after="0" w:line="360" w:lineRule="auto"/>
        <w:jc w:val="both"/>
        <w:rPr>
          <w:rFonts w:ascii="Verdana" w:hAnsi="Verdana"/>
          <w:lang w:val="es-MX"/>
        </w:rPr>
      </w:pPr>
      <w:r w:rsidRPr="00FA1BAA">
        <w:rPr>
          <w:rFonts w:ascii="Verdana" w:hAnsi="Verdana"/>
          <w:lang w:val="es-MX"/>
        </w:rPr>
        <w:t>Los autores refieren como limitación de este estudio su realización en un solo centro hospitalario, sin poder generalizarlo aún. Otro señalamiento de interés está en el uso de una única variable neurológica, a lo que se cree necesario acotar que la asociación con otras variables no neurológicas entrarían como encomiendas próximas. Por último, se expresa la importancia de que la variable HEC se definió desde el punto de vista clínico y esto se debió a la ausencia en el hospital de métodos más certeros para definir esta condición (monitoreo invasivo).</w:t>
      </w:r>
    </w:p>
    <w:p w:rsidR="00FA1BAA" w:rsidRPr="00FA1BAA" w:rsidRDefault="00FA1BAA" w:rsidP="00FA1BAA">
      <w:pPr>
        <w:pStyle w:val="Default"/>
        <w:spacing w:before="0" w:beforeAutospacing="0" w:line="360" w:lineRule="auto"/>
        <w:jc w:val="both"/>
        <w:rPr>
          <w:b/>
          <w:color w:val="auto"/>
          <w:sz w:val="22"/>
          <w:szCs w:val="22"/>
        </w:rPr>
      </w:pPr>
      <w:proofErr w:type="spellStart"/>
      <w:r w:rsidRPr="00FA1BAA">
        <w:rPr>
          <w:b/>
          <w:color w:val="auto"/>
          <w:sz w:val="22"/>
          <w:szCs w:val="22"/>
        </w:rPr>
        <w:t>Declaración</w:t>
      </w:r>
      <w:proofErr w:type="spellEnd"/>
      <w:r w:rsidRPr="00FA1BAA">
        <w:rPr>
          <w:b/>
          <w:color w:val="auto"/>
          <w:sz w:val="22"/>
          <w:szCs w:val="22"/>
        </w:rPr>
        <w:t xml:space="preserve"> de los </w:t>
      </w:r>
      <w:proofErr w:type="spellStart"/>
      <w:r w:rsidRPr="00FA1BAA">
        <w:rPr>
          <w:b/>
          <w:color w:val="auto"/>
          <w:sz w:val="22"/>
          <w:szCs w:val="22"/>
        </w:rPr>
        <w:t>autores</w:t>
      </w:r>
      <w:proofErr w:type="spellEnd"/>
      <w:r w:rsidRPr="00FA1BAA">
        <w:rPr>
          <w:b/>
          <w:color w:val="auto"/>
          <w:sz w:val="22"/>
          <w:szCs w:val="22"/>
        </w:rPr>
        <w:t>:</w:t>
      </w:r>
    </w:p>
    <w:p w:rsidR="00FA1BAA" w:rsidRPr="00FA1BAA" w:rsidRDefault="00FA1BAA" w:rsidP="00FA1BAA">
      <w:pPr>
        <w:spacing w:after="0" w:line="360" w:lineRule="auto"/>
        <w:jc w:val="both"/>
        <w:rPr>
          <w:rFonts w:ascii="Verdana" w:hAnsi="Verdana"/>
        </w:rPr>
      </w:pPr>
      <w:r w:rsidRPr="00FA1BAA">
        <w:rPr>
          <w:rFonts w:ascii="Verdana" w:hAnsi="Verdana"/>
        </w:rPr>
        <w:t>Conflicto de intereses: Los autores declaran No tener conflicto de intereses</w:t>
      </w:r>
    </w:p>
    <w:p w:rsidR="00FA1BAA" w:rsidRPr="00FA1BAA" w:rsidRDefault="00FA1BAA" w:rsidP="00FA1BAA">
      <w:pPr>
        <w:autoSpaceDE w:val="0"/>
        <w:autoSpaceDN w:val="0"/>
        <w:adjustRightInd w:val="0"/>
        <w:spacing w:after="0" w:line="360" w:lineRule="auto"/>
        <w:contextualSpacing/>
        <w:jc w:val="both"/>
        <w:rPr>
          <w:rFonts w:ascii="Verdana" w:hAnsi="Verdana"/>
          <w:kern w:val="1"/>
          <w:lang w:val="es-ES" w:bidi="he-IL"/>
        </w:rPr>
      </w:pPr>
      <w:r w:rsidRPr="00FA1BAA">
        <w:rPr>
          <w:rFonts w:ascii="Verdana" w:hAnsi="Verdana"/>
          <w:kern w:val="1"/>
          <w:lang w:val="es-ES" w:bidi="he-IL"/>
        </w:rPr>
        <w:t>Fuentes de Financiación: No hubo</w:t>
      </w:r>
    </w:p>
    <w:p w:rsidR="00FA1BAA" w:rsidRPr="00FA1BAA" w:rsidRDefault="00FA1BAA" w:rsidP="00FA1BAA">
      <w:pPr>
        <w:autoSpaceDE w:val="0"/>
        <w:autoSpaceDN w:val="0"/>
        <w:adjustRightInd w:val="0"/>
        <w:spacing w:after="0" w:line="360" w:lineRule="auto"/>
        <w:contextualSpacing/>
        <w:jc w:val="both"/>
        <w:rPr>
          <w:rFonts w:ascii="Verdana" w:hAnsi="Verdana"/>
          <w:kern w:val="1"/>
          <w:lang w:val="es-ES" w:bidi="he-IL"/>
        </w:rPr>
      </w:pPr>
      <w:r w:rsidRPr="00FA1BAA">
        <w:rPr>
          <w:rFonts w:ascii="Verdana" w:hAnsi="Verdana"/>
          <w:kern w:val="1"/>
          <w:lang w:val="es-ES" w:bidi="he-IL"/>
        </w:rPr>
        <w:t>Los autores certifican la autenticidad de la autoría declarada y originalidad del manuscrito presentado</w:t>
      </w:r>
    </w:p>
    <w:p w:rsidR="00FA1BAA" w:rsidRPr="00FA1BAA" w:rsidRDefault="00FA1BAA" w:rsidP="00FA1BAA">
      <w:pPr>
        <w:autoSpaceDE w:val="0"/>
        <w:autoSpaceDN w:val="0"/>
        <w:adjustRightInd w:val="0"/>
        <w:spacing w:after="0" w:line="360" w:lineRule="auto"/>
        <w:contextualSpacing/>
        <w:jc w:val="both"/>
        <w:rPr>
          <w:rFonts w:ascii="Verdana" w:hAnsi="Verdana"/>
          <w:kern w:val="1"/>
          <w:lang w:val="es-ES" w:bidi="he-IL"/>
        </w:rPr>
      </w:pPr>
      <w:r w:rsidRPr="00FA1BAA">
        <w:rPr>
          <w:rFonts w:ascii="Verdana" w:hAnsi="Verdana"/>
          <w:kern w:val="1"/>
          <w:lang w:val="es-ES" w:bidi="he-IL"/>
        </w:rPr>
        <w:t>La presente investigación está publicada en la Revista Cubana de Anestesiología y Reanimación, Volumen 20, Número 2 del año 2021</w:t>
      </w:r>
    </w:p>
    <w:p w:rsidR="00FA1BAA" w:rsidRPr="00FA1BAA" w:rsidRDefault="00FA1BAA" w:rsidP="00FA1BAA">
      <w:pPr>
        <w:spacing w:after="0" w:line="360" w:lineRule="auto"/>
        <w:jc w:val="both"/>
        <w:rPr>
          <w:rFonts w:ascii="Verdana" w:hAnsi="Verdana"/>
        </w:rPr>
      </w:pPr>
      <w:r w:rsidRPr="00FA1BAA">
        <w:rPr>
          <w:rFonts w:ascii="Verdana" w:hAnsi="Verdana"/>
        </w:rPr>
        <w:t>Bibliografía</w:t>
      </w:r>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r w:rsidRPr="00FA1BAA">
        <w:rPr>
          <w:rFonts w:ascii="Verdana" w:hAnsi="Verdana"/>
        </w:rPr>
        <w:t xml:space="preserve">Chang WTW, </w:t>
      </w:r>
      <w:proofErr w:type="spellStart"/>
      <w:r w:rsidRPr="00FA1BAA">
        <w:rPr>
          <w:rFonts w:ascii="Verdana" w:hAnsi="Verdana"/>
        </w:rPr>
        <w:t>Nyquist</w:t>
      </w:r>
      <w:proofErr w:type="spellEnd"/>
      <w:r w:rsidRPr="00FA1BAA">
        <w:rPr>
          <w:rFonts w:ascii="Verdana" w:hAnsi="Verdana"/>
        </w:rPr>
        <w:t xml:space="preserve"> PA. Strategies for the use of mechanical ventilation in the neurologic intensive care unit. </w:t>
      </w:r>
      <w:proofErr w:type="spellStart"/>
      <w:r w:rsidRPr="00FA1BAA">
        <w:rPr>
          <w:rFonts w:ascii="Verdana" w:hAnsi="Verdana"/>
          <w:lang w:val="es-ES"/>
        </w:rPr>
        <w:t>Neurosurg</w:t>
      </w:r>
      <w:proofErr w:type="spellEnd"/>
      <w:r w:rsidRPr="00FA1BAA">
        <w:rPr>
          <w:rFonts w:ascii="Verdana" w:hAnsi="Verdana"/>
          <w:lang w:val="es-ES"/>
        </w:rPr>
        <w:t xml:space="preserve"> </w:t>
      </w:r>
      <w:proofErr w:type="spellStart"/>
      <w:r w:rsidRPr="00FA1BAA">
        <w:rPr>
          <w:rFonts w:ascii="Verdana" w:hAnsi="Verdana"/>
          <w:lang w:val="es-ES"/>
        </w:rPr>
        <w:t>Clin</w:t>
      </w:r>
      <w:proofErr w:type="spellEnd"/>
      <w:r w:rsidRPr="00FA1BAA">
        <w:rPr>
          <w:rFonts w:ascii="Verdana" w:hAnsi="Verdana"/>
          <w:lang w:val="es-ES"/>
        </w:rPr>
        <w:t xml:space="preserve"> N Am [Internet]. 2013 [consultado 01/07/2020]; 407–416. Disponible en: </w:t>
      </w:r>
      <w:hyperlink r:id="rId9" w:history="1">
        <w:r w:rsidRPr="00FA1BAA">
          <w:rPr>
            <w:rStyle w:val="Hipervnculo"/>
            <w:rFonts w:ascii="Verdana" w:hAnsi="Verdana"/>
            <w:lang w:val="es-ES"/>
          </w:rPr>
          <w:t>http://dx.doi.org/10.1016/j.nec.2013.02.004</w:t>
        </w:r>
      </w:hyperlink>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proofErr w:type="spellStart"/>
      <w:r w:rsidRPr="00FA1BAA">
        <w:rPr>
          <w:rFonts w:ascii="Verdana" w:hAnsi="Verdana"/>
        </w:rPr>
        <w:t>Asehnoune</w:t>
      </w:r>
      <w:proofErr w:type="spellEnd"/>
      <w:r w:rsidRPr="00FA1BAA">
        <w:rPr>
          <w:rFonts w:ascii="Verdana" w:hAnsi="Verdana"/>
        </w:rPr>
        <w:t xml:space="preserve"> K, </w:t>
      </w:r>
      <w:proofErr w:type="spellStart"/>
      <w:r w:rsidRPr="00FA1BAA">
        <w:rPr>
          <w:rFonts w:ascii="Verdana" w:hAnsi="Verdana"/>
        </w:rPr>
        <w:t>Roquilly</w:t>
      </w:r>
      <w:proofErr w:type="spellEnd"/>
      <w:r w:rsidRPr="00FA1BAA">
        <w:rPr>
          <w:rFonts w:ascii="Verdana" w:hAnsi="Verdana"/>
        </w:rPr>
        <w:t xml:space="preserve"> A, </w:t>
      </w:r>
      <w:proofErr w:type="spellStart"/>
      <w:r w:rsidRPr="00FA1BAA">
        <w:rPr>
          <w:rFonts w:ascii="Verdana" w:hAnsi="Verdana"/>
        </w:rPr>
        <w:t>Cinotti</w:t>
      </w:r>
      <w:proofErr w:type="spellEnd"/>
      <w:r w:rsidRPr="00FA1BAA">
        <w:rPr>
          <w:rFonts w:ascii="Verdana" w:hAnsi="Verdana"/>
        </w:rPr>
        <w:t xml:space="preserve"> R. Respiratory management in patients with severe brain injury. </w:t>
      </w:r>
      <w:proofErr w:type="spellStart"/>
      <w:r w:rsidRPr="00FA1BAA">
        <w:rPr>
          <w:rFonts w:ascii="Verdana" w:hAnsi="Verdana"/>
          <w:lang w:val="es-ES"/>
        </w:rPr>
        <w:t>Crit</w:t>
      </w:r>
      <w:proofErr w:type="spellEnd"/>
      <w:r w:rsidRPr="00FA1BAA">
        <w:rPr>
          <w:rFonts w:ascii="Verdana" w:hAnsi="Verdana"/>
          <w:lang w:val="es-ES"/>
        </w:rPr>
        <w:t xml:space="preserve"> </w:t>
      </w:r>
      <w:proofErr w:type="spellStart"/>
      <w:r w:rsidRPr="00FA1BAA">
        <w:rPr>
          <w:rFonts w:ascii="Verdana" w:hAnsi="Verdana"/>
          <w:lang w:val="es-ES"/>
        </w:rPr>
        <w:t>Care</w:t>
      </w:r>
      <w:proofErr w:type="spellEnd"/>
      <w:r w:rsidRPr="00FA1BAA">
        <w:rPr>
          <w:rFonts w:ascii="Verdana" w:hAnsi="Verdana"/>
          <w:lang w:val="es-ES"/>
        </w:rPr>
        <w:t xml:space="preserve">. [Internet]. 2018 </w:t>
      </w:r>
      <w:r w:rsidRPr="00FA1BAA">
        <w:rPr>
          <w:rFonts w:ascii="Verdana" w:hAnsi="Verdana"/>
          <w:lang w:val="es-ES"/>
        </w:rPr>
        <w:lastRenderedPageBreak/>
        <w:t xml:space="preserve">[consultado 01/07/2020]; 22: 76. Disponible en: </w:t>
      </w:r>
      <w:hyperlink r:id="rId10" w:history="1">
        <w:r w:rsidRPr="00FA1BAA">
          <w:rPr>
            <w:rStyle w:val="Hipervnculo"/>
            <w:rFonts w:ascii="Verdana" w:hAnsi="Verdana"/>
            <w:lang w:val="es-ES"/>
          </w:rPr>
          <w:t>https://doi.org/10.1186/s13054-018-1994-0</w:t>
        </w:r>
      </w:hyperlink>
    </w:p>
    <w:p w:rsidR="00FA1BAA" w:rsidRPr="00FA1BAA" w:rsidRDefault="00FA1BAA" w:rsidP="00FA1BAA">
      <w:pPr>
        <w:pStyle w:val="Prrafodelista1"/>
        <w:numPr>
          <w:ilvl w:val="0"/>
          <w:numId w:val="1"/>
        </w:numPr>
        <w:spacing w:line="360" w:lineRule="auto"/>
        <w:jc w:val="both"/>
        <w:rPr>
          <w:rStyle w:val="Hipervnculo"/>
          <w:rFonts w:ascii="Verdana" w:hAnsi="Verdana"/>
          <w:lang w:val="es-ES"/>
        </w:rPr>
      </w:pPr>
      <w:r w:rsidRPr="00FA1BAA">
        <w:rPr>
          <w:rFonts w:ascii="Verdana" w:hAnsi="Verdana"/>
          <w:lang w:val="es-ES"/>
        </w:rPr>
        <w:t xml:space="preserve">Hernández-Oliva M, Padrón-Mora M, Hernández-Jiménez A, </w:t>
      </w:r>
      <w:proofErr w:type="spellStart"/>
      <w:r w:rsidRPr="00FA1BAA">
        <w:rPr>
          <w:rFonts w:ascii="Verdana" w:hAnsi="Verdana"/>
          <w:lang w:val="es-ES"/>
        </w:rPr>
        <w:t>Núrquez-Merlan</w:t>
      </w:r>
      <w:proofErr w:type="spellEnd"/>
      <w:r w:rsidRPr="00FA1BAA">
        <w:rPr>
          <w:rFonts w:ascii="Verdana" w:hAnsi="Verdana"/>
          <w:lang w:val="es-ES"/>
        </w:rPr>
        <w:t xml:space="preserve"> A. Factores pronósticos de mortalidad en pacientes con enfermedad cerebrovascular en cuidados intensivos. </w:t>
      </w:r>
      <w:proofErr w:type="spellStart"/>
      <w:r w:rsidRPr="00FA1BAA">
        <w:rPr>
          <w:rFonts w:ascii="Verdana" w:hAnsi="Verdana"/>
          <w:lang w:val="es-ES"/>
        </w:rPr>
        <w:t>Rev</w:t>
      </w:r>
      <w:proofErr w:type="spellEnd"/>
      <w:r w:rsidRPr="00FA1BAA">
        <w:rPr>
          <w:rFonts w:ascii="Verdana" w:hAnsi="Verdana"/>
          <w:lang w:val="es-ES"/>
        </w:rPr>
        <w:t xml:space="preserve"> </w:t>
      </w:r>
      <w:proofErr w:type="spellStart"/>
      <w:r w:rsidRPr="00FA1BAA">
        <w:rPr>
          <w:rFonts w:ascii="Verdana" w:hAnsi="Verdana"/>
          <w:lang w:val="es-ES"/>
        </w:rPr>
        <w:t>haban</w:t>
      </w:r>
      <w:proofErr w:type="spellEnd"/>
      <w:r w:rsidRPr="00FA1BAA">
        <w:rPr>
          <w:rFonts w:ascii="Verdana" w:hAnsi="Verdana"/>
          <w:lang w:val="es-ES"/>
        </w:rPr>
        <w:t xml:space="preserve"> </w:t>
      </w:r>
      <w:proofErr w:type="spellStart"/>
      <w:r w:rsidRPr="00FA1BAA">
        <w:rPr>
          <w:rFonts w:ascii="Verdana" w:hAnsi="Verdana"/>
          <w:lang w:val="es-ES"/>
        </w:rPr>
        <w:t>cienc</w:t>
      </w:r>
      <w:proofErr w:type="spellEnd"/>
      <w:r w:rsidRPr="00FA1BAA">
        <w:rPr>
          <w:rFonts w:ascii="Verdana" w:hAnsi="Verdana"/>
          <w:lang w:val="es-ES"/>
        </w:rPr>
        <w:t xml:space="preserve"> </w:t>
      </w:r>
      <w:proofErr w:type="spellStart"/>
      <w:r w:rsidRPr="00FA1BAA">
        <w:rPr>
          <w:rFonts w:ascii="Verdana" w:hAnsi="Verdana"/>
          <w:lang w:val="es-ES"/>
        </w:rPr>
        <w:t>méd</w:t>
      </w:r>
      <w:proofErr w:type="spellEnd"/>
      <w:r w:rsidRPr="00FA1BAA">
        <w:rPr>
          <w:rFonts w:ascii="Verdana" w:hAnsi="Verdana"/>
          <w:lang w:val="es-ES"/>
        </w:rPr>
        <w:t>. [Internet]. 2018 [consultado 01/07/2020]; 17(4): 567-578.  Disponible en:</w:t>
      </w:r>
      <w:hyperlink r:id="rId11" w:history="1">
        <w:r w:rsidRPr="00FA1BAA">
          <w:rPr>
            <w:rStyle w:val="Hipervnculo"/>
            <w:rFonts w:ascii="Verdana" w:hAnsi="Verdana"/>
            <w:lang w:val="es-ES"/>
          </w:rPr>
          <w:t>http://www.revhabanera.sld.cu/index.php/rhab/article/view/2182</w:t>
        </w:r>
      </w:hyperlink>
    </w:p>
    <w:p w:rsidR="00FA1BAA" w:rsidRPr="00FA1BAA" w:rsidRDefault="00FA1BAA" w:rsidP="00FA1BAA">
      <w:pPr>
        <w:pStyle w:val="Prrafodelista1"/>
        <w:numPr>
          <w:ilvl w:val="0"/>
          <w:numId w:val="1"/>
        </w:numPr>
        <w:spacing w:line="360" w:lineRule="auto"/>
        <w:jc w:val="both"/>
        <w:rPr>
          <w:rStyle w:val="Hipervnculo"/>
          <w:rFonts w:ascii="Verdana" w:hAnsi="Verdana"/>
        </w:rPr>
      </w:pPr>
      <w:r w:rsidRPr="00FA1BAA">
        <w:rPr>
          <w:rFonts w:ascii="Verdana" w:hAnsi="Verdana"/>
        </w:rPr>
        <w:t xml:space="preserve">Bouvet P, </w:t>
      </w:r>
      <w:proofErr w:type="spellStart"/>
      <w:r w:rsidRPr="00FA1BAA">
        <w:rPr>
          <w:rFonts w:ascii="Verdana" w:hAnsi="Verdana"/>
        </w:rPr>
        <w:t>Murgier</w:t>
      </w:r>
      <w:proofErr w:type="spellEnd"/>
      <w:r w:rsidRPr="00FA1BAA">
        <w:rPr>
          <w:rFonts w:ascii="Verdana" w:hAnsi="Verdana"/>
        </w:rPr>
        <w:t xml:space="preserve"> M, Pons B, </w:t>
      </w:r>
      <w:proofErr w:type="spellStart"/>
      <w:r w:rsidRPr="00FA1BAA">
        <w:rPr>
          <w:rFonts w:ascii="Verdana" w:hAnsi="Verdana"/>
        </w:rPr>
        <w:t>Darmon</w:t>
      </w:r>
      <w:proofErr w:type="spellEnd"/>
      <w:r w:rsidRPr="00FA1BAA">
        <w:rPr>
          <w:rFonts w:ascii="Verdana" w:hAnsi="Verdana"/>
        </w:rPr>
        <w:t xml:space="preserve"> M. Long-term outcomes of critically ill patients with stroke requiring mechanical ventilation. Am J </w:t>
      </w:r>
      <w:proofErr w:type="spellStart"/>
      <w:r w:rsidRPr="00FA1BAA">
        <w:rPr>
          <w:rFonts w:ascii="Verdana" w:hAnsi="Verdana"/>
        </w:rPr>
        <w:t>Crit</w:t>
      </w:r>
      <w:proofErr w:type="spellEnd"/>
      <w:r w:rsidRPr="00FA1BAA">
        <w:rPr>
          <w:rFonts w:ascii="Verdana" w:hAnsi="Verdana"/>
        </w:rPr>
        <w:t xml:space="preserve"> Care [Internet]</w:t>
      </w:r>
      <w:proofErr w:type="gramStart"/>
      <w:r w:rsidRPr="00FA1BAA">
        <w:rPr>
          <w:rFonts w:ascii="Verdana" w:hAnsi="Verdana"/>
        </w:rPr>
        <w:t>.</w:t>
      </w:r>
      <w:proofErr w:type="gramEnd"/>
      <w:r w:rsidRPr="00FA1BAA">
        <w:rPr>
          <w:rFonts w:ascii="Verdana" w:hAnsi="Verdana"/>
        </w:rPr>
        <w:t xml:space="preserve"> 2019 [consultado 01/07/2020]; 477-480 28. </w:t>
      </w:r>
      <w:proofErr w:type="spellStart"/>
      <w:r w:rsidRPr="00FA1BAA">
        <w:rPr>
          <w:rFonts w:ascii="Verdana" w:hAnsi="Verdana"/>
        </w:rPr>
        <w:t>Disponible</w:t>
      </w:r>
      <w:proofErr w:type="spellEnd"/>
      <w:r w:rsidRPr="00FA1BAA">
        <w:rPr>
          <w:rFonts w:ascii="Verdana" w:hAnsi="Verdana"/>
        </w:rPr>
        <w:t xml:space="preserve"> en: </w:t>
      </w:r>
      <w:proofErr w:type="spellStart"/>
      <w:r w:rsidRPr="00FA1BAA">
        <w:rPr>
          <w:rStyle w:val="Hipervnculo"/>
          <w:rFonts w:ascii="Verdana" w:hAnsi="Verdana"/>
        </w:rPr>
        <w:t>doi:https</w:t>
      </w:r>
      <w:proofErr w:type="spellEnd"/>
      <w:r w:rsidRPr="00FA1BAA">
        <w:rPr>
          <w:rStyle w:val="Hipervnculo"/>
          <w:rFonts w:ascii="Verdana" w:hAnsi="Verdana"/>
        </w:rPr>
        <w:t>://doi.org/10.4037/ajcc2019310.</w:t>
      </w:r>
    </w:p>
    <w:p w:rsidR="00FA1BAA" w:rsidRPr="00FA1BAA" w:rsidRDefault="00FA1BAA" w:rsidP="00FA1BAA">
      <w:pPr>
        <w:pStyle w:val="Prrafodelista1"/>
        <w:numPr>
          <w:ilvl w:val="0"/>
          <w:numId w:val="1"/>
        </w:numPr>
        <w:spacing w:line="360" w:lineRule="auto"/>
        <w:jc w:val="both"/>
        <w:rPr>
          <w:rFonts w:ascii="Verdana" w:hAnsi="Verdana"/>
        </w:rPr>
      </w:pPr>
      <w:proofErr w:type="spellStart"/>
      <w:r w:rsidRPr="00FA1BAA">
        <w:rPr>
          <w:rFonts w:ascii="Verdana" w:hAnsi="Verdana"/>
        </w:rPr>
        <w:t>Benghanem</w:t>
      </w:r>
      <w:proofErr w:type="spellEnd"/>
      <w:r w:rsidRPr="00FA1BAA">
        <w:rPr>
          <w:rFonts w:ascii="Verdana" w:hAnsi="Verdana"/>
        </w:rPr>
        <w:t xml:space="preserve"> S, </w:t>
      </w:r>
      <w:proofErr w:type="spellStart"/>
      <w:r w:rsidRPr="00FA1BAA">
        <w:rPr>
          <w:rFonts w:ascii="Verdana" w:hAnsi="Verdana"/>
        </w:rPr>
        <w:t>Mazeraud</w:t>
      </w:r>
      <w:proofErr w:type="spellEnd"/>
      <w:r w:rsidRPr="00FA1BAA">
        <w:rPr>
          <w:rFonts w:ascii="Verdana" w:hAnsi="Verdana"/>
        </w:rPr>
        <w:t xml:space="preserve"> A, </w:t>
      </w:r>
      <w:proofErr w:type="spellStart"/>
      <w:r w:rsidRPr="00FA1BAA">
        <w:rPr>
          <w:rFonts w:ascii="Verdana" w:hAnsi="Verdana"/>
        </w:rPr>
        <w:t>Azabou</w:t>
      </w:r>
      <w:proofErr w:type="spellEnd"/>
      <w:r w:rsidRPr="00FA1BAA">
        <w:rPr>
          <w:rFonts w:ascii="Verdana" w:hAnsi="Verdana"/>
        </w:rPr>
        <w:t xml:space="preserve"> E, </w:t>
      </w:r>
      <w:proofErr w:type="spellStart"/>
      <w:r w:rsidRPr="00FA1BAA">
        <w:rPr>
          <w:rFonts w:ascii="Verdana" w:hAnsi="Verdana"/>
        </w:rPr>
        <w:t>Chhor</w:t>
      </w:r>
      <w:proofErr w:type="spellEnd"/>
      <w:r w:rsidRPr="00FA1BAA">
        <w:rPr>
          <w:rFonts w:ascii="Verdana" w:hAnsi="Verdana"/>
        </w:rPr>
        <w:t xml:space="preserve"> V, </w:t>
      </w:r>
      <w:proofErr w:type="spellStart"/>
      <w:r w:rsidRPr="00FA1BAA">
        <w:rPr>
          <w:rFonts w:ascii="Verdana" w:hAnsi="Verdana"/>
        </w:rPr>
        <w:t>Shinotsuka</w:t>
      </w:r>
      <w:proofErr w:type="spellEnd"/>
      <w:r w:rsidRPr="00FA1BAA">
        <w:rPr>
          <w:rFonts w:ascii="Verdana" w:hAnsi="Verdana"/>
        </w:rPr>
        <w:t xml:space="preserve"> CR, </w:t>
      </w:r>
      <w:proofErr w:type="spellStart"/>
      <w:r w:rsidRPr="00FA1BAA">
        <w:rPr>
          <w:rFonts w:ascii="Verdana" w:hAnsi="Verdana"/>
        </w:rPr>
        <w:t>Claassen</w:t>
      </w:r>
      <w:proofErr w:type="spellEnd"/>
      <w:r w:rsidRPr="00FA1BAA">
        <w:rPr>
          <w:rFonts w:ascii="Verdana" w:hAnsi="Verdana"/>
        </w:rPr>
        <w:t xml:space="preserve"> J et al. Brainstem dysfunction in critically ill. </w:t>
      </w:r>
      <w:proofErr w:type="spellStart"/>
      <w:r w:rsidRPr="00FA1BAA">
        <w:rPr>
          <w:rFonts w:ascii="Verdana" w:hAnsi="Verdana"/>
        </w:rPr>
        <w:t>Crit</w:t>
      </w:r>
      <w:proofErr w:type="spellEnd"/>
      <w:r w:rsidRPr="00FA1BAA">
        <w:rPr>
          <w:rFonts w:ascii="Verdana" w:hAnsi="Verdana"/>
        </w:rPr>
        <w:t xml:space="preserve"> Care [Internet]. 2020 [consultado 01/07/2020]; 24:5 Disponible en: </w:t>
      </w:r>
      <w:hyperlink r:id="rId12" w:history="1">
        <w:r w:rsidRPr="00FA1BAA">
          <w:rPr>
            <w:rStyle w:val="Hipervnculo"/>
            <w:rFonts w:ascii="Verdana" w:hAnsi="Verdana"/>
          </w:rPr>
          <w:t>https://doi.org/10.1186/s13054-019-2718-9</w:t>
        </w:r>
      </w:hyperlink>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r w:rsidRPr="00FA1BAA">
        <w:rPr>
          <w:rFonts w:ascii="Verdana" w:hAnsi="Verdana"/>
          <w:lang w:val="es-ES"/>
        </w:rPr>
        <w:t xml:space="preserve">González-Mendoza A, Sánchez-González LC, Miranda-Lorenzo D, Ocampo-Trueba JA, Medina-Merino C. Mortalidad en pacientes con enfermedad cerebrovascular y ventilación  mecánica prolongada. Enero-Diciembre  2004. CCM [Internet]. 2006 [consultado 01/07/2020]; 10(1) Disponible en: </w:t>
      </w:r>
      <w:hyperlink r:id="rId13" w:history="1">
        <w:r w:rsidRPr="00FA1BAA">
          <w:rPr>
            <w:rStyle w:val="Hipervnculo"/>
            <w:rFonts w:ascii="Verdana" w:hAnsi="Verdana"/>
            <w:lang w:val="es-ES"/>
          </w:rPr>
          <w:t>http://www.cocmed.sld.cu/no101/n101ori1.htm</w:t>
        </w:r>
      </w:hyperlink>
    </w:p>
    <w:p w:rsidR="00FA1BAA" w:rsidRPr="00FA1BAA" w:rsidRDefault="00FA1BAA" w:rsidP="00FA1BAA">
      <w:pPr>
        <w:pStyle w:val="Prrafodelista1"/>
        <w:numPr>
          <w:ilvl w:val="0"/>
          <w:numId w:val="1"/>
        </w:numPr>
        <w:spacing w:after="0" w:line="360" w:lineRule="auto"/>
        <w:jc w:val="both"/>
        <w:rPr>
          <w:rFonts w:ascii="Verdana" w:hAnsi="Verdana"/>
          <w:lang w:val="es-ES"/>
        </w:rPr>
      </w:pPr>
      <w:r w:rsidRPr="00FA1BAA">
        <w:rPr>
          <w:rFonts w:ascii="Verdana" w:hAnsi="Verdana"/>
          <w:lang w:val="es-ES"/>
        </w:rPr>
        <w:t>Sánchez-Pando Y, Sánchez-</w:t>
      </w:r>
      <w:proofErr w:type="spellStart"/>
      <w:r w:rsidRPr="00FA1BAA">
        <w:rPr>
          <w:rFonts w:ascii="Verdana" w:hAnsi="Verdana"/>
          <w:lang w:val="es-ES"/>
        </w:rPr>
        <w:t>Nuñez</w:t>
      </w:r>
      <w:proofErr w:type="spellEnd"/>
      <w:r w:rsidRPr="00FA1BAA">
        <w:rPr>
          <w:rFonts w:ascii="Verdana" w:hAnsi="Verdana"/>
          <w:lang w:val="es-ES"/>
        </w:rPr>
        <w:t xml:space="preserve"> R, Lugo-Bencomo Y. Mortalidad por accidentes cerebrovasculares en el Hospital General Docente Abel Santamaría Cuadrado de Pinar del Río. </w:t>
      </w:r>
      <w:proofErr w:type="spellStart"/>
      <w:r w:rsidRPr="00FA1BAA">
        <w:rPr>
          <w:rFonts w:ascii="Verdana" w:hAnsi="Verdana"/>
          <w:lang w:val="es-ES"/>
        </w:rPr>
        <w:t>Rev</w:t>
      </w:r>
      <w:proofErr w:type="spellEnd"/>
      <w:r w:rsidRPr="00FA1BAA">
        <w:rPr>
          <w:rFonts w:ascii="Verdana" w:hAnsi="Verdana"/>
          <w:lang w:val="es-ES"/>
        </w:rPr>
        <w:t xml:space="preserve"> Ciencias Médicas [Internet]. 2020 [consultado 01/07/2020]; 24(1): e4188. Disponible en: </w:t>
      </w:r>
      <w:hyperlink r:id="rId14" w:history="1">
        <w:r w:rsidRPr="00FA1BAA">
          <w:rPr>
            <w:rStyle w:val="Hipervnculo"/>
            <w:rFonts w:ascii="Verdana" w:hAnsi="Verdana"/>
            <w:lang w:val="es-ES"/>
          </w:rPr>
          <w:t>http://revcmpinar.sld.cu/index.php/publicaciones/article/view/4188</w:t>
        </w:r>
      </w:hyperlink>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r w:rsidRPr="00FA1BAA">
        <w:rPr>
          <w:rFonts w:ascii="Verdana" w:hAnsi="Verdana"/>
          <w:lang w:val="es-ES"/>
        </w:rPr>
        <w:t xml:space="preserve">Pérez-Ponce L, </w:t>
      </w:r>
      <w:proofErr w:type="spellStart"/>
      <w:r w:rsidRPr="00FA1BAA">
        <w:rPr>
          <w:rFonts w:ascii="Verdana" w:hAnsi="Verdana"/>
          <w:lang w:val="es-ES"/>
        </w:rPr>
        <w:t>Barletta</w:t>
      </w:r>
      <w:proofErr w:type="spellEnd"/>
      <w:r w:rsidRPr="00FA1BAA">
        <w:rPr>
          <w:rFonts w:ascii="Verdana" w:hAnsi="Verdana"/>
          <w:lang w:val="es-ES"/>
        </w:rPr>
        <w:t xml:space="preserve">-Farías R, Iturralde-González L, Castro-Vega G, Santana-Guerra D, León-Estela R. Caracterización clínica de pacientes fallecidos por enfermedad cerebrovascular. Revista </w:t>
      </w:r>
      <w:proofErr w:type="spellStart"/>
      <w:r w:rsidRPr="00FA1BAA">
        <w:rPr>
          <w:rFonts w:ascii="Verdana" w:hAnsi="Verdana"/>
          <w:lang w:val="es-ES"/>
        </w:rPr>
        <w:t>Finlay</w:t>
      </w:r>
      <w:proofErr w:type="spellEnd"/>
      <w:r w:rsidRPr="00FA1BAA">
        <w:rPr>
          <w:rFonts w:ascii="Verdana" w:hAnsi="Verdana"/>
          <w:lang w:val="es-ES"/>
        </w:rPr>
        <w:t xml:space="preserve"> [Internet]. 2019 [consultado 01/07/2020];9(3): Disponible en: </w:t>
      </w:r>
      <w:hyperlink r:id="rId15" w:history="1">
        <w:r w:rsidRPr="00FA1BAA">
          <w:rPr>
            <w:rStyle w:val="Hipervnculo"/>
            <w:rFonts w:ascii="Verdana" w:hAnsi="Verdana"/>
            <w:lang w:val="es-ES"/>
          </w:rPr>
          <w:t>http://www.revfinlay.sld.cu/index.php/finlay/article/view/661</w:t>
        </w:r>
      </w:hyperlink>
    </w:p>
    <w:p w:rsidR="00FA1BAA" w:rsidRPr="00FA1BAA" w:rsidRDefault="00FA1BAA" w:rsidP="00FA1BAA">
      <w:pPr>
        <w:pStyle w:val="Prrafodelista1"/>
        <w:numPr>
          <w:ilvl w:val="0"/>
          <w:numId w:val="1"/>
        </w:numPr>
        <w:spacing w:line="360" w:lineRule="auto"/>
        <w:jc w:val="both"/>
        <w:rPr>
          <w:rStyle w:val="Hipervnculo"/>
          <w:rFonts w:ascii="Verdana" w:hAnsi="Verdana"/>
          <w:lang w:val="es-ES"/>
        </w:rPr>
      </w:pPr>
      <w:r w:rsidRPr="00FA1BAA">
        <w:rPr>
          <w:rFonts w:ascii="Verdana" w:hAnsi="Verdana"/>
          <w:lang w:val="es-ES"/>
        </w:rPr>
        <w:t xml:space="preserve">Ramírez-Ramírez G, Garrido-Tapia EJ, Manso-López AM, Graña-Mir JL, Martínez-Vega A. Mortalidad por accidentes cerebrovasculares en el </w:t>
      </w:r>
      <w:r w:rsidRPr="00FA1BAA">
        <w:rPr>
          <w:rFonts w:ascii="Verdana" w:hAnsi="Verdana"/>
          <w:lang w:val="es-ES"/>
        </w:rPr>
        <w:lastRenderedPageBreak/>
        <w:t xml:space="preserve">Hospital Clínico Quirúrgico Lucía Íñiguez </w:t>
      </w:r>
      <w:proofErr w:type="spellStart"/>
      <w:r w:rsidRPr="00FA1BAA">
        <w:rPr>
          <w:rFonts w:ascii="Verdana" w:hAnsi="Verdana"/>
          <w:lang w:val="es-ES"/>
        </w:rPr>
        <w:t>Landín</w:t>
      </w:r>
      <w:proofErr w:type="spellEnd"/>
      <w:r w:rsidRPr="00FA1BAA">
        <w:rPr>
          <w:rFonts w:ascii="Verdana" w:hAnsi="Verdana"/>
          <w:lang w:val="es-ES"/>
        </w:rPr>
        <w:t>, Holguín, Cuba, 2012-2017. CCM [Internet]. 2020 [consultado 01/07/2020];23(1).Disponible en:</w:t>
      </w:r>
      <w:hyperlink r:id="rId16" w:history="1">
        <w:r w:rsidRPr="00FA1BAA">
          <w:rPr>
            <w:rStyle w:val="Hipervnculo"/>
            <w:rFonts w:ascii="Verdana" w:hAnsi="Verdana"/>
            <w:lang w:val="es-ES"/>
          </w:rPr>
          <w:t>http://www.revcocmed.sld.cu/index.php/cocmed/article/view/3071</w:t>
        </w:r>
      </w:hyperlink>
    </w:p>
    <w:p w:rsidR="00FA1BAA" w:rsidRPr="00FA1BAA" w:rsidRDefault="00FA1BAA" w:rsidP="00FA1BAA">
      <w:pPr>
        <w:pStyle w:val="Prrafodelista1"/>
        <w:numPr>
          <w:ilvl w:val="0"/>
          <w:numId w:val="1"/>
        </w:numPr>
        <w:spacing w:line="360" w:lineRule="auto"/>
        <w:jc w:val="both"/>
        <w:rPr>
          <w:rStyle w:val="Hipervnculo"/>
          <w:rFonts w:ascii="Verdana" w:hAnsi="Verdana"/>
          <w:lang w:val="es-ES"/>
        </w:rPr>
      </w:pPr>
      <w:proofErr w:type="spellStart"/>
      <w:r w:rsidRPr="00FA1BAA">
        <w:rPr>
          <w:rFonts w:ascii="Verdana" w:hAnsi="Verdana"/>
          <w:lang w:val="es-ES"/>
        </w:rPr>
        <w:t>Gan-Fong</w:t>
      </w:r>
      <w:proofErr w:type="spellEnd"/>
      <w:r w:rsidRPr="00FA1BAA">
        <w:rPr>
          <w:rFonts w:ascii="Verdana" w:hAnsi="Verdana"/>
          <w:lang w:val="es-ES"/>
        </w:rPr>
        <w:t xml:space="preserve"> LA, Elías-Sierra R, Díaz-Trujillo E, </w:t>
      </w:r>
      <w:proofErr w:type="spellStart"/>
      <w:r w:rsidRPr="00FA1BAA">
        <w:rPr>
          <w:rFonts w:ascii="Verdana" w:hAnsi="Verdana"/>
          <w:lang w:val="es-ES"/>
        </w:rPr>
        <w:t>Pouymiró</w:t>
      </w:r>
      <w:proofErr w:type="spellEnd"/>
      <w:r w:rsidRPr="00FA1BAA">
        <w:rPr>
          <w:rFonts w:ascii="Verdana" w:hAnsi="Verdana"/>
          <w:lang w:val="es-ES"/>
        </w:rPr>
        <w:t xml:space="preserve"> N, Elías-Armas K. Ventilación mecánica en pacientes con hemorragia cerebral. Rev. </w:t>
      </w:r>
      <w:proofErr w:type="spellStart"/>
      <w:r w:rsidRPr="00FA1BAA">
        <w:rPr>
          <w:rFonts w:ascii="Verdana" w:hAnsi="Verdana"/>
          <w:lang w:val="es-ES"/>
        </w:rPr>
        <w:t>inf</w:t>
      </w:r>
      <w:proofErr w:type="spellEnd"/>
      <w:r w:rsidRPr="00FA1BAA">
        <w:rPr>
          <w:rFonts w:ascii="Verdana" w:hAnsi="Verdana"/>
          <w:lang w:val="es-ES"/>
        </w:rPr>
        <w:t xml:space="preserve">. </w:t>
      </w:r>
      <w:proofErr w:type="spellStart"/>
      <w:r w:rsidRPr="00FA1BAA">
        <w:rPr>
          <w:rFonts w:ascii="Verdana" w:hAnsi="Verdana"/>
          <w:lang w:val="es-ES"/>
        </w:rPr>
        <w:t>cient</w:t>
      </w:r>
      <w:proofErr w:type="spellEnd"/>
      <w:r w:rsidRPr="00FA1BAA">
        <w:rPr>
          <w:rFonts w:ascii="Verdana" w:hAnsi="Verdana"/>
          <w:lang w:val="es-ES"/>
        </w:rPr>
        <w:t xml:space="preserve">. [Internet]. 2015 [consultado 01/07/2020]; 90(2). Disponible en: </w:t>
      </w:r>
      <w:hyperlink r:id="rId17" w:history="1">
        <w:r w:rsidRPr="00FA1BAA">
          <w:rPr>
            <w:rStyle w:val="Hipervnculo"/>
            <w:rFonts w:ascii="Verdana" w:hAnsi="Verdana"/>
            <w:lang w:val="es-ES"/>
          </w:rPr>
          <w:t>http://www.revinfcientifica.sld.cu/index.php/ric/article/view/249</w:t>
        </w:r>
      </w:hyperlink>
    </w:p>
    <w:p w:rsidR="00FA1BAA" w:rsidRPr="00FA1BAA" w:rsidRDefault="00FA1BAA" w:rsidP="00FA1BAA">
      <w:pPr>
        <w:pStyle w:val="Prrafodelista1"/>
        <w:numPr>
          <w:ilvl w:val="0"/>
          <w:numId w:val="1"/>
        </w:numPr>
        <w:spacing w:after="0" w:line="360" w:lineRule="auto"/>
        <w:jc w:val="both"/>
        <w:rPr>
          <w:rStyle w:val="Hipervnculo"/>
          <w:rFonts w:ascii="Verdana" w:hAnsi="Verdana"/>
        </w:rPr>
      </w:pPr>
      <w:r w:rsidRPr="00FA1BAA">
        <w:rPr>
          <w:rFonts w:ascii="Verdana" w:hAnsi="Verdana"/>
          <w:lang w:val="es-ES"/>
        </w:rPr>
        <w:t>de Oliveira-</w:t>
      </w:r>
      <w:proofErr w:type="spellStart"/>
      <w:r w:rsidRPr="00FA1BAA">
        <w:rPr>
          <w:rFonts w:ascii="Verdana" w:hAnsi="Verdana"/>
          <w:lang w:val="es-ES"/>
        </w:rPr>
        <w:t>Manoel</w:t>
      </w:r>
      <w:proofErr w:type="spellEnd"/>
      <w:r w:rsidRPr="00FA1BAA">
        <w:rPr>
          <w:rFonts w:ascii="Verdana" w:hAnsi="Verdana"/>
          <w:lang w:val="es-ES"/>
        </w:rPr>
        <w:t xml:space="preserve"> AL, </w:t>
      </w:r>
      <w:proofErr w:type="spellStart"/>
      <w:r w:rsidRPr="00FA1BAA">
        <w:rPr>
          <w:rFonts w:ascii="Verdana" w:hAnsi="Verdana"/>
          <w:lang w:val="es-ES"/>
        </w:rPr>
        <w:t>Goffi</w:t>
      </w:r>
      <w:proofErr w:type="spellEnd"/>
      <w:r w:rsidRPr="00FA1BAA">
        <w:rPr>
          <w:rFonts w:ascii="Verdana" w:hAnsi="Verdana"/>
          <w:lang w:val="es-ES"/>
        </w:rPr>
        <w:t xml:space="preserve"> A, </w:t>
      </w:r>
      <w:proofErr w:type="spellStart"/>
      <w:r w:rsidRPr="00FA1BAA">
        <w:rPr>
          <w:rFonts w:ascii="Verdana" w:hAnsi="Verdana"/>
          <w:lang w:val="es-ES"/>
        </w:rPr>
        <w:t>Godinho-Zampieri</w:t>
      </w:r>
      <w:proofErr w:type="spellEnd"/>
      <w:r w:rsidRPr="00FA1BAA">
        <w:rPr>
          <w:rFonts w:ascii="Verdana" w:hAnsi="Verdana"/>
          <w:lang w:val="es-ES"/>
        </w:rPr>
        <w:t xml:space="preserve"> F, </w:t>
      </w:r>
      <w:proofErr w:type="spellStart"/>
      <w:r w:rsidRPr="00FA1BAA">
        <w:rPr>
          <w:rFonts w:ascii="Verdana" w:hAnsi="Verdana"/>
          <w:lang w:val="es-ES"/>
        </w:rPr>
        <w:t>Turkel-Parrella</w:t>
      </w:r>
      <w:proofErr w:type="spellEnd"/>
      <w:r w:rsidRPr="00FA1BAA">
        <w:rPr>
          <w:rFonts w:ascii="Verdana" w:hAnsi="Verdana"/>
          <w:lang w:val="es-ES"/>
        </w:rPr>
        <w:t xml:space="preserve"> D, </w:t>
      </w:r>
      <w:proofErr w:type="spellStart"/>
      <w:r w:rsidRPr="00FA1BAA">
        <w:rPr>
          <w:rFonts w:ascii="Verdana" w:hAnsi="Verdana"/>
          <w:lang w:val="es-ES"/>
        </w:rPr>
        <w:t>Duggal</w:t>
      </w:r>
      <w:proofErr w:type="spellEnd"/>
      <w:r w:rsidRPr="00FA1BAA">
        <w:rPr>
          <w:rFonts w:ascii="Verdana" w:hAnsi="Verdana"/>
          <w:lang w:val="es-ES"/>
        </w:rPr>
        <w:t xml:space="preserve"> A, </w:t>
      </w:r>
      <w:proofErr w:type="spellStart"/>
      <w:r w:rsidRPr="00FA1BAA">
        <w:rPr>
          <w:rFonts w:ascii="Verdana" w:hAnsi="Verdana"/>
          <w:lang w:val="es-ES"/>
        </w:rPr>
        <w:t>Marotta</w:t>
      </w:r>
      <w:proofErr w:type="spellEnd"/>
      <w:r w:rsidRPr="00FA1BAA">
        <w:rPr>
          <w:rFonts w:ascii="Verdana" w:hAnsi="Verdana"/>
          <w:lang w:val="es-ES"/>
        </w:rPr>
        <w:t xml:space="preserve"> TR, </w:t>
      </w:r>
      <w:proofErr w:type="spellStart"/>
      <w:r w:rsidRPr="00FA1BAA">
        <w:rPr>
          <w:rFonts w:ascii="Verdana" w:hAnsi="Verdana"/>
          <w:lang w:val="es-ES"/>
        </w:rPr>
        <w:t>Macdonald</w:t>
      </w:r>
      <w:proofErr w:type="spellEnd"/>
      <w:r w:rsidRPr="00FA1BAA">
        <w:rPr>
          <w:rFonts w:ascii="Verdana" w:hAnsi="Verdana"/>
          <w:lang w:val="es-ES"/>
        </w:rPr>
        <w:t xml:space="preserve"> RL et al. </w:t>
      </w:r>
      <w:r w:rsidRPr="00FA1BAA">
        <w:rPr>
          <w:rFonts w:ascii="Verdana" w:hAnsi="Verdana"/>
        </w:rPr>
        <w:t xml:space="preserve">The critical care management of spontaneous intracranial hemorrhage: a contemporary review. </w:t>
      </w:r>
      <w:proofErr w:type="spellStart"/>
      <w:r w:rsidRPr="00FA1BAA">
        <w:rPr>
          <w:rFonts w:ascii="Verdana" w:hAnsi="Verdana"/>
        </w:rPr>
        <w:t>Crit</w:t>
      </w:r>
      <w:proofErr w:type="spellEnd"/>
      <w:r w:rsidRPr="00FA1BAA">
        <w:rPr>
          <w:rFonts w:ascii="Verdana" w:hAnsi="Verdana"/>
        </w:rPr>
        <w:t xml:space="preserve"> Care [Internet]. 2016 [consultado 01/07/2020]; 20:272. Disponible en: </w:t>
      </w:r>
      <w:r w:rsidRPr="00FA1BAA">
        <w:rPr>
          <w:rStyle w:val="Hipervnculo"/>
          <w:rFonts w:ascii="Verdana" w:hAnsi="Verdana"/>
        </w:rPr>
        <w:t>DOI 10.1186/s13054-016-1432-0</w:t>
      </w:r>
    </w:p>
    <w:p w:rsidR="00FA1BAA" w:rsidRPr="00FA1BAA" w:rsidRDefault="00FA1BAA" w:rsidP="00FA1BAA">
      <w:pPr>
        <w:pStyle w:val="Prrafodelista1"/>
        <w:numPr>
          <w:ilvl w:val="0"/>
          <w:numId w:val="1"/>
        </w:numPr>
        <w:spacing w:line="360" w:lineRule="auto"/>
        <w:jc w:val="both"/>
        <w:rPr>
          <w:rStyle w:val="Hipervnculo"/>
          <w:rFonts w:ascii="Verdana" w:hAnsi="Verdana"/>
          <w:lang w:val="es-ES"/>
        </w:rPr>
      </w:pPr>
      <w:proofErr w:type="spellStart"/>
      <w:r w:rsidRPr="00FA1BAA">
        <w:rPr>
          <w:rFonts w:ascii="Verdana" w:hAnsi="Verdana"/>
        </w:rPr>
        <w:t>Rabinstein</w:t>
      </w:r>
      <w:proofErr w:type="spellEnd"/>
      <w:r w:rsidRPr="00FA1BAA">
        <w:rPr>
          <w:rFonts w:ascii="Verdana" w:hAnsi="Verdana"/>
        </w:rPr>
        <w:t xml:space="preserve"> AA ed. Neurological Emergencies. A Practical Approach. Springer Nature Switzerland AG 2020. Disponible en: </w:t>
      </w:r>
      <w:hyperlink r:id="rId18" w:history="1">
        <w:r w:rsidRPr="00FA1BAA">
          <w:rPr>
            <w:rStyle w:val="Hipervnculo"/>
            <w:rFonts w:ascii="Verdana" w:hAnsi="Verdana"/>
          </w:rPr>
          <w:t>https://doi.org/10.1007/978-3-030-28072-7_11</w:t>
        </w:r>
      </w:hyperlink>
    </w:p>
    <w:p w:rsidR="00FA1BAA" w:rsidRPr="00FA1BAA" w:rsidRDefault="00FA1BAA" w:rsidP="00FA1BAA">
      <w:pPr>
        <w:pStyle w:val="Prrafodelista1"/>
        <w:numPr>
          <w:ilvl w:val="0"/>
          <w:numId w:val="1"/>
        </w:numPr>
        <w:spacing w:after="0" w:line="360" w:lineRule="auto"/>
        <w:jc w:val="both"/>
        <w:rPr>
          <w:rStyle w:val="Hipervnculo"/>
          <w:rFonts w:ascii="Verdana" w:hAnsi="Verdana"/>
        </w:rPr>
      </w:pPr>
      <w:proofErr w:type="spellStart"/>
      <w:r w:rsidRPr="00FA1BAA">
        <w:rPr>
          <w:rFonts w:ascii="Verdana" w:hAnsi="Verdana"/>
        </w:rPr>
        <w:t>Lahiri</w:t>
      </w:r>
      <w:proofErr w:type="spellEnd"/>
      <w:r w:rsidRPr="00FA1BAA">
        <w:rPr>
          <w:rFonts w:ascii="Verdana" w:hAnsi="Verdana"/>
        </w:rPr>
        <w:t xml:space="preserve"> S, Mayer SA, Fink ME, Lord AS, </w:t>
      </w:r>
      <w:proofErr w:type="spellStart"/>
      <w:r w:rsidRPr="00FA1BAA">
        <w:rPr>
          <w:rFonts w:ascii="Verdana" w:hAnsi="Verdana"/>
        </w:rPr>
        <w:t>Rosengart</w:t>
      </w:r>
      <w:proofErr w:type="spellEnd"/>
      <w:r w:rsidRPr="00FA1BAA">
        <w:rPr>
          <w:rFonts w:ascii="Verdana" w:hAnsi="Verdana"/>
        </w:rPr>
        <w:t xml:space="preserve"> A, </w:t>
      </w:r>
      <w:proofErr w:type="spellStart"/>
      <w:r w:rsidRPr="00FA1BAA">
        <w:rPr>
          <w:rFonts w:ascii="Verdana" w:hAnsi="Verdana"/>
        </w:rPr>
        <w:t>Mangat</w:t>
      </w:r>
      <w:proofErr w:type="spellEnd"/>
      <w:r w:rsidRPr="00FA1BAA">
        <w:rPr>
          <w:rFonts w:ascii="Verdana" w:hAnsi="Verdana"/>
        </w:rPr>
        <w:t xml:space="preserve"> HS et al.  Mechanical ventilation for acute stroke: a multi-state population-based study. </w:t>
      </w:r>
      <w:proofErr w:type="spellStart"/>
      <w:r w:rsidRPr="00FA1BAA">
        <w:rPr>
          <w:rFonts w:ascii="Verdana" w:hAnsi="Verdana"/>
        </w:rPr>
        <w:t>Neurocrit</w:t>
      </w:r>
      <w:proofErr w:type="spellEnd"/>
      <w:r w:rsidRPr="00FA1BAA">
        <w:rPr>
          <w:rFonts w:ascii="Verdana" w:hAnsi="Verdana"/>
        </w:rPr>
        <w:t xml:space="preserve"> Care [Internet]. 2015 [consultado 01/07/2020]</w:t>
      </w:r>
      <w:proofErr w:type="gramStart"/>
      <w:r w:rsidRPr="00FA1BAA">
        <w:rPr>
          <w:rFonts w:ascii="Verdana" w:hAnsi="Verdana"/>
        </w:rPr>
        <w:t>;23:28</w:t>
      </w:r>
      <w:proofErr w:type="gramEnd"/>
      <w:r w:rsidRPr="00FA1BAA">
        <w:rPr>
          <w:rFonts w:ascii="Verdana" w:hAnsi="Verdana"/>
        </w:rPr>
        <w:t xml:space="preserve">–32. Disponible en: </w:t>
      </w:r>
      <w:r w:rsidRPr="00FA1BAA">
        <w:rPr>
          <w:rStyle w:val="Hipervnculo"/>
          <w:rFonts w:ascii="Verdana" w:hAnsi="Verdana"/>
        </w:rPr>
        <w:t>DOI 10.1007/s12028-014-0082-9</w:t>
      </w:r>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r w:rsidRPr="00FA1BAA">
        <w:rPr>
          <w:rFonts w:ascii="Verdana" w:hAnsi="Verdana"/>
          <w:lang w:val="es-ES"/>
        </w:rPr>
        <w:t xml:space="preserve">de </w:t>
      </w:r>
      <w:proofErr w:type="spellStart"/>
      <w:r w:rsidRPr="00FA1BAA">
        <w:rPr>
          <w:rFonts w:ascii="Verdana" w:hAnsi="Verdana"/>
          <w:lang w:val="es-ES"/>
        </w:rPr>
        <w:t>Montmollin</w:t>
      </w:r>
      <w:proofErr w:type="spellEnd"/>
      <w:r w:rsidRPr="00FA1BAA">
        <w:rPr>
          <w:rFonts w:ascii="Verdana" w:hAnsi="Verdana"/>
          <w:lang w:val="es-ES"/>
        </w:rPr>
        <w:t xml:space="preserve"> E, </w:t>
      </w:r>
      <w:proofErr w:type="spellStart"/>
      <w:r w:rsidRPr="00FA1BAA">
        <w:rPr>
          <w:rFonts w:ascii="Verdana" w:hAnsi="Verdana"/>
          <w:lang w:val="es-ES"/>
        </w:rPr>
        <w:t>Terzi</w:t>
      </w:r>
      <w:proofErr w:type="spellEnd"/>
      <w:r w:rsidRPr="00FA1BAA">
        <w:rPr>
          <w:rFonts w:ascii="Verdana" w:hAnsi="Verdana"/>
          <w:lang w:val="es-ES"/>
        </w:rPr>
        <w:t xml:space="preserve"> N, </w:t>
      </w:r>
      <w:proofErr w:type="spellStart"/>
      <w:r w:rsidRPr="00FA1BAA">
        <w:rPr>
          <w:rFonts w:ascii="Verdana" w:hAnsi="Verdana"/>
          <w:lang w:val="es-ES"/>
        </w:rPr>
        <w:t>Dupuis</w:t>
      </w:r>
      <w:proofErr w:type="spellEnd"/>
      <w:r w:rsidRPr="00FA1BAA">
        <w:rPr>
          <w:rFonts w:ascii="Verdana" w:hAnsi="Verdana"/>
          <w:lang w:val="es-ES"/>
        </w:rPr>
        <w:t xml:space="preserve"> C, </w:t>
      </w:r>
      <w:proofErr w:type="spellStart"/>
      <w:r w:rsidRPr="00FA1BAA">
        <w:rPr>
          <w:rFonts w:ascii="Verdana" w:hAnsi="Verdana"/>
          <w:lang w:val="es-ES"/>
        </w:rPr>
        <w:t>Garrouste-Orgeas</w:t>
      </w:r>
      <w:proofErr w:type="spellEnd"/>
      <w:r w:rsidRPr="00FA1BAA">
        <w:rPr>
          <w:rFonts w:ascii="Verdana" w:hAnsi="Verdana"/>
          <w:lang w:val="es-ES"/>
        </w:rPr>
        <w:t xml:space="preserve"> M, da Silva D, </w:t>
      </w:r>
      <w:proofErr w:type="spellStart"/>
      <w:r w:rsidRPr="00FA1BAA">
        <w:rPr>
          <w:rFonts w:ascii="Verdana" w:hAnsi="Verdana"/>
          <w:lang w:val="es-ES"/>
        </w:rPr>
        <w:t>Darmon</w:t>
      </w:r>
      <w:proofErr w:type="spellEnd"/>
      <w:r w:rsidRPr="00FA1BAA">
        <w:rPr>
          <w:rFonts w:ascii="Verdana" w:hAnsi="Verdana"/>
          <w:lang w:val="es-ES"/>
        </w:rPr>
        <w:t xml:space="preserve"> M, Laurent V et al. </w:t>
      </w:r>
      <w:r w:rsidRPr="00FA1BAA">
        <w:rPr>
          <w:rFonts w:ascii="Verdana" w:hAnsi="Verdana"/>
        </w:rPr>
        <w:t xml:space="preserve">One-year survival in acute stroke patients requiring mechanical ventilation: a multicenter cohort study. </w:t>
      </w:r>
      <w:r w:rsidRPr="00FA1BAA">
        <w:rPr>
          <w:rFonts w:ascii="Verdana" w:hAnsi="Verdana"/>
          <w:lang w:val="es-ES"/>
        </w:rPr>
        <w:t xml:space="preserve">Ann </w:t>
      </w:r>
      <w:proofErr w:type="spellStart"/>
      <w:r w:rsidRPr="00FA1BAA">
        <w:rPr>
          <w:rFonts w:ascii="Verdana" w:hAnsi="Verdana"/>
          <w:lang w:val="es-ES"/>
        </w:rPr>
        <w:t>Intensive</w:t>
      </w:r>
      <w:proofErr w:type="spellEnd"/>
      <w:r w:rsidRPr="00FA1BAA">
        <w:rPr>
          <w:rFonts w:ascii="Verdana" w:hAnsi="Verdana"/>
          <w:lang w:val="es-ES"/>
        </w:rPr>
        <w:t xml:space="preserve"> </w:t>
      </w:r>
      <w:proofErr w:type="spellStart"/>
      <w:r w:rsidRPr="00FA1BAA">
        <w:rPr>
          <w:rFonts w:ascii="Verdana" w:hAnsi="Verdana"/>
          <w:lang w:val="es-ES"/>
        </w:rPr>
        <w:t>Care</w:t>
      </w:r>
      <w:proofErr w:type="spellEnd"/>
      <w:r w:rsidRPr="00FA1BAA">
        <w:rPr>
          <w:rFonts w:ascii="Verdana" w:hAnsi="Verdana"/>
          <w:lang w:val="es-ES"/>
        </w:rPr>
        <w:t xml:space="preserve"> [Internet]. 2020 [consultado 01/07/2020]; 10:53. Disponible en: </w:t>
      </w:r>
      <w:hyperlink r:id="rId19" w:history="1">
        <w:r w:rsidRPr="00FA1BAA">
          <w:rPr>
            <w:rStyle w:val="Hipervnculo"/>
            <w:rFonts w:ascii="Verdana" w:hAnsi="Verdana"/>
            <w:lang w:val="es-ES"/>
          </w:rPr>
          <w:t>https://doi.org/10.1186/s13613-020-00669-5</w:t>
        </w:r>
      </w:hyperlink>
    </w:p>
    <w:p w:rsidR="00FA1BAA" w:rsidRPr="00FA1BAA" w:rsidRDefault="00FA1BAA" w:rsidP="00FA1BAA">
      <w:pPr>
        <w:pStyle w:val="Prrafodelista1"/>
        <w:numPr>
          <w:ilvl w:val="0"/>
          <w:numId w:val="1"/>
        </w:numPr>
        <w:spacing w:after="0" w:line="360" w:lineRule="auto"/>
        <w:jc w:val="both"/>
        <w:rPr>
          <w:rStyle w:val="Hipervnculo"/>
          <w:rFonts w:ascii="Verdana" w:hAnsi="Verdana"/>
        </w:rPr>
      </w:pPr>
      <w:proofErr w:type="spellStart"/>
      <w:r w:rsidRPr="00FA1BAA">
        <w:rPr>
          <w:rFonts w:ascii="Verdana" w:hAnsi="Verdana"/>
        </w:rPr>
        <w:t>Popat</w:t>
      </w:r>
      <w:proofErr w:type="spellEnd"/>
      <w:r w:rsidRPr="00FA1BAA">
        <w:rPr>
          <w:rFonts w:ascii="Verdana" w:hAnsi="Verdana"/>
        </w:rPr>
        <w:t xml:space="preserve"> C, </w:t>
      </w:r>
      <w:proofErr w:type="spellStart"/>
      <w:r w:rsidRPr="00FA1BAA">
        <w:rPr>
          <w:rFonts w:ascii="Verdana" w:hAnsi="Verdana"/>
        </w:rPr>
        <w:t>Ruthirago</w:t>
      </w:r>
      <w:proofErr w:type="spellEnd"/>
      <w:r w:rsidRPr="00FA1BAA">
        <w:rPr>
          <w:rFonts w:ascii="Verdana" w:hAnsi="Verdana"/>
        </w:rPr>
        <w:t xml:space="preserve"> D, </w:t>
      </w:r>
      <w:proofErr w:type="spellStart"/>
      <w:r w:rsidRPr="00FA1BAA">
        <w:rPr>
          <w:rFonts w:ascii="Verdana" w:hAnsi="Verdana"/>
        </w:rPr>
        <w:t>Shehabeldin</w:t>
      </w:r>
      <w:proofErr w:type="spellEnd"/>
      <w:r w:rsidRPr="00FA1BAA">
        <w:rPr>
          <w:rFonts w:ascii="Verdana" w:hAnsi="Verdana"/>
        </w:rPr>
        <w:t xml:space="preserve"> M, Yang S, Nugent K. Outcomes in patients with acute stroke requiring mechanical ventilation: Predictors of mortality and successful </w:t>
      </w:r>
      <w:proofErr w:type="spellStart"/>
      <w:r w:rsidRPr="00FA1BAA">
        <w:rPr>
          <w:rFonts w:ascii="Verdana" w:hAnsi="Verdana"/>
        </w:rPr>
        <w:t>extubation</w:t>
      </w:r>
      <w:proofErr w:type="spellEnd"/>
      <w:r w:rsidRPr="00FA1BAA">
        <w:rPr>
          <w:rFonts w:ascii="Verdana" w:hAnsi="Verdana"/>
        </w:rPr>
        <w:t xml:space="preserve">. T </w:t>
      </w:r>
      <w:r w:rsidRPr="00FA1BAA">
        <w:rPr>
          <w:rFonts w:ascii="Verdana" w:hAnsi="Verdana"/>
          <w:lang w:eastAsia="zh-CN"/>
        </w:rPr>
        <w:t>Am J Med Sci.</w:t>
      </w:r>
      <w:r w:rsidRPr="00FA1BAA">
        <w:rPr>
          <w:rFonts w:ascii="Verdana" w:hAnsi="Verdana"/>
        </w:rPr>
        <w:t xml:space="preserve"> [Internet]. 2018 [consultado 01/07/2020]; </w:t>
      </w:r>
      <w:r w:rsidRPr="00FA1BAA">
        <w:rPr>
          <w:rFonts w:ascii="Verdana" w:hAnsi="Verdana"/>
          <w:lang w:eastAsia="zh-CN"/>
        </w:rPr>
        <w:t>356(1):3-9.</w:t>
      </w:r>
      <w:r w:rsidRPr="00FA1BAA">
        <w:rPr>
          <w:rFonts w:ascii="Verdana" w:hAnsi="Verdana"/>
        </w:rPr>
        <w:t xml:space="preserve">Disponible en:  </w:t>
      </w:r>
      <w:r w:rsidRPr="00FA1BAA">
        <w:rPr>
          <w:rStyle w:val="Hipervnculo"/>
          <w:rFonts w:ascii="Verdana" w:hAnsi="Verdana"/>
          <w:lang w:eastAsia="zh-CN"/>
        </w:rPr>
        <w:t>doi:10.1016/j.amjms.2018.03.013</w:t>
      </w:r>
    </w:p>
    <w:p w:rsidR="00FA1BAA" w:rsidRPr="00FA1BAA" w:rsidRDefault="00FA1BAA" w:rsidP="00FA1BAA">
      <w:pPr>
        <w:pStyle w:val="Prrafodelista1"/>
        <w:numPr>
          <w:ilvl w:val="0"/>
          <w:numId w:val="1"/>
        </w:numPr>
        <w:spacing w:after="0" w:line="360" w:lineRule="auto"/>
        <w:jc w:val="both"/>
        <w:rPr>
          <w:rStyle w:val="Hipervnculo"/>
          <w:rFonts w:ascii="Verdana" w:hAnsi="Verdana"/>
        </w:rPr>
      </w:pPr>
      <w:proofErr w:type="spellStart"/>
      <w:r w:rsidRPr="00FA1BAA">
        <w:rPr>
          <w:rFonts w:ascii="Verdana" w:hAnsi="Verdana"/>
        </w:rPr>
        <w:t>Barakat</w:t>
      </w:r>
      <w:proofErr w:type="spellEnd"/>
      <w:r w:rsidRPr="00FA1BAA">
        <w:rPr>
          <w:rFonts w:ascii="Verdana" w:hAnsi="Verdana"/>
        </w:rPr>
        <w:t xml:space="preserve"> A, Greene-</w:t>
      </w:r>
      <w:proofErr w:type="spellStart"/>
      <w:r w:rsidRPr="00FA1BAA">
        <w:rPr>
          <w:rFonts w:ascii="Verdana" w:hAnsi="Verdana"/>
        </w:rPr>
        <w:t>Chandos</w:t>
      </w:r>
      <w:proofErr w:type="spellEnd"/>
      <w:r w:rsidRPr="00FA1BAA">
        <w:rPr>
          <w:rFonts w:ascii="Verdana" w:hAnsi="Verdana"/>
        </w:rPr>
        <w:t xml:space="preserve"> D. The Neurological Assessment of the Critically Ill Patient. En: </w:t>
      </w:r>
      <w:proofErr w:type="spellStart"/>
      <w:r w:rsidRPr="00FA1BAA">
        <w:rPr>
          <w:rFonts w:ascii="Verdana" w:hAnsi="Verdana"/>
        </w:rPr>
        <w:t>Torbey</w:t>
      </w:r>
      <w:proofErr w:type="spellEnd"/>
      <w:r w:rsidRPr="00FA1BAA">
        <w:rPr>
          <w:rFonts w:ascii="Verdana" w:hAnsi="Verdana"/>
        </w:rPr>
        <w:t xml:space="preserve"> MT ed. </w:t>
      </w:r>
      <w:proofErr w:type="spellStart"/>
      <w:r w:rsidRPr="00FA1BAA">
        <w:rPr>
          <w:rFonts w:ascii="Verdana" w:hAnsi="Verdana"/>
        </w:rPr>
        <w:t>Neurocritical</w:t>
      </w:r>
      <w:proofErr w:type="spellEnd"/>
      <w:r w:rsidRPr="00FA1BAA">
        <w:rPr>
          <w:rFonts w:ascii="Verdana" w:hAnsi="Verdana"/>
        </w:rPr>
        <w:t xml:space="preserve"> care. 2</w:t>
      </w:r>
      <w:r w:rsidRPr="00FA1BAA">
        <w:rPr>
          <w:rFonts w:ascii="Verdana" w:hAnsi="Verdana"/>
          <w:vertAlign w:val="superscript"/>
        </w:rPr>
        <w:t>th</w:t>
      </w:r>
      <w:r w:rsidRPr="00FA1BAA">
        <w:rPr>
          <w:rFonts w:ascii="Verdana" w:hAnsi="Verdana"/>
        </w:rPr>
        <w:t xml:space="preserve"> ed. </w:t>
      </w:r>
      <w:r w:rsidRPr="00FA1BAA">
        <w:rPr>
          <w:rFonts w:ascii="Verdana" w:hAnsi="Verdana"/>
        </w:rPr>
        <w:lastRenderedPageBreak/>
        <w:t xml:space="preserve">Cambridge </w:t>
      </w:r>
      <w:proofErr w:type="spellStart"/>
      <w:r w:rsidRPr="00FA1BAA">
        <w:rPr>
          <w:rFonts w:ascii="Verdana" w:hAnsi="Verdana"/>
        </w:rPr>
        <w:t>Univeristy</w:t>
      </w:r>
      <w:proofErr w:type="spellEnd"/>
      <w:r w:rsidRPr="00FA1BAA">
        <w:rPr>
          <w:rFonts w:ascii="Verdana" w:hAnsi="Verdana"/>
        </w:rPr>
        <w:t xml:space="preserve"> Press; 2019. p. 1 - 10 Disponible en: </w:t>
      </w:r>
      <w:hyperlink r:id="rId20" w:history="1">
        <w:r w:rsidRPr="00FA1BAA">
          <w:rPr>
            <w:rStyle w:val="Hipervnculo"/>
            <w:rFonts w:ascii="Verdana" w:hAnsi="Verdana"/>
          </w:rPr>
          <w:t>https://doi.org/10.1017/9781107587908</w:t>
        </w:r>
      </w:hyperlink>
    </w:p>
    <w:p w:rsidR="00FA1BAA" w:rsidRPr="00FA1BAA" w:rsidRDefault="00FA1BAA" w:rsidP="00FA1BAA">
      <w:pPr>
        <w:pStyle w:val="Prrafodelista3"/>
        <w:numPr>
          <w:ilvl w:val="0"/>
          <w:numId w:val="1"/>
        </w:numPr>
        <w:autoSpaceDE w:val="0"/>
        <w:autoSpaceDN w:val="0"/>
        <w:adjustRightInd w:val="0"/>
        <w:spacing w:after="0" w:line="360" w:lineRule="auto"/>
        <w:jc w:val="both"/>
        <w:rPr>
          <w:rFonts w:ascii="Verdana" w:hAnsi="Verdana"/>
        </w:rPr>
      </w:pPr>
      <w:proofErr w:type="spellStart"/>
      <w:r w:rsidRPr="00FA1BAA">
        <w:rPr>
          <w:rFonts w:ascii="Verdana" w:hAnsi="Verdana"/>
        </w:rPr>
        <w:t>Santoli</w:t>
      </w:r>
      <w:proofErr w:type="spellEnd"/>
      <w:r w:rsidRPr="00FA1BAA">
        <w:rPr>
          <w:rFonts w:ascii="Verdana" w:hAnsi="Verdana"/>
        </w:rPr>
        <w:t xml:space="preserve"> F, De </w:t>
      </w:r>
      <w:proofErr w:type="spellStart"/>
      <w:r w:rsidRPr="00FA1BAA">
        <w:rPr>
          <w:rFonts w:ascii="Verdana" w:hAnsi="Verdana"/>
        </w:rPr>
        <w:t>Jonghe</w:t>
      </w:r>
      <w:proofErr w:type="spellEnd"/>
      <w:r w:rsidRPr="00FA1BAA">
        <w:rPr>
          <w:rFonts w:ascii="Verdana" w:hAnsi="Verdana"/>
        </w:rPr>
        <w:t xml:space="preserve"> B, </w:t>
      </w:r>
      <w:proofErr w:type="spellStart"/>
      <w:r w:rsidRPr="00FA1BAA">
        <w:rPr>
          <w:rFonts w:ascii="Verdana" w:hAnsi="Verdana"/>
        </w:rPr>
        <w:t>Hayon</w:t>
      </w:r>
      <w:proofErr w:type="spellEnd"/>
      <w:r w:rsidRPr="00FA1BAA">
        <w:rPr>
          <w:rFonts w:ascii="Verdana" w:hAnsi="Verdana"/>
        </w:rPr>
        <w:t xml:space="preserve"> J, Tran B, </w:t>
      </w:r>
      <w:proofErr w:type="spellStart"/>
      <w:r w:rsidRPr="00FA1BAA">
        <w:rPr>
          <w:rFonts w:ascii="Verdana" w:hAnsi="Verdana"/>
        </w:rPr>
        <w:t>Piperaud</w:t>
      </w:r>
      <w:proofErr w:type="spellEnd"/>
      <w:r w:rsidRPr="00FA1BAA">
        <w:rPr>
          <w:rFonts w:ascii="Verdana" w:hAnsi="Verdana"/>
        </w:rPr>
        <w:t xml:space="preserve"> M, </w:t>
      </w:r>
      <w:proofErr w:type="spellStart"/>
      <w:r w:rsidRPr="00FA1BAA">
        <w:rPr>
          <w:rFonts w:ascii="Verdana" w:hAnsi="Verdana"/>
        </w:rPr>
        <w:t>Merrer</w:t>
      </w:r>
      <w:proofErr w:type="spellEnd"/>
      <w:r w:rsidRPr="00FA1BAA">
        <w:rPr>
          <w:rFonts w:ascii="Verdana" w:hAnsi="Verdana"/>
        </w:rPr>
        <w:t xml:space="preserve"> J et al. Mechanical ventilation in patients with acute ischemic stroke: survival and outcome at one year. </w:t>
      </w:r>
      <w:proofErr w:type="spellStart"/>
      <w:r w:rsidRPr="00FA1BAA">
        <w:rPr>
          <w:rFonts w:ascii="Verdana" w:hAnsi="Verdana"/>
        </w:rPr>
        <w:t>Inten</w:t>
      </w:r>
      <w:proofErr w:type="spellEnd"/>
      <w:r w:rsidRPr="00FA1BAA">
        <w:rPr>
          <w:rFonts w:ascii="Verdana" w:hAnsi="Verdana"/>
        </w:rPr>
        <w:t xml:space="preserve"> Care Med [Internet]. 2001 [consultado 01/07/2020]; 27: 1141-1146.Disponible en: </w:t>
      </w:r>
      <w:r w:rsidRPr="00FA1BAA">
        <w:rPr>
          <w:rStyle w:val="Hipervnculo"/>
          <w:rFonts w:ascii="Verdana" w:hAnsi="Verdana"/>
        </w:rPr>
        <w:t>DOI 10.1007/s001340100998</w:t>
      </w:r>
    </w:p>
    <w:p w:rsidR="00FA1BAA" w:rsidRPr="00FA1BAA" w:rsidRDefault="00FA1BAA" w:rsidP="00FA1BAA">
      <w:pPr>
        <w:pStyle w:val="Prrafodelista1"/>
        <w:numPr>
          <w:ilvl w:val="0"/>
          <w:numId w:val="1"/>
        </w:numPr>
        <w:spacing w:line="360" w:lineRule="auto"/>
        <w:jc w:val="both"/>
        <w:rPr>
          <w:rStyle w:val="Hipervnculo"/>
          <w:rFonts w:ascii="Verdana" w:hAnsi="Verdana"/>
        </w:rPr>
      </w:pPr>
      <w:proofErr w:type="spellStart"/>
      <w:r w:rsidRPr="00FA1BAA">
        <w:rPr>
          <w:rFonts w:ascii="Verdana" w:hAnsi="Verdana"/>
        </w:rPr>
        <w:t>Gujjar</w:t>
      </w:r>
      <w:proofErr w:type="spellEnd"/>
      <w:r w:rsidRPr="00FA1BAA">
        <w:rPr>
          <w:rFonts w:ascii="Verdana" w:hAnsi="Verdana"/>
        </w:rPr>
        <w:t xml:space="preserve"> AR, </w:t>
      </w:r>
      <w:proofErr w:type="spellStart"/>
      <w:r w:rsidRPr="00FA1BAA">
        <w:rPr>
          <w:rFonts w:ascii="Verdana" w:hAnsi="Verdana"/>
        </w:rPr>
        <w:t>Deibert</w:t>
      </w:r>
      <w:proofErr w:type="spellEnd"/>
      <w:r w:rsidRPr="00FA1BAA">
        <w:rPr>
          <w:rFonts w:ascii="Verdana" w:hAnsi="Verdana"/>
        </w:rPr>
        <w:t xml:space="preserve"> E, </w:t>
      </w:r>
      <w:proofErr w:type="spellStart"/>
      <w:r w:rsidRPr="00FA1BAA">
        <w:rPr>
          <w:rFonts w:ascii="Verdana" w:hAnsi="Verdana"/>
        </w:rPr>
        <w:t>Manno</w:t>
      </w:r>
      <w:proofErr w:type="spellEnd"/>
      <w:r w:rsidRPr="00FA1BAA">
        <w:rPr>
          <w:rFonts w:ascii="Verdana" w:hAnsi="Verdana"/>
        </w:rPr>
        <w:t xml:space="preserve"> EM, Duff S, </w:t>
      </w:r>
      <w:proofErr w:type="spellStart"/>
      <w:r w:rsidRPr="00FA1BAA">
        <w:rPr>
          <w:rFonts w:ascii="Verdana" w:hAnsi="Verdana"/>
        </w:rPr>
        <w:t>Diringer</w:t>
      </w:r>
      <w:proofErr w:type="spellEnd"/>
      <w:r w:rsidRPr="00FA1BAA">
        <w:rPr>
          <w:rFonts w:ascii="Verdana" w:hAnsi="Verdana"/>
        </w:rPr>
        <w:t xml:space="preserve"> MN. </w:t>
      </w:r>
      <w:r w:rsidRPr="00FA1BAA">
        <w:rPr>
          <w:rFonts w:ascii="Verdana" w:hAnsi="Verdana"/>
        </w:rPr>
        <w:br/>
        <w:t xml:space="preserve">Mechanical ventilation for ischemic stroke and </w:t>
      </w:r>
      <w:proofErr w:type="spellStart"/>
      <w:r w:rsidRPr="00FA1BAA">
        <w:rPr>
          <w:rFonts w:ascii="Verdana" w:hAnsi="Verdana"/>
        </w:rPr>
        <w:t>intracerebral</w:t>
      </w:r>
      <w:proofErr w:type="spellEnd"/>
      <w:r w:rsidRPr="00FA1BAA">
        <w:rPr>
          <w:rFonts w:ascii="Verdana" w:hAnsi="Verdana"/>
        </w:rPr>
        <w:t xml:space="preserve"> hemorrhage: Indications, timing, and outcome. Neurology [Internet]. 1998 [consultado 01/07/2020]; 51; 447-451. Disponible en: </w:t>
      </w:r>
      <w:r w:rsidRPr="00FA1BAA">
        <w:rPr>
          <w:rStyle w:val="Hipervnculo"/>
          <w:rFonts w:ascii="Verdana" w:hAnsi="Verdana"/>
        </w:rPr>
        <w:t>DOI 10.1212/WNL.51.2.447</w:t>
      </w:r>
    </w:p>
    <w:p w:rsidR="00FA1BAA" w:rsidRPr="00FA1BAA" w:rsidRDefault="00FA1BAA" w:rsidP="00FA1BAA">
      <w:pPr>
        <w:pStyle w:val="Prrafodelista1"/>
        <w:numPr>
          <w:ilvl w:val="0"/>
          <w:numId w:val="1"/>
        </w:numPr>
        <w:spacing w:line="360" w:lineRule="auto"/>
        <w:jc w:val="both"/>
        <w:rPr>
          <w:rFonts w:ascii="Verdana" w:hAnsi="Verdana"/>
          <w:lang w:val="es-ES"/>
        </w:rPr>
      </w:pPr>
      <w:proofErr w:type="spellStart"/>
      <w:r w:rsidRPr="00FA1BAA">
        <w:rPr>
          <w:rFonts w:ascii="Verdana" w:hAnsi="Verdana"/>
          <w:lang w:val="es-ES"/>
        </w:rPr>
        <w:t>Norero</w:t>
      </w:r>
      <w:proofErr w:type="spellEnd"/>
      <w:r w:rsidRPr="00FA1BAA">
        <w:rPr>
          <w:rFonts w:ascii="Verdana" w:hAnsi="Verdana"/>
          <w:lang w:val="es-ES"/>
        </w:rPr>
        <w:t xml:space="preserve"> M Enrique, </w:t>
      </w:r>
      <w:proofErr w:type="spellStart"/>
      <w:r w:rsidRPr="00FA1BAA">
        <w:rPr>
          <w:rFonts w:ascii="Verdana" w:hAnsi="Verdana"/>
          <w:lang w:val="es-ES"/>
        </w:rPr>
        <w:t>Altschwager</w:t>
      </w:r>
      <w:proofErr w:type="spellEnd"/>
      <w:r w:rsidRPr="00FA1BAA">
        <w:rPr>
          <w:rFonts w:ascii="Verdana" w:hAnsi="Verdana"/>
          <w:lang w:val="es-ES"/>
        </w:rPr>
        <w:t xml:space="preserve"> K Pablo, Romero P Carlos, Mellado T Patricio, Hernández P Glenn, Castillo F Luis et al. Ventilación mecánica en pacientes con patologías agudas del sistema nervioso central: sobrevida y pronóstico funcional. Rev. </w:t>
      </w:r>
      <w:proofErr w:type="spellStart"/>
      <w:r w:rsidRPr="00FA1BAA">
        <w:rPr>
          <w:rFonts w:ascii="Verdana" w:hAnsi="Verdana"/>
          <w:lang w:val="es-ES"/>
        </w:rPr>
        <w:t>méd</w:t>
      </w:r>
      <w:proofErr w:type="spellEnd"/>
      <w:r w:rsidRPr="00FA1BAA">
        <w:rPr>
          <w:rFonts w:ascii="Verdana" w:hAnsi="Verdana"/>
          <w:lang w:val="es-ES"/>
        </w:rPr>
        <w:t xml:space="preserve">. Chile [Internet]. 2004 [consultado 01/07/2020]; 132(1): 11-18. Disponible en: </w:t>
      </w:r>
      <w:hyperlink r:id="rId21" w:history="1">
        <w:r w:rsidRPr="00FA1BAA">
          <w:rPr>
            <w:rStyle w:val="Hipervnculo"/>
            <w:rFonts w:ascii="Verdana" w:hAnsi="Verdana"/>
            <w:lang w:val="es-ES"/>
          </w:rPr>
          <w:t>http://dx.doi.org/10.4067/S0034-98872004000100002</w:t>
        </w:r>
      </w:hyperlink>
    </w:p>
    <w:p w:rsidR="00FA1BAA" w:rsidRPr="00FA1BAA" w:rsidRDefault="00FA1BAA" w:rsidP="00FA1BAA">
      <w:pPr>
        <w:pStyle w:val="Prrafodelista1"/>
        <w:numPr>
          <w:ilvl w:val="0"/>
          <w:numId w:val="1"/>
        </w:numPr>
        <w:spacing w:after="0" w:line="360" w:lineRule="auto"/>
        <w:jc w:val="both"/>
        <w:rPr>
          <w:rFonts w:ascii="Verdana" w:hAnsi="Verdana"/>
          <w:lang w:val="es-ES"/>
        </w:rPr>
      </w:pPr>
      <w:r w:rsidRPr="00FA1BAA">
        <w:rPr>
          <w:rFonts w:ascii="Verdana" w:hAnsi="Verdana"/>
          <w:lang w:val="es-ES"/>
        </w:rPr>
        <w:t xml:space="preserve">Lay-Son L, Varas P. Coma </w:t>
      </w:r>
      <w:proofErr w:type="spellStart"/>
      <w:r w:rsidRPr="00FA1BAA">
        <w:rPr>
          <w:rFonts w:ascii="Verdana" w:hAnsi="Verdana"/>
          <w:lang w:val="es-ES"/>
        </w:rPr>
        <w:t>anóxico</w:t>
      </w:r>
      <w:proofErr w:type="spellEnd"/>
      <w:r w:rsidRPr="00FA1BAA">
        <w:rPr>
          <w:rFonts w:ascii="Verdana" w:hAnsi="Verdana"/>
          <w:lang w:val="es-ES"/>
        </w:rPr>
        <w:t xml:space="preserve">-isquémico en 46 pacientes. Evolución a treinta días y su relación con los reflejos de tronco. </w:t>
      </w:r>
      <w:proofErr w:type="spellStart"/>
      <w:r w:rsidRPr="00FA1BAA">
        <w:rPr>
          <w:rFonts w:ascii="Verdana" w:hAnsi="Verdana"/>
          <w:lang w:val="es-ES"/>
        </w:rPr>
        <w:t>RevMéd</w:t>
      </w:r>
      <w:proofErr w:type="spellEnd"/>
      <w:r w:rsidRPr="00FA1BAA">
        <w:rPr>
          <w:rFonts w:ascii="Verdana" w:hAnsi="Verdana"/>
          <w:lang w:val="es-ES"/>
        </w:rPr>
        <w:t xml:space="preserve"> Chile [Internet]. 2006 [consultado 01/07/2020]</w:t>
      </w:r>
      <w:proofErr w:type="gramStart"/>
      <w:r w:rsidRPr="00FA1BAA">
        <w:rPr>
          <w:rFonts w:ascii="Verdana" w:hAnsi="Verdana"/>
          <w:lang w:val="es-ES"/>
        </w:rPr>
        <w:t>;134</w:t>
      </w:r>
      <w:proofErr w:type="gramEnd"/>
      <w:r w:rsidRPr="00FA1BAA">
        <w:rPr>
          <w:rFonts w:ascii="Verdana" w:hAnsi="Verdana"/>
          <w:lang w:val="es-ES"/>
        </w:rPr>
        <w:t xml:space="preserve">: 441-446. Disponible en:  </w:t>
      </w:r>
      <w:r w:rsidRPr="00FA1BAA">
        <w:rPr>
          <w:rStyle w:val="Hipervnculo"/>
          <w:rFonts w:ascii="Verdana" w:hAnsi="Verdana"/>
          <w:lang w:val="es-ES"/>
        </w:rPr>
        <w:t>http://dx.doi.org/10.4067/S0034-98872006000400006</w:t>
      </w:r>
    </w:p>
    <w:p w:rsidR="00FA1BAA" w:rsidRPr="00FA1BAA" w:rsidRDefault="00FA1BAA" w:rsidP="00FA1BAA">
      <w:pPr>
        <w:pStyle w:val="Prrafodelista1"/>
        <w:numPr>
          <w:ilvl w:val="0"/>
          <w:numId w:val="1"/>
        </w:numPr>
        <w:spacing w:after="0" w:line="360" w:lineRule="auto"/>
        <w:jc w:val="both"/>
        <w:rPr>
          <w:rFonts w:ascii="Verdana" w:hAnsi="Verdana"/>
          <w:lang w:val="es-ES"/>
        </w:rPr>
      </w:pPr>
      <w:r w:rsidRPr="00FA1BAA">
        <w:rPr>
          <w:rFonts w:ascii="Verdana" w:hAnsi="Verdana"/>
          <w:lang w:val="es-ES"/>
        </w:rPr>
        <w:t xml:space="preserve">Salas-Rubio JH autor. Neurocirugía. Diez temas fundamentales. La Habana: Editorial Ciencias Médicas, 2020. Disponible en: </w:t>
      </w:r>
      <w:r w:rsidRPr="00FA1BAA">
        <w:rPr>
          <w:rStyle w:val="Hipervnculo"/>
          <w:rFonts w:ascii="Verdana" w:hAnsi="Verdana"/>
          <w:lang w:val="es-ES"/>
        </w:rPr>
        <w:t>www.bvs.sld.cu/libros/neurocirugia_diez_temas_fundamentales/neurocirugia_diez_temas_%20fundamentales_cap06.pdf</w:t>
      </w:r>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proofErr w:type="spellStart"/>
      <w:r w:rsidRPr="00FA1BAA">
        <w:rPr>
          <w:rFonts w:ascii="Verdana" w:hAnsi="Verdana"/>
        </w:rPr>
        <w:t>Foerch</w:t>
      </w:r>
      <w:proofErr w:type="spellEnd"/>
      <w:r w:rsidRPr="00FA1BAA">
        <w:rPr>
          <w:rFonts w:ascii="Verdana" w:hAnsi="Verdana"/>
        </w:rPr>
        <w:t xml:space="preserve"> C, Kessler KR, </w:t>
      </w:r>
      <w:proofErr w:type="spellStart"/>
      <w:r w:rsidRPr="00FA1BAA">
        <w:rPr>
          <w:rFonts w:ascii="Verdana" w:hAnsi="Verdana"/>
        </w:rPr>
        <w:t>Steckel</w:t>
      </w:r>
      <w:proofErr w:type="spellEnd"/>
      <w:r w:rsidRPr="00FA1BAA">
        <w:rPr>
          <w:rFonts w:ascii="Verdana" w:hAnsi="Verdana"/>
        </w:rPr>
        <w:t xml:space="preserve"> DA, Steinmetz H, </w:t>
      </w:r>
      <w:proofErr w:type="spellStart"/>
      <w:r w:rsidRPr="00FA1BAA">
        <w:rPr>
          <w:rFonts w:ascii="Verdana" w:hAnsi="Verdana"/>
        </w:rPr>
        <w:t>Sitzer</w:t>
      </w:r>
      <w:proofErr w:type="spellEnd"/>
      <w:r w:rsidRPr="00FA1BAA">
        <w:rPr>
          <w:rFonts w:ascii="Verdana" w:hAnsi="Verdana"/>
        </w:rPr>
        <w:t xml:space="preserve"> M. Survival and quality of life outcome after mechanical ventilation in elderly stroke patients. </w:t>
      </w:r>
      <w:r w:rsidRPr="00FA1BAA">
        <w:rPr>
          <w:rFonts w:ascii="Verdana" w:hAnsi="Verdana"/>
          <w:lang w:val="es-ES"/>
        </w:rPr>
        <w:t xml:space="preserve">J </w:t>
      </w:r>
      <w:proofErr w:type="spellStart"/>
      <w:r w:rsidRPr="00FA1BAA">
        <w:rPr>
          <w:rFonts w:ascii="Verdana" w:hAnsi="Verdana"/>
          <w:lang w:val="es-ES"/>
        </w:rPr>
        <w:t>NeurolNeurosurgPsychiatry</w:t>
      </w:r>
      <w:proofErr w:type="spellEnd"/>
      <w:r w:rsidRPr="00FA1BAA">
        <w:rPr>
          <w:rFonts w:ascii="Verdana" w:hAnsi="Verdana"/>
          <w:lang w:val="es-ES"/>
        </w:rPr>
        <w:t xml:space="preserve">  [Internet]. 2004 [consultado 01/07/2020]; 75: 988–993. Disponible en: </w:t>
      </w:r>
      <w:proofErr w:type="spellStart"/>
      <w:r w:rsidRPr="00FA1BAA">
        <w:rPr>
          <w:rStyle w:val="Hipervnculo"/>
          <w:rFonts w:ascii="Verdana" w:hAnsi="Verdana"/>
          <w:lang w:val="es-ES"/>
        </w:rPr>
        <w:t>doi</w:t>
      </w:r>
      <w:proofErr w:type="spellEnd"/>
      <w:r w:rsidRPr="00FA1BAA">
        <w:rPr>
          <w:rStyle w:val="Hipervnculo"/>
          <w:rFonts w:ascii="Verdana" w:hAnsi="Verdana"/>
          <w:lang w:val="es-ES"/>
        </w:rPr>
        <w:t>: 10.1136/jnnp.2003.021014</w:t>
      </w:r>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r w:rsidRPr="00FA1BAA">
        <w:rPr>
          <w:rFonts w:ascii="Verdana" w:hAnsi="Verdana"/>
        </w:rPr>
        <w:t xml:space="preserve">Gupta P, Prasad K, Kumar A, Kumar P, Bhatia R, </w:t>
      </w:r>
      <w:proofErr w:type="spellStart"/>
      <w:r w:rsidRPr="00FA1BAA">
        <w:rPr>
          <w:rFonts w:ascii="Verdana" w:hAnsi="Verdana"/>
        </w:rPr>
        <w:t>Tripathi</w:t>
      </w:r>
      <w:proofErr w:type="spellEnd"/>
      <w:r w:rsidRPr="00FA1BAA">
        <w:rPr>
          <w:rFonts w:ascii="Verdana" w:hAnsi="Verdana"/>
        </w:rPr>
        <w:t xml:space="preserve"> M. Clinical predictors and outcome of patients of acute stroke requiring </w:t>
      </w:r>
      <w:proofErr w:type="spellStart"/>
      <w:r w:rsidRPr="00FA1BAA">
        <w:rPr>
          <w:rFonts w:ascii="Verdana" w:hAnsi="Verdana"/>
        </w:rPr>
        <w:t>ventilatory</w:t>
      </w:r>
      <w:proofErr w:type="spellEnd"/>
      <w:r w:rsidRPr="00FA1BAA">
        <w:rPr>
          <w:rFonts w:ascii="Verdana" w:hAnsi="Verdana"/>
        </w:rPr>
        <w:t xml:space="preserve"> support: A prospective hospital based cohort study. </w:t>
      </w:r>
      <w:r w:rsidRPr="00FA1BAA">
        <w:rPr>
          <w:rFonts w:ascii="Verdana" w:hAnsi="Verdana"/>
          <w:lang w:val="es-ES"/>
        </w:rPr>
        <w:t xml:space="preserve">J </w:t>
      </w:r>
      <w:proofErr w:type="spellStart"/>
      <w:r w:rsidRPr="00FA1BAA">
        <w:rPr>
          <w:rFonts w:ascii="Verdana" w:hAnsi="Verdana"/>
          <w:lang w:val="es-ES"/>
        </w:rPr>
        <w:t>NeurolSci</w:t>
      </w:r>
      <w:proofErr w:type="spellEnd"/>
      <w:r w:rsidRPr="00FA1BAA">
        <w:rPr>
          <w:rFonts w:ascii="Verdana" w:hAnsi="Verdana"/>
          <w:lang w:val="es-ES"/>
        </w:rPr>
        <w:t xml:space="preserve"> </w:t>
      </w:r>
      <w:r w:rsidRPr="00FA1BAA">
        <w:rPr>
          <w:rFonts w:ascii="Verdana" w:hAnsi="Verdana"/>
          <w:lang w:val="es-ES"/>
        </w:rPr>
        <w:lastRenderedPageBreak/>
        <w:t xml:space="preserve">[Internet]. 2014 [consultado 01/07/2020]; 337: 14–17. Disponible en: </w:t>
      </w:r>
      <w:hyperlink r:id="rId22" w:history="1">
        <w:r w:rsidRPr="00FA1BAA">
          <w:rPr>
            <w:rStyle w:val="Hipervnculo"/>
            <w:rFonts w:ascii="Verdana" w:hAnsi="Verdana"/>
            <w:lang w:val="es-ES"/>
          </w:rPr>
          <w:t>http://dx.doi.org/10.1016/j.jns.2013.11.007</w:t>
        </w:r>
      </w:hyperlink>
    </w:p>
    <w:p w:rsidR="00FA1BAA" w:rsidRPr="00FA1BAA" w:rsidRDefault="00FA1BAA" w:rsidP="00FA1BAA">
      <w:pPr>
        <w:pStyle w:val="Prrafodelista1"/>
        <w:numPr>
          <w:ilvl w:val="0"/>
          <w:numId w:val="1"/>
        </w:numPr>
        <w:spacing w:line="360" w:lineRule="auto"/>
        <w:jc w:val="both"/>
        <w:rPr>
          <w:rStyle w:val="Hipervnculo"/>
          <w:rFonts w:ascii="Verdana" w:hAnsi="Verdana"/>
          <w:lang w:val="es-ES"/>
        </w:rPr>
      </w:pPr>
      <w:proofErr w:type="spellStart"/>
      <w:r w:rsidRPr="00FA1BAA">
        <w:rPr>
          <w:rFonts w:ascii="Verdana" w:hAnsi="Verdana"/>
          <w:lang w:val="es-ES"/>
        </w:rPr>
        <w:t>Pelosi</w:t>
      </w:r>
      <w:proofErr w:type="spellEnd"/>
      <w:r w:rsidRPr="00FA1BAA">
        <w:rPr>
          <w:rFonts w:ascii="Verdana" w:hAnsi="Verdana"/>
          <w:lang w:val="es-ES"/>
        </w:rPr>
        <w:t xml:space="preserve"> P, </w:t>
      </w:r>
      <w:proofErr w:type="spellStart"/>
      <w:r w:rsidRPr="00FA1BAA">
        <w:rPr>
          <w:rFonts w:ascii="Verdana" w:hAnsi="Verdana"/>
          <w:lang w:val="es-ES"/>
        </w:rPr>
        <w:t>Ferguson</w:t>
      </w:r>
      <w:proofErr w:type="spellEnd"/>
      <w:r w:rsidRPr="00FA1BAA">
        <w:rPr>
          <w:rFonts w:ascii="Verdana" w:hAnsi="Verdana"/>
          <w:lang w:val="es-ES"/>
        </w:rPr>
        <w:t xml:space="preserve"> ND, Frutos-Vivar F, </w:t>
      </w:r>
      <w:proofErr w:type="spellStart"/>
      <w:r w:rsidRPr="00FA1BAA">
        <w:rPr>
          <w:rFonts w:ascii="Verdana" w:hAnsi="Verdana"/>
          <w:lang w:val="es-ES"/>
        </w:rPr>
        <w:t>Anzueto</w:t>
      </w:r>
      <w:proofErr w:type="spellEnd"/>
      <w:r w:rsidRPr="00FA1BAA">
        <w:rPr>
          <w:rFonts w:ascii="Verdana" w:hAnsi="Verdana"/>
          <w:lang w:val="es-ES"/>
        </w:rPr>
        <w:t xml:space="preserve"> A, </w:t>
      </w:r>
      <w:proofErr w:type="spellStart"/>
      <w:r w:rsidRPr="00FA1BAA">
        <w:rPr>
          <w:rFonts w:ascii="Verdana" w:hAnsi="Verdana"/>
          <w:lang w:val="es-ES"/>
        </w:rPr>
        <w:t>Putensen</w:t>
      </w:r>
      <w:proofErr w:type="spellEnd"/>
      <w:r w:rsidRPr="00FA1BAA">
        <w:rPr>
          <w:rFonts w:ascii="Verdana" w:hAnsi="Verdana"/>
          <w:lang w:val="es-ES"/>
        </w:rPr>
        <w:t xml:space="preserve"> C, </w:t>
      </w:r>
      <w:proofErr w:type="spellStart"/>
      <w:r w:rsidRPr="00FA1BAA">
        <w:rPr>
          <w:rFonts w:ascii="Verdana" w:hAnsi="Verdana"/>
          <w:lang w:val="es-ES"/>
        </w:rPr>
        <w:t>Raymondos</w:t>
      </w:r>
      <w:proofErr w:type="spellEnd"/>
      <w:r w:rsidRPr="00FA1BAA">
        <w:rPr>
          <w:rFonts w:ascii="Verdana" w:hAnsi="Verdana"/>
          <w:lang w:val="es-ES"/>
        </w:rPr>
        <w:t xml:space="preserve"> K et al. </w:t>
      </w:r>
      <w:r w:rsidRPr="00FA1BAA">
        <w:rPr>
          <w:rFonts w:ascii="Verdana" w:hAnsi="Verdana"/>
        </w:rPr>
        <w:t xml:space="preserve">Management and outcome of mechanically ventilated neurologic patients. </w:t>
      </w:r>
      <w:proofErr w:type="spellStart"/>
      <w:r w:rsidRPr="00FA1BAA">
        <w:rPr>
          <w:rFonts w:ascii="Verdana" w:hAnsi="Verdana"/>
        </w:rPr>
        <w:t>Crit</w:t>
      </w:r>
      <w:proofErr w:type="spellEnd"/>
      <w:r w:rsidRPr="00FA1BAA">
        <w:rPr>
          <w:rFonts w:ascii="Verdana" w:hAnsi="Verdana"/>
        </w:rPr>
        <w:t xml:space="preserve"> Care Med [Internet]. 2011 [consultado 01/07/2020]; 39: 6. Disponible en: </w:t>
      </w:r>
      <w:r w:rsidRPr="00FA1BAA">
        <w:rPr>
          <w:rStyle w:val="Hipervnculo"/>
          <w:rFonts w:ascii="Verdana" w:hAnsi="Verdana"/>
        </w:rPr>
        <w:t>DOI: 10.1097/CCM.0b013e31821209a8</w:t>
      </w:r>
    </w:p>
    <w:p w:rsidR="00FA1BAA" w:rsidRPr="00FA1BAA" w:rsidRDefault="00FA1BAA" w:rsidP="00FA1BAA">
      <w:pPr>
        <w:pStyle w:val="Prrafodelista1"/>
        <w:numPr>
          <w:ilvl w:val="0"/>
          <w:numId w:val="1"/>
        </w:numPr>
        <w:spacing w:after="0" w:line="360" w:lineRule="auto"/>
        <w:jc w:val="both"/>
        <w:rPr>
          <w:rStyle w:val="Hipervnculo"/>
          <w:rFonts w:ascii="Verdana" w:hAnsi="Verdana"/>
          <w:lang w:val="es-ES"/>
        </w:rPr>
      </w:pPr>
      <w:r w:rsidRPr="00FA1BAA">
        <w:rPr>
          <w:rFonts w:ascii="Verdana" w:hAnsi="Verdana"/>
          <w:lang w:val="es-ES"/>
        </w:rPr>
        <w:t xml:space="preserve">Sáez Zúñiga G, Mederos A, </w:t>
      </w:r>
      <w:proofErr w:type="spellStart"/>
      <w:r w:rsidRPr="00FA1BAA">
        <w:rPr>
          <w:rFonts w:ascii="Verdana" w:hAnsi="Verdana"/>
          <w:lang w:val="es-ES"/>
        </w:rPr>
        <w:t>Garcia</w:t>
      </w:r>
      <w:proofErr w:type="spellEnd"/>
      <w:r w:rsidRPr="00FA1BAA">
        <w:rPr>
          <w:rFonts w:ascii="Verdana" w:hAnsi="Verdana"/>
          <w:lang w:val="es-ES"/>
        </w:rPr>
        <w:t xml:space="preserve"> M. Hemorragia subaracnoidea: Indicadores predictivos de mortalidad </w:t>
      </w:r>
      <w:proofErr w:type="spellStart"/>
      <w:r w:rsidRPr="00FA1BAA">
        <w:rPr>
          <w:rFonts w:ascii="Verdana" w:hAnsi="Verdana"/>
          <w:lang w:val="es-ES"/>
        </w:rPr>
        <w:t>ysu</w:t>
      </w:r>
      <w:proofErr w:type="spellEnd"/>
      <w:r w:rsidRPr="00FA1BAA">
        <w:rPr>
          <w:rFonts w:ascii="Verdana" w:hAnsi="Verdana"/>
          <w:lang w:val="es-ES"/>
        </w:rPr>
        <w:t xml:space="preserve"> Relación con el tratamiento definitivo. </w:t>
      </w:r>
      <w:proofErr w:type="spellStart"/>
      <w:r w:rsidRPr="00FA1BAA">
        <w:rPr>
          <w:rFonts w:ascii="Verdana" w:hAnsi="Verdana"/>
          <w:lang w:val="es-ES"/>
        </w:rPr>
        <w:t>Rev</w:t>
      </w:r>
      <w:proofErr w:type="spellEnd"/>
      <w:r w:rsidRPr="00FA1BAA">
        <w:rPr>
          <w:rFonts w:ascii="Verdana" w:hAnsi="Verdana"/>
          <w:lang w:val="es-ES"/>
        </w:rPr>
        <w:t xml:space="preserve"> </w:t>
      </w:r>
      <w:proofErr w:type="spellStart"/>
      <w:r w:rsidRPr="00FA1BAA">
        <w:rPr>
          <w:rFonts w:ascii="Verdana" w:hAnsi="Verdana"/>
          <w:lang w:val="es-ES"/>
        </w:rPr>
        <w:t>Cub</w:t>
      </w:r>
      <w:proofErr w:type="spellEnd"/>
      <w:r w:rsidRPr="00FA1BAA">
        <w:rPr>
          <w:rFonts w:ascii="Verdana" w:hAnsi="Verdana"/>
          <w:lang w:val="es-ES"/>
        </w:rPr>
        <w:t xml:space="preserve"> </w:t>
      </w:r>
      <w:proofErr w:type="spellStart"/>
      <w:r w:rsidRPr="00FA1BAA">
        <w:rPr>
          <w:rFonts w:ascii="Verdana" w:hAnsi="Verdana"/>
          <w:lang w:val="es-ES"/>
        </w:rPr>
        <w:t>Med</w:t>
      </w:r>
      <w:proofErr w:type="spellEnd"/>
      <w:r w:rsidRPr="00FA1BAA">
        <w:rPr>
          <w:rFonts w:ascii="Verdana" w:hAnsi="Verdana"/>
          <w:lang w:val="es-ES"/>
        </w:rPr>
        <w:t xml:space="preserve"> </w:t>
      </w:r>
      <w:proofErr w:type="spellStart"/>
      <w:r w:rsidRPr="00FA1BAA">
        <w:rPr>
          <w:rFonts w:ascii="Verdana" w:hAnsi="Verdana"/>
          <w:lang w:val="es-ES"/>
        </w:rPr>
        <w:t>Int</w:t>
      </w:r>
      <w:proofErr w:type="spellEnd"/>
      <w:r w:rsidRPr="00FA1BAA">
        <w:rPr>
          <w:rFonts w:ascii="Verdana" w:hAnsi="Verdana"/>
          <w:lang w:val="es-ES"/>
        </w:rPr>
        <w:t xml:space="preserve"> </w:t>
      </w:r>
      <w:proofErr w:type="spellStart"/>
      <w:r w:rsidRPr="00FA1BAA">
        <w:rPr>
          <w:rFonts w:ascii="Verdana" w:hAnsi="Verdana"/>
          <w:lang w:val="es-ES"/>
        </w:rPr>
        <w:t>Emerg</w:t>
      </w:r>
      <w:proofErr w:type="spellEnd"/>
      <w:r w:rsidRPr="00FA1BAA">
        <w:rPr>
          <w:rFonts w:ascii="Verdana" w:hAnsi="Verdana"/>
          <w:lang w:val="es-ES"/>
        </w:rPr>
        <w:t xml:space="preserve"> [Internet]. 2011 [consultado 01/07/2020]</w:t>
      </w:r>
      <w:proofErr w:type="gramStart"/>
      <w:r w:rsidRPr="00FA1BAA">
        <w:rPr>
          <w:rFonts w:ascii="Verdana" w:hAnsi="Verdana"/>
          <w:lang w:val="es-ES"/>
        </w:rPr>
        <w:t>;10</w:t>
      </w:r>
      <w:proofErr w:type="gramEnd"/>
      <w:r w:rsidRPr="00FA1BAA">
        <w:rPr>
          <w:rFonts w:ascii="Verdana" w:hAnsi="Verdana"/>
          <w:lang w:val="es-ES"/>
        </w:rPr>
        <w:t xml:space="preserve">(1)1981-2008. Disponible en: </w:t>
      </w:r>
      <w:r w:rsidRPr="00FA1BAA">
        <w:rPr>
          <w:rStyle w:val="Hipervnculo"/>
          <w:rFonts w:ascii="Verdana" w:hAnsi="Verdana"/>
          <w:lang w:val="es-ES"/>
        </w:rPr>
        <w:t xml:space="preserve">https://www.medigraphic.com/pdfs/revcubmedinteme/cie-2011/cie111a.pdf </w:t>
      </w:r>
    </w:p>
    <w:p w:rsidR="00FA1BAA" w:rsidRPr="00FA1BAA" w:rsidRDefault="00FA1BAA" w:rsidP="00FA1BAA">
      <w:pPr>
        <w:pStyle w:val="Prrafodelista1"/>
        <w:numPr>
          <w:ilvl w:val="0"/>
          <w:numId w:val="1"/>
        </w:numPr>
        <w:spacing w:after="0" w:line="360" w:lineRule="auto"/>
        <w:jc w:val="both"/>
        <w:rPr>
          <w:rStyle w:val="Hipervnculo"/>
          <w:rFonts w:ascii="Verdana" w:hAnsi="Verdana"/>
        </w:rPr>
      </w:pPr>
      <w:r w:rsidRPr="00FA1BAA">
        <w:rPr>
          <w:rFonts w:ascii="Verdana" w:hAnsi="Verdana"/>
          <w:lang w:val="es-ES"/>
        </w:rPr>
        <w:t xml:space="preserve">Sánchez-León M, Blanco-Trujillo J, </w:t>
      </w:r>
      <w:proofErr w:type="spellStart"/>
      <w:r w:rsidRPr="00FA1BAA">
        <w:rPr>
          <w:rFonts w:ascii="Verdana" w:hAnsi="Verdana"/>
          <w:lang w:val="es-ES"/>
        </w:rPr>
        <w:t>Martinez-Valdes</w:t>
      </w:r>
      <w:proofErr w:type="spellEnd"/>
      <w:r w:rsidRPr="00FA1BAA">
        <w:rPr>
          <w:rFonts w:ascii="Verdana" w:hAnsi="Verdana"/>
          <w:lang w:val="es-ES"/>
        </w:rPr>
        <w:t xml:space="preserve"> LL, </w:t>
      </w:r>
      <w:proofErr w:type="spellStart"/>
      <w:r w:rsidRPr="00FA1BAA">
        <w:rPr>
          <w:rFonts w:ascii="Verdana" w:hAnsi="Verdana"/>
          <w:lang w:val="es-ES"/>
        </w:rPr>
        <w:t>Rodriguez</w:t>
      </w:r>
      <w:proofErr w:type="spellEnd"/>
      <w:r w:rsidRPr="00FA1BAA">
        <w:rPr>
          <w:rFonts w:ascii="Verdana" w:hAnsi="Verdana"/>
          <w:lang w:val="es-ES"/>
        </w:rPr>
        <w:t xml:space="preserve">-Porto AL.  Complicaciones clínicas en fallecidos por enfermedad cerebrovascular en el Hospital Calixto García.   </w:t>
      </w:r>
      <w:r w:rsidRPr="00FA1BAA">
        <w:rPr>
          <w:rFonts w:ascii="Verdana" w:hAnsi="Verdana"/>
        </w:rPr>
        <w:t xml:space="preserve">Rev Cub Med </w:t>
      </w:r>
      <w:proofErr w:type="spellStart"/>
      <w:r w:rsidRPr="00FA1BAA">
        <w:rPr>
          <w:rFonts w:ascii="Verdana" w:hAnsi="Verdana"/>
        </w:rPr>
        <w:t>Int</w:t>
      </w:r>
      <w:proofErr w:type="spellEnd"/>
      <w:r w:rsidRPr="00FA1BAA">
        <w:rPr>
          <w:rFonts w:ascii="Verdana" w:hAnsi="Verdana"/>
        </w:rPr>
        <w:t xml:space="preserve"> </w:t>
      </w:r>
      <w:proofErr w:type="spellStart"/>
      <w:r w:rsidRPr="00FA1BAA">
        <w:rPr>
          <w:rFonts w:ascii="Verdana" w:hAnsi="Verdana"/>
        </w:rPr>
        <w:t>Emerg</w:t>
      </w:r>
      <w:proofErr w:type="spellEnd"/>
      <w:r w:rsidRPr="00FA1BAA">
        <w:rPr>
          <w:rFonts w:ascii="Verdana" w:hAnsi="Verdana"/>
        </w:rPr>
        <w:t xml:space="preserve"> [Internet].2007 [</w:t>
      </w:r>
      <w:proofErr w:type="spellStart"/>
      <w:r w:rsidRPr="00FA1BAA">
        <w:rPr>
          <w:rFonts w:ascii="Verdana" w:hAnsi="Verdana"/>
        </w:rPr>
        <w:t>consultado</w:t>
      </w:r>
      <w:proofErr w:type="spellEnd"/>
      <w:r w:rsidRPr="00FA1BAA">
        <w:rPr>
          <w:rFonts w:ascii="Verdana" w:hAnsi="Verdana"/>
        </w:rPr>
        <w:t xml:space="preserve"> 01/07/2020]</w:t>
      </w:r>
      <w:proofErr w:type="gramStart"/>
      <w:r w:rsidRPr="00FA1BAA">
        <w:rPr>
          <w:rFonts w:ascii="Verdana" w:hAnsi="Verdana"/>
        </w:rPr>
        <w:t>;6</w:t>
      </w:r>
      <w:proofErr w:type="gramEnd"/>
      <w:r w:rsidRPr="00FA1BAA">
        <w:rPr>
          <w:rFonts w:ascii="Verdana" w:hAnsi="Verdana"/>
        </w:rPr>
        <w:t xml:space="preserve">(3):790-805. Disponible en: </w:t>
      </w:r>
      <w:r w:rsidRPr="00FA1BAA">
        <w:rPr>
          <w:rStyle w:val="Hipervnculo"/>
          <w:rFonts w:ascii="Verdana" w:hAnsi="Verdana"/>
        </w:rPr>
        <w:t>http://bvs.sld.cu/revistas/mie/vol6_3_07/mie03307.htm</w:t>
      </w:r>
    </w:p>
    <w:p w:rsidR="00F43D61" w:rsidRDefault="00F43D61"/>
    <w:sectPr w:rsidR="00F43D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FD0B14"/>
    <w:multiLevelType w:val="multilevel"/>
    <w:tmpl w:val="F3ACB000"/>
    <w:lvl w:ilvl="0">
      <w:start w:val="1"/>
      <w:numFmt w:val="decimal"/>
      <w:lvlText w:val="%1."/>
      <w:lvlJc w:val="left"/>
      <w:pPr>
        <w:ind w:left="720" w:hanging="360"/>
      </w:pPr>
      <w:rPr>
        <w:rFonts w:ascii="Verdana" w:hAnsi="Verdana" w:cs="Times New Roman"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AA"/>
    <w:rsid w:val="0089476C"/>
    <w:rsid w:val="008F0B90"/>
    <w:rsid w:val="00F43D61"/>
    <w:rsid w:val="00FA1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39FDC-C741-4AF9-9F44-3BC1C27E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FA1BAA"/>
    <w:pPr>
      <w:autoSpaceDE w:val="0"/>
      <w:autoSpaceDN w:val="0"/>
      <w:adjustRightInd w:val="0"/>
      <w:spacing w:before="100" w:beforeAutospacing="1" w:after="0" w:line="240" w:lineRule="auto"/>
    </w:pPr>
    <w:rPr>
      <w:rFonts w:ascii="Verdana" w:eastAsia="SimSun" w:hAnsi="Verdana" w:cs="Times New Roman"/>
      <w:color w:val="000000"/>
      <w:sz w:val="24"/>
      <w:szCs w:val="24"/>
      <w:lang w:val="en-US" w:eastAsia="zh-CN"/>
    </w:rPr>
  </w:style>
  <w:style w:type="character" w:customStyle="1" w:styleId="15">
    <w:name w:val="15"/>
    <w:rsid w:val="00FA1BAA"/>
    <w:rPr>
      <w:rFonts w:ascii="Calibri" w:hAnsi="Calibri" w:cs="Calibri" w:hint="default"/>
      <w:color w:val="0563C1"/>
      <w:u w:val="single"/>
    </w:rPr>
  </w:style>
  <w:style w:type="character" w:styleId="Hipervnculo">
    <w:name w:val="Hyperlink"/>
    <w:basedOn w:val="Fuentedeprrafopredeter"/>
    <w:uiPriority w:val="99"/>
    <w:unhideWhenUsed/>
    <w:rsid w:val="00FA1BAA"/>
    <w:rPr>
      <w:color w:val="0000FF"/>
      <w:u w:val="single"/>
    </w:rPr>
  </w:style>
  <w:style w:type="table" w:styleId="Tablaconcuadrcula">
    <w:name w:val="Table Grid"/>
    <w:basedOn w:val="Tablanormal"/>
    <w:uiPriority w:val="59"/>
    <w:rsid w:val="00FA1BAA"/>
    <w:pPr>
      <w:spacing w:after="0" w:line="240" w:lineRule="auto"/>
    </w:pPr>
    <w:rPr>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FA1BAA"/>
    <w:pPr>
      <w:ind w:left="720"/>
      <w:contextualSpacing/>
    </w:pPr>
    <w:rPr>
      <w:rFonts w:ascii="Calibri" w:eastAsia="Calibri" w:hAnsi="Calibri" w:cs="Times New Roman"/>
      <w:lang w:val="en-US"/>
    </w:rPr>
  </w:style>
  <w:style w:type="paragraph" w:customStyle="1" w:styleId="Prrafodelista3">
    <w:name w:val="Párrafo de lista3"/>
    <w:basedOn w:val="Normal"/>
    <w:uiPriority w:val="99"/>
    <w:rsid w:val="00FA1BAA"/>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cocmed.sld.cu/no101/n101ori1.htm" TargetMode="External"/><Relationship Id="rId18" Type="http://schemas.openxmlformats.org/officeDocument/2006/relationships/hyperlink" Target="https://doi.org/10.1007/978-3-030-28072-7_11" TargetMode="External"/><Relationship Id="rId3" Type="http://schemas.openxmlformats.org/officeDocument/2006/relationships/settings" Target="settings.xml"/><Relationship Id="rId21" Type="http://schemas.openxmlformats.org/officeDocument/2006/relationships/hyperlink" Target="http://dx.doi.org/10.4067/S0034-98872004000100002" TargetMode="External"/><Relationship Id="rId7" Type="http://schemas.openxmlformats.org/officeDocument/2006/relationships/chart" Target="charts/chart1.xml"/><Relationship Id="rId12" Type="http://schemas.openxmlformats.org/officeDocument/2006/relationships/hyperlink" Target="https://doi.org/10.1186/s13054-019-2718-9" TargetMode="External"/><Relationship Id="rId17" Type="http://schemas.openxmlformats.org/officeDocument/2006/relationships/hyperlink" Target="http://www.revinfcientifica.sld.cu/index.php/ric/article/view/249" TargetMode="External"/><Relationship Id="rId2" Type="http://schemas.openxmlformats.org/officeDocument/2006/relationships/styles" Target="styles.xml"/><Relationship Id="rId16" Type="http://schemas.openxmlformats.org/officeDocument/2006/relationships/hyperlink" Target="file:///C:\home\administrador\Documents\x\http:\www.revcocmed.sld.cu\index.php\cocmed\article\view\3071" TargetMode="External"/><Relationship Id="rId20" Type="http://schemas.openxmlformats.org/officeDocument/2006/relationships/hyperlink" Target="https://doi.org/10.1017/9781107587908" TargetMode="External"/><Relationship Id="rId1" Type="http://schemas.openxmlformats.org/officeDocument/2006/relationships/numbering" Target="numbering.xml"/><Relationship Id="rId6" Type="http://schemas.openxmlformats.org/officeDocument/2006/relationships/hyperlink" Target="mailto:asosa@infomed.sld.cu" TargetMode="External"/><Relationship Id="rId11" Type="http://schemas.openxmlformats.org/officeDocument/2006/relationships/hyperlink" Target="http://www.revhabanera.sld.cu/index.php/rhab/article/view/2182"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revfinlay.sld.cu/index.php/finlay/article/view/661" TargetMode="External"/><Relationship Id="rId23" Type="http://schemas.openxmlformats.org/officeDocument/2006/relationships/fontTable" Target="fontTable.xml"/><Relationship Id="rId10" Type="http://schemas.openxmlformats.org/officeDocument/2006/relationships/hyperlink" Target="https://doi.org/10.1186/s13054-018-1994-0" TargetMode="External"/><Relationship Id="rId19" Type="http://schemas.openxmlformats.org/officeDocument/2006/relationships/hyperlink" Target="https://doi.org/10.1186/s13613-020-00669-5" TargetMode="External"/><Relationship Id="rId4" Type="http://schemas.openxmlformats.org/officeDocument/2006/relationships/webSettings" Target="webSettings.xml"/><Relationship Id="rId9" Type="http://schemas.openxmlformats.org/officeDocument/2006/relationships/hyperlink" Target="http://dx.doi.org/10.1016/j.nec.2013.02.004" TargetMode="External"/><Relationship Id="rId14" Type="http://schemas.openxmlformats.org/officeDocument/2006/relationships/hyperlink" Target="http://revcmpinar.sld.cu/index.php/publicaciones/article/view/4188" TargetMode="External"/><Relationship Id="rId22" Type="http://schemas.openxmlformats.org/officeDocument/2006/relationships/hyperlink" Target="http://dx.doi.org/10.1016/j.jns.2013.11.00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s-MX" sz="1800" b="1" i="0" u="none" strike="noStrike" kern="1200" baseline="0">
                <a:solidFill>
                  <a:schemeClr val="tx1"/>
                </a:solidFill>
                <a:latin typeface="+mn-lt"/>
                <a:ea typeface="+mn-ea"/>
                <a:cs typeface="+mn-cs"/>
              </a:defRPr>
            </a:pPr>
            <a:r>
              <a:rPr lang="es-MX" sz="1100" b="0">
                <a:latin typeface="Verdana" panose="020B0604030504040204" pitchFamily="34" charset="0"/>
                <a:ea typeface="Verdana" panose="020B0604030504040204" pitchFamily="34" charset="0"/>
                <a:cs typeface="Times New Roman" panose="02020603050405020304" pitchFamily="18" charset="0"/>
              </a:rPr>
              <a:t>Gráfico 1: Ausencia de reflejos de tallo encefálico según tipo de ACV</a:t>
            </a:r>
          </a:p>
        </c:rich>
      </c:tx>
      <c:layout>
        <c:manualLayout>
          <c:xMode val="edge"/>
          <c:yMode val="edge"/>
          <c:x val="0.11420027042074316"/>
          <c:y val="2.8544222669840729E-2"/>
        </c:manualLayout>
      </c:layout>
      <c:overlay val="0"/>
    </c:title>
    <c:autoTitleDeleted val="0"/>
    <c:plotArea>
      <c:layout/>
      <c:barChart>
        <c:barDir val="col"/>
        <c:grouping val="clustered"/>
        <c:varyColors val="0"/>
        <c:ser>
          <c:idx val="0"/>
          <c:order val="0"/>
          <c:tx>
            <c:strRef>
              <c:f>Hoja1!$B$1</c:f>
              <c:strCache>
                <c:ptCount val="1"/>
                <c:pt idx="0">
                  <c:v>Isquémicos</c:v>
                </c:pt>
              </c:strCache>
            </c:strRef>
          </c:tx>
          <c:invertIfNegative val="0"/>
          <c:cat>
            <c:strRef>
              <c:f>Hoja1!$A$2:$A$5</c:f>
              <c:strCache>
                <c:ptCount val="4"/>
                <c:pt idx="0">
                  <c:v>Pupilar</c:v>
                </c:pt>
                <c:pt idx="1">
                  <c:v>Corneal</c:v>
                </c:pt>
                <c:pt idx="2">
                  <c:v>Oculocefalogiro</c:v>
                </c:pt>
                <c:pt idx="3">
                  <c:v>Tos/Succión</c:v>
                </c:pt>
              </c:strCache>
            </c:strRef>
          </c:cat>
          <c:val>
            <c:numRef>
              <c:f>Hoja1!$B$2:$B$5</c:f>
              <c:numCache>
                <c:formatCode>General</c:formatCode>
                <c:ptCount val="4"/>
                <c:pt idx="0">
                  <c:v>4</c:v>
                </c:pt>
                <c:pt idx="1">
                  <c:v>3</c:v>
                </c:pt>
                <c:pt idx="2">
                  <c:v>1</c:v>
                </c:pt>
                <c:pt idx="3">
                  <c:v>1</c:v>
                </c:pt>
              </c:numCache>
            </c:numRef>
          </c:val>
        </c:ser>
        <c:ser>
          <c:idx val="1"/>
          <c:order val="1"/>
          <c:tx>
            <c:strRef>
              <c:f>Hoja1!$C$1</c:f>
              <c:strCache>
                <c:ptCount val="1"/>
                <c:pt idx="0">
                  <c:v>HIC</c:v>
                </c:pt>
              </c:strCache>
            </c:strRef>
          </c:tx>
          <c:invertIfNegative val="0"/>
          <c:cat>
            <c:strRef>
              <c:f>Hoja1!$A$2:$A$5</c:f>
              <c:strCache>
                <c:ptCount val="4"/>
                <c:pt idx="0">
                  <c:v>Pupilar</c:v>
                </c:pt>
                <c:pt idx="1">
                  <c:v>Corneal</c:v>
                </c:pt>
                <c:pt idx="2">
                  <c:v>Oculocefalogiro</c:v>
                </c:pt>
                <c:pt idx="3">
                  <c:v>Tos/Succión</c:v>
                </c:pt>
              </c:strCache>
            </c:strRef>
          </c:cat>
          <c:val>
            <c:numRef>
              <c:f>Hoja1!$C$2:$C$5</c:f>
              <c:numCache>
                <c:formatCode>General</c:formatCode>
                <c:ptCount val="4"/>
                <c:pt idx="0">
                  <c:v>7</c:v>
                </c:pt>
                <c:pt idx="1">
                  <c:v>4</c:v>
                </c:pt>
                <c:pt idx="2">
                  <c:v>1</c:v>
                </c:pt>
                <c:pt idx="3">
                  <c:v>1</c:v>
                </c:pt>
              </c:numCache>
            </c:numRef>
          </c:val>
        </c:ser>
        <c:ser>
          <c:idx val="2"/>
          <c:order val="2"/>
          <c:tx>
            <c:strRef>
              <c:f>Hoja1!$D$1</c:f>
              <c:strCache>
                <c:ptCount val="1"/>
                <c:pt idx="0">
                  <c:v>HSA</c:v>
                </c:pt>
              </c:strCache>
            </c:strRef>
          </c:tx>
          <c:invertIfNegative val="0"/>
          <c:cat>
            <c:strRef>
              <c:f>Hoja1!$A$2:$A$5</c:f>
              <c:strCache>
                <c:ptCount val="4"/>
                <c:pt idx="0">
                  <c:v>Pupilar</c:v>
                </c:pt>
                <c:pt idx="1">
                  <c:v>Corneal</c:v>
                </c:pt>
                <c:pt idx="2">
                  <c:v>Oculocefalogiro</c:v>
                </c:pt>
                <c:pt idx="3">
                  <c:v>Tos/Succión</c:v>
                </c:pt>
              </c:strCache>
            </c:strRef>
          </c:cat>
          <c:val>
            <c:numRef>
              <c:f>Hoja1!$D$2:$D$5</c:f>
              <c:numCache>
                <c:formatCode>General</c:formatCode>
                <c:ptCount val="4"/>
                <c:pt idx="0">
                  <c:v>6</c:v>
                </c:pt>
                <c:pt idx="1">
                  <c:v>2</c:v>
                </c:pt>
                <c:pt idx="2">
                  <c:v>1</c:v>
                </c:pt>
                <c:pt idx="3">
                  <c:v>1</c:v>
                </c:pt>
              </c:numCache>
            </c:numRef>
          </c:val>
        </c:ser>
        <c:ser>
          <c:idx val="3"/>
          <c:order val="3"/>
          <c:tx>
            <c:strRef>
              <c:f>Hoja1!$E$1</c:f>
              <c:strCache>
                <c:ptCount val="1"/>
                <c:pt idx="0">
                  <c:v>HCM</c:v>
                </c:pt>
              </c:strCache>
            </c:strRef>
          </c:tx>
          <c:invertIfNegative val="0"/>
          <c:cat>
            <c:strRef>
              <c:f>Hoja1!$A$2:$A$5</c:f>
              <c:strCache>
                <c:ptCount val="4"/>
                <c:pt idx="0">
                  <c:v>Pupilar</c:v>
                </c:pt>
                <c:pt idx="1">
                  <c:v>Corneal</c:v>
                </c:pt>
                <c:pt idx="2">
                  <c:v>Oculocefalogiro</c:v>
                </c:pt>
                <c:pt idx="3">
                  <c:v>Tos/Succión</c:v>
                </c:pt>
              </c:strCache>
            </c:strRef>
          </c:cat>
          <c:val>
            <c:numRef>
              <c:f>Hoja1!$E$2:$E$5</c:f>
              <c:numCache>
                <c:formatCode>General</c:formatCode>
                <c:ptCount val="4"/>
                <c:pt idx="0">
                  <c:v>6</c:v>
                </c:pt>
                <c:pt idx="1">
                  <c:v>4</c:v>
                </c:pt>
                <c:pt idx="2">
                  <c:v>2</c:v>
                </c:pt>
              </c:numCache>
            </c:numRef>
          </c:val>
        </c:ser>
        <c:dLbls>
          <c:showLegendKey val="0"/>
          <c:showVal val="0"/>
          <c:showCatName val="0"/>
          <c:showSerName val="0"/>
          <c:showPercent val="0"/>
          <c:showBubbleSize val="0"/>
        </c:dLbls>
        <c:gapWidth val="150"/>
        <c:axId val="-958837808"/>
        <c:axId val="-1055294624"/>
      </c:barChart>
      <c:catAx>
        <c:axId val="-958837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s-MX" sz="1000" b="0" i="0" u="none" strike="noStrike" kern="1200" baseline="0">
                <a:solidFill>
                  <a:schemeClr val="tx1"/>
                </a:solidFill>
                <a:latin typeface="+mn-lt"/>
                <a:ea typeface="+mn-ea"/>
                <a:cs typeface="+mn-cs"/>
              </a:defRPr>
            </a:pPr>
            <a:endParaRPr lang="es-MX"/>
          </a:p>
        </c:txPr>
        <c:crossAx val="-1055294624"/>
        <c:crosses val="autoZero"/>
        <c:auto val="1"/>
        <c:lblAlgn val="ctr"/>
        <c:lblOffset val="100"/>
        <c:noMultiLvlLbl val="0"/>
      </c:catAx>
      <c:valAx>
        <c:axId val="-1055294624"/>
        <c:scaling>
          <c:orientation val="minMax"/>
        </c:scaling>
        <c:delete val="0"/>
        <c:axPos val="l"/>
        <c:majorGridlines/>
        <c:title>
          <c:tx>
            <c:rich>
              <a:bodyPr rot="-5400000" spcFirstLastPara="0" vertOverflow="ellipsis" vert="horz" wrap="square" anchor="ctr" anchorCtr="1"/>
              <a:lstStyle/>
              <a:p>
                <a:pPr>
                  <a:defRPr lang="es-MX" sz="1200" b="0" i="0" u="none" strike="noStrike" kern="1200" baseline="0">
                    <a:solidFill>
                      <a:srgbClr val="000000"/>
                    </a:solidFill>
                    <a:latin typeface="Arial" panose="020B0604020202020204"/>
                    <a:ea typeface="Arial" panose="020B0604020202020204"/>
                    <a:cs typeface="Arial" panose="020B0604020202020204"/>
                  </a:defRPr>
                </a:pPr>
                <a:r>
                  <a:rPr lang="es-MX" sz="1100">
                    <a:latin typeface="Verdana" panose="020B0604030504040204" pitchFamily="34" charset="0"/>
                    <a:ea typeface="Verdana" panose="020B0604030504040204" pitchFamily="34" charset="0"/>
                    <a:cs typeface="Times New Roman" panose="02020603050405020304" pitchFamily="18" charset="0"/>
                  </a:rPr>
                  <a:t>Número de pacientes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s-MX" sz="1000" b="0" i="0" u="none" strike="noStrike" kern="1200" baseline="0">
                <a:solidFill>
                  <a:schemeClr val="tx1"/>
                </a:solidFill>
                <a:latin typeface="+mn-lt"/>
                <a:ea typeface="+mn-ea"/>
                <a:cs typeface="+mn-cs"/>
              </a:defRPr>
            </a:pPr>
            <a:endParaRPr lang="es-MX"/>
          </a:p>
        </c:txPr>
        <c:crossAx val="-958837808"/>
        <c:crosses val="autoZero"/>
        <c:crossBetween val="between"/>
      </c:valAx>
      <c:spPr>
        <a:noFill/>
        <a:ln w="25386">
          <a:noFill/>
        </a:ln>
      </c:spPr>
    </c:plotArea>
    <c:legend>
      <c:legendPos val="r"/>
      <c:overlay val="0"/>
      <c:txPr>
        <a:bodyPr rot="0" spcFirstLastPara="0" vertOverflow="ellipsis" vert="horz" wrap="square" anchor="ctr" anchorCtr="1"/>
        <a:lstStyle/>
        <a:p>
          <a:pPr>
            <a:defRPr lang="es-MX" sz="1000" b="0" i="0" u="none" strike="noStrike" kern="1200" baseline="0">
              <a:solidFill>
                <a:schemeClr val="tx1"/>
              </a:solidFill>
              <a:latin typeface="+mn-lt"/>
              <a:ea typeface="+mn-ea"/>
              <a:cs typeface="+mn-cs"/>
            </a:defRPr>
          </a:pPr>
          <a:endParaRPr lang="es-MX"/>
        </a:p>
      </c:txPr>
    </c:legend>
    <c:plotVisOnly val="1"/>
    <c:dispBlanksAs val="gap"/>
    <c:showDLblsOverMax val="0"/>
  </c:chart>
  <c:txPr>
    <a:bodyPr/>
    <a:lstStyle/>
    <a:p>
      <a:pPr>
        <a:defRPr lang="es-ES"/>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s-MX" sz="1800" b="1" i="0" u="none" strike="noStrike" kern="1200" baseline="0">
                <a:solidFill>
                  <a:schemeClr val="tx1"/>
                </a:solidFill>
                <a:latin typeface="+mn-lt"/>
                <a:ea typeface="+mn-ea"/>
                <a:cs typeface="+mn-cs"/>
              </a:defRPr>
            </a:pPr>
            <a:r>
              <a:rPr lang="es-MX" sz="1100" b="0">
                <a:latin typeface="Verdana" panose="020B0604030504040204" pitchFamily="34" charset="0"/>
                <a:ea typeface="Verdana" panose="020B0604030504040204" pitchFamily="34" charset="0"/>
                <a:cs typeface="Times New Roman" panose="02020603050405020304" pitchFamily="18" charset="0"/>
              </a:rPr>
              <a:t>Gráfico 2: Variables neurológicas y complicaciones según tipo de ACV</a:t>
            </a:r>
          </a:p>
        </c:rich>
      </c:tx>
      <c:layout>
        <c:manualLayout>
          <c:xMode val="edge"/>
          <c:yMode val="edge"/>
          <c:x val="0.11420029527559111"/>
          <c:y val="2.8544376397394797E-2"/>
        </c:manualLayout>
      </c:layout>
      <c:overlay val="0"/>
    </c:title>
    <c:autoTitleDeleted val="0"/>
    <c:plotArea>
      <c:layout/>
      <c:barChart>
        <c:barDir val="col"/>
        <c:grouping val="clustered"/>
        <c:varyColors val="0"/>
        <c:ser>
          <c:idx val="0"/>
          <c:order val="0"/>
          <c:tx>
            <c:strRef>
              <c:f>Hoja1!$B$1</c:f>
              <c:strCache>
                <c:ptCount val="1"/>
                <c:pt idx="0">
                  <c:v>Isquémicos</c:v>
                </c:pt>
              </c:strCache>
            </c:strRef>
          </c:tx>
          <c:invertIfNegative val="0"/>
          <c:cat>
            <c:strRef>
              <c:f>Hoja1!$A$2:$A$7</c:f>
              <c:strCache>
                <c:ptCount val="6"/>
                <c:pt idx="0">
                  <c:v>Anisocoria</c:v>
                </c:pt>
                <c:pt idx="1">
                  <c:v>GCS &lt; 8ptos</c:v>
                </c:pt>
                <c:pt idx="2">
                  <c:v>HEC</c:v>
                </c:pt>
                <c:pt idx="3">
                  <c:v>Convulsiones</c:v>
                </c:pt>
                <c:pt idx="4">
                  <c:v>Resangrado</c:v>
                </c:pt>
                <c:pt idx="5">
                  <c:v>Transformación hemorrágica</c:v>
                </c:pt>
              </c:strCache>
            </c:strRef>
          </c:cat>
          <c:val>
            <c:numRef>
              <c:f>Hoja1!$B$2:$B$7</c:f>
              <c:numCache>
                <c:formatCode>General</c:formatCode>
                <c:ptCount val="6"/>
                <c:pt idx="0">
                  <c:v>4</c:v>
                </c:pt>
                <c:pt idx="1">
                  <c:v>4</c:v>
                </c:pt>
                <c:pt idx="2">
                  <c:v>2</c:v>
                </c:pt>
                <c:pt idx="3">
                  <c:v>3</c:v>
                </c:pt>
                <c:pt idx="5">
                  <c:v>2</c:v>
                </c:pt>
              </c:numCache>
            </c:numRef>
          </c:val>
        </c:ser>
        <c:ser>
          <c:idx val="1"/>
          <c:order val="1"/>
          <c:tx>
            <c:strRef>
              <c:f>Hoja1!$C$1</c:f>
              <c:strCache>
                <c:ptCount val="1"/>
                <c:pt idx="0">
                  <c:v>HIC</c:v>
                </c:pt>
              </c:strCache>
            </c:strRef>
          </c:tx>
          <c:invertIfNegative val="0"/>
          <c:cat>
            <c:strRef>
              <c:f>Hoja1!$A$2:$A$7</c:f>
              <c:strCache>
                <c:ptCount val="6"/>
                <c:pt idx="0">
                  <c:v>Anisocoria</c:v>
                </c:pt>
                <c:pt idx="1">
                  <c:v>GCS &lt; 8ptos</c:v>
                </c:pt>
                <c:pt idx="2">
                  <c:v>HEC</c:v>
                </c:pt>
                <c:pt idx="3">
                  <c:v>Convulsiones</c:v>
                </c:pt>
                <c:pt idx="4">
                  <c:v>Resangrado</c:v>
                </c:pt>
                <c:pt idx="5">
                  <c:v>Transformación hemorrágica</c:v>
                </c:pt>
              </c:strCache>
            </c:strRef>
          </c:cat>
          <c:val>
            <c:numRef>
              <c:f>Hoja1!$C$2:$C$7</c:f>
              <c:numCache>
                <c:formatCode>General</c:formatCode>
                <c:ptCount val="6"/>
                <c:pt idx="0">
                  <c:v>10</c:v>
                </c:pt>
                <c:pt idx="1">
                  <c:v>10</c:v>
                </c:pt>
                <c:pt idx="2">
                  <c:v>9</c:v>
                </c:pt>
                <c:pt idx="3">
                  <c:v>2</c:v>
                </c:pt>
                <c:pt idx="5">
                  <c:v>1</c:v>
                </c:pt>
              </c:numCache>
            </c:numRef>
          </c:val>
        </c:ser>
        <c:ser>
          <c:idx val="2"/>
          <c:order val="2"/>
          <c:tx>
            <c:strRef>
              <c:f>Hoja1!$D$1</c:f>
              <c:strCache>
                <c:ptCount val="1"/>
                <c:pt idx="0">
                  <c:v>HSA</c:v>
                </c:pt>
              </c:strCache>
            </c:strRef>
          </c:tx>
          <c:invertIfNegative val="0"/>
          <c:cat>
            <c:strRef>
              <c:f>Hoja1!$A$2:$A$7</c:f>
              <c:strCache>
                <c:ptCount val="6"/>
                <c:pt idx="0">
                  <c:v>Anisocoria</c:v>
                </c:pt>
                <c:pt idx="1">
                  <c:v>GCS &lt; 8ptos</c:v>
                </c:pt>
                <c:pt idx="2">
                  <c:v>HEC</c:v>
                </c:pt>
                <c:pt idx="3">
                  <c:v>Convulsiones</c:v>
                </c:pt>
                <c:pt idx="4">
                  <c:v>Resangrado</c:v>
                </c:pt>
                <c:pt idx="5">
                  <c:v>Transformación hemorrágica</c:v>
                </c:pt>
              </c:strCache>
            </c:strRef>
          </c:cat>
          <c:val>
            <c:numRef>
              <c:f>Hoja1!$D$2:$D$7</c:f>
              <c:numCache>
                <c:formatCode>General</c:formatCode>
                <c:ptCount val="6"/>
                <c:pt idx="0">
                  <c:v>5</c:v>
                </c:pt>
                <c:pt idx="1">
                  <c:v>4</c:v>
                </c:pt>
                <c:pt idx="2">
                  <c:v>4</c:v>
                </c:pt>
                <c:pt idx="3">
                  <c:v>4</c:v>
                </c:pt>
                <c:pt idx="4">
                  <c:v>1</c:v>
                </c:pt>
              </c:numCache>
            </c:numRef>
          </c:val>
        </c:ser>
        <c:ser>
          <c:idx val="3"/>
          <c:order val="3"/>
          <c:tx>
            <c:strRef>
              <c:f>Hoja1!$E$1</c:f>
              <c:strCache>
                <c:ptCount val="1"/>
                <c:pt idx="0">
                  <c:v>HCM</c:v>
                </c:pt>
              </c:strCache>
            </c:strRef>
          </c:tx>
          <c:invertIfNegative val="0"/>
          <c:cat>
            <c:strRef>
              <c:f>Hoja1!$A$2:$A$7</c:f>
              <c:strCache>
                <c:ptCount val="6"/>
                <c:pt idx="0">
                  <c:v>Anisocoria</c:v>
                </c:pt>
                <c:pt idx="1">
                  <c:v>GCS &lt; 8ptos</c:v>
                </c:pt>
                <c:pt idx="2">
                  <c:v>HEC</c:v>
                </c:pt>
                <c:pt idx="3">
                  <c:v>Convulsiones</c:v>
                </c:pt>
                <c:pt idx="4">
                  <c:v>Resangrado</c:v>
                </c:pt>
                <c:pt idx="5">
                  <c:v>Transformación hemorrágica</c:v>
                </c:pt>
              </c:strCache>
            </c:strRef>
          </c:cat>
          <c:val>
            <c:numRef>
              <c:f>Hoja1!$E$2:$E$7</c:f>
              <c:numCache>
                <c:formatCode>General</c:formatCode>
                <c:ptCount val="6"/>
                <c:pt idx="0">
                  <c:v>3</c:v>
                </c:pt>
                <c:pt idx="1">
                  <c:v>3</c:v>
                </c:pt>
                <c:pt idx="2">
                  <c:v>5</c:v>
                </c:pt>
                <c:pt idx="3">
                  <c:v>1</c:v>
                </c:pt>
              </c:numCache>
            </c:numRef>
          </c:val>
        </c:ser>
        <c:dLbls>
          <c:showLegendKey val="0"/>
          <c:showVal val="0"/>
          <c:showCatName val="0"/>
          <c:showSerName val="0"/>
          <c:showPercent val="0"/>
          <c:showBubbleSize val="0"/>
        </c:dLbls>
        <c:gapWidth val="150"/>
        <c:axId val="-366726000"/>
        <c:axId val="-366735792"/>
      </c:barChart>
      <c:catAx>
        <c:axId val="-36672600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s-MX" sz="1000" b="0" i="0" u="none" strike="noStrike" kern="1200" baseline="0">
                <a:solidFill>
                  <a:schemeClr val="tx1"/>
                </a:solidFill>
                <a:latin typeface="+mn-lt"/>
                <a:ea typeface="+mn-ea"/>
                <a:cs typeface="+mn-cs"/>
              </a:defRPr>
            </a:pPr>
            <a:endParaRPr lang="es-MX"/>
          </a:p>
        </c:txPr>
        <c:crossAx val="-366735792"/>
        <c:crosses val="autoZero"/>
        <c:auto val="1"/>
        <c:lblAlgn val="ctr"/>
        <c:lblOffset val="100"/>
        <c:noMultiLvlLbl val="0"/>
      </c:catAx>
      <c:valAx>
        <c:axId val="-366735792"/>
        <c:scaling>
          <c:orientation val="minMax"/>
        </c:scaling>
        <c:delete val="0"/>
        <c:axPos val="l"/>
        <c:majorGridlines/>
        <c:title>
          <c:tx>
            <c:rich>
              <a:bodyPr rot="-5400000" spcFirstLastPara="0" vertOverflow="ellipsis" vert="horz" wrap="square" anchor="ctr" anchorCtr="1"/>
              <a:lstStyle/>
              <a:p>
                <a:pPr>
                  <a:defRPr lang="es-MX" sz="1200" b="0" i="0" u="none" strike="noStrike" kern="1200" baseline="0">
                    <a:solidFill>
                      <a:srgbClr val="000000"/>
                    </a:solidFill>
                    <a:latin typeface="Arial" panose="020B0604020202020204"/>
                    <a:ea typeface="Arial" panose="020B0604020202020204"/>
                    <a:cs typeface="Arial" panose="020B0604020202020204"/>
                  </a:defRPr>
                </a:pPr>
                <a:r>
                  <a:rPr lang="es-MX" sz="1100">
                    <a:latin typeface="Verdana" panose="020B0604030504040204" pitchFamily="34" charset="0"/>
                    <a:ea typeface="Verdana" panose="020B0604030504040204" pitchFamily="34" charset="0"/>
                    <a:cs typeface="Times New Roman" panose="02020603050405020304" pitchFamily="18" charset="0"/>
                  </a:rPr>
                  <a:t>Número de pacientes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s-MX" sz="1000" b="0" i="0" u="none" strike="noStrike" kern="1200" baseline="0">
                <a:solidFill>
                  <a:schemeClr val="tx1"/>
                </a:solidFill>
                <a:latin typeface="+mn-lt"/>
                <a:ea typeface="+mn-ea"/>
                <a:cs typeface="+mn-cs"/>
              </a:defRPr>
            </a:pPr>
            <a:endParaRPr lang="es-MX"/>
          </a:p>
        </c:txPr>
        <c:crossAx val="-366726000"/>
        <c:crosses val="autoZero"/>
        <c:crossBetween val="between"/>
      </c:valAx>
      <c:spPr>
        <a:noFill/>
        <a:ln w="25408">
          <a:noFill/>
        </a:ln>
      </c:spPr>
    </c:plotArea>
    <c:legend>
      <c:legendPos val="r"/>
      <c:overlay val="0"/>
      <c:txPr>
        <a:bodyPr rot="0" spcFirstLastPara="0" vertOverflow="ellipsis" vert="horz" wrap="square" anchor="ctr" anchorCtr="1"/>
        <a:lstStyle/>
        <a:p>
          <a:pPr>
            <a:defRPr lang="es-MX" sz="1000" b="0" i="0" u="none" strike="noStrike" kern="1200" baseline="0">
              <a:solidFill>
                <a:schemeClr val="tx1"/>
              </a:solidFill>
              <a:latin typeface="+mn-lt"/>
              <a:ea typeface="+mn-ea"/>
              <a:cs typeface="+mn-cs"/>
            </a:defRPr>
          </a:pPr>
          <a:endParaRPr lang="es-MX"/>
        </a:p>
      </c:txPr>
    </c:legend>
    <c:plotVisOnly val="1"/>
    <c:dispBlanksAs val="gap"/>
    <c:showDLblsOverMax val="0"/>
  </c:chart>
  <c:txPr>
    <a:bodyPr/>
    <a:lstStyle/>
    <a:p>
      <a:pPr>
        <a:defRPr lang="es-ES"/>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4253</Words>
  <Characters>23395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arielsr</dc:creator>
  <cp:keywords/>
  <dc:description/>
  <cp:lastModifiedBy>Usuario de Windows</cp:lastModifiedBy>
  <cp:revision>4</cp:revision>
  <cp:lastPrinted>2022-11-12T08:56:00Z</cp:lastPrinted>
  <dcterms:created xsi:type="dcterms:W3CDTF">2022-11-12T08:39:00Z</dcterms:created>
  <dcterms:modified xsi:type="dcterms:W3CDTF">2022-12-13T19:04:00Z</dcterms:modified>
</cp:coreProperties>
</file>