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15E" w:rsidRPr="00DD715E" w:rsidRDefault="00DD715E" w:rsidP="00DD715E">
      <w:pPr>
        <w:spacing w:after="80" w:line="360" w:lineRule="auto"/>
        <w:jc w:val="center"/>
        <w:rPr>
          <w:rFonts w:ascii="Verdana" w:hAnsi="Verdana" w:cs="Arial"/>
          <w:b/>
          <w:sz w:val="24"/>
          <w:szCs w:val="24"/>
        </w:rPr>
      </w:pPr>
      <w:bookmarkStart w:id="0" w:name="_Hlk120562109"/>
      <w:r w:rsidRPr="00DD715E">
        <w:rPr>
          <w:rFonts w:ascii="Verdana" w:hAnsi="Verdana"/>
          <w:b/>
          <w:sz w:val="24"/>
          <w:szCs w:val="24"/>
        </w:rPr>
        <w:t>VI Congreso virtual de Ciencias Morfológicas.</w:t>
      </w:r>
      <w:r w:rsidRPr="00DD715E">
        <w:rPr>
          <w:rFonts w:ascii="Verdana" w:hAnsi="Verdana" w:cs="Arial"/>
          <w:b/>
          <w:sz w:val="24"/>
          <w:szCs w:val="24"/>
        </w:rPr>
        <w:t xml:space="preserve"> </w:t>
      </w:r>
      <w:r w:rsidRPr="00DD715E">
        <w:rPr>
          <w:rFonts w:ascii="Verdana" w:hAnsi="Verdana" w:cs="Arial"/>
          <w:b/>
          <w:sz w:val="24"/>
          <w:szCs w:val="24"/>
        </w:rPr>
        <w:t>Morfovirtual 2022</w:t>
      </w:r>
      <w:bookmarkStart w:id="1" w:name="_GoBack"/>
      <w:bookmarkEnd w:id="1"/>
    </w:p>
    <w:p w:rsidR="00DD715E" w:rsidRPr="00DD715E" w:rsidRDefault="00DD715E" w:rsidP="00DD715E">
      <w:pPr>
        <w:spacing w:after="0" w:line="360" w:lineRule="auto"/>
        <w:ind w:left="-425"/>
        <w:jc w:val="center"/>
        <w:rPr>
          <w:rFonts w:ascii="Verdana" w:hAnsi="Verdana"/>
          <w:b/>
          <w:sz w:val="24"/>
          <w:szCs w:val="24"/>
        </w:rPr>
      </w:pPr>
      <w:r w:rsidRPr="00DD715E">
        <w:rPr>
          <w:rFonts w:ascii="Verdana" w:hAnsi="Verdana"/>
          <w:b/>
          <w:sz w:val="24"/>
          <w:szCs w:val="24"/>
        </w:rPr>
        <w:t>VI</w:t>
      </w:r>
      <w:r w:rsidRPr="00DD715E">
        <w:rPr>
          <w:rFonts w:ascii="Verdana" w:hAnsi="Verdana"/>
          <w:b/>
          <w:sz w:val="24"/>
          <w:szCs w:val="24"/>
        </w:rPr>
        <w:t xml:space="preserve"> Jornada Científica de la Cátedra Santiago Ramón y Cajal.</w:t>
      </w:r>
    </w:p>
    <w:p w:rsidR="00A27C82" w:rsidRPr="00DD715E" w:rsidRDefault="00A27C82" w:rsidP="00A27C82">
      <w:pPr>
        <w:spacing w:after="80" w:line="360" w:lineRule="auto"/>
        <w:jc w:val="center"/>
        <w:rPr>
          <w:rFonts w:ascii="Verdana" w:hAnsi="Verdana" w:cs="Arial"/>
          <w:b/>
          <w:sz w:val="24"/>
          <w:szCs w:val="24"/>
        </w:rPr>
      </w:pPr>
    </w:p>
    <w:p w:rsidR="001D0439" w:rsidRDefault="00A46BFB" w:rsidP="001D0439">
      <w:pPr>
        <w:spacing w:after="80" w:line="360" w:lineRule="auto"/>
        <w:jc w:val="center"/>
        <w:rPr>
          <w:rFonts w:ascii="Verdana" w:hAnsi="Verdana" w:cs="Arial"/>
          <w:b/>
          <w:sz w:val="28"/>
          <w:szCs w:val="24"/>
        </w:rPr>
      </w:pPr>
      <w:r w:rsidRPr="00DD715E">
        <w:rPr>
          <w:rFonts w:ascii="Verdana" w:hAnsi="Verdana" w:cs="Arial"/>
          <w:b/>
          <w:sz w:val="28"/>
          <w:szCs w:val="24"/>
        </w:rPr>
        <w:t>CALIDAD DE VIDA EN ESTUDIANTES UNIVERSITARIOS: PERCEPCIÓN DEL ESTADO FÍSICO Y MENTAL Y REALIDAD ANTROPOMÉTRICA.</w:t>
      </w:r>
    </w:p>
    <w:p w:rsidR="00E2033D" w:rsidRPr="001D0439" w:rsidRDefault="001D0439" w:rsidP="001D0439">
      <w:pPr>
        <w:spacing w:after="80" w:line="360" w:lineRule="auto"/>
        <w:jc w:val="center"/>
        <w:rPr>
          <w:rFonts w:ascii="Verdana" w:hAnsi="Verdana" w:cs="Arial"/>
          <w:b/>
          <w:sz w:val="28"/>
          <w:szCs w:val="24"/>
          <w:lang w:val="en-US"/>
        </w:rPr>
      </w:pPr>
      <w:r w:rsidRPr="001D0439">
        <w:rPr>
          <w:rFonts w:ascii="Verdana" w:hAnsi="Verdana" w:cs="Arial"/>
          <w:sz w:val="28"/>
          <w:szCs w:val="24"/>
          <w:lang w:val="en-US"/>
        </w:rPr>
        <w:t>QUALITY OF LIFE IN UNIVERSITY STUDENTS: PERCEPTION OF PHYSICAL AND MENTAL STATE AND ANTHROPOMETRIC REALITY</w:t>
      </w:r>
    </w:p>
    <w:p w:rsidR="00C07897" w:rsidRPr="001D0439" w:rsidRDefault="00C07897" w:rsidP="00C07897">
      <w:pPr>
        <w:spacing w:after="80" w:line="360" w:lineRule="auto"/>
        <w:jc w:val="center"/>
        <w:rPr>
          <w:rFonts w:ascii="Verdana" w:hAnsi="Verdana" w:cs="Arial"/>
          <w:sz w:val="24"/>
          <w:szCs w:val="24"/>
          <w:lang w:val="en-US"/>
        </w:rPr>
      </w:pPr>
    </w:p>
    <w:p w:rsidR="00E86261" w:rsidRPr="00E7589C" w:rsidRDefault="00FA5795" w:rsidP="00FE5D14">
      <w:pPr>
        <w:spacing w:after="80" w:line="360" w:lineRule="auto"/>
        <w:ind w:left="567" w:hanging="568"/>
        <w:jc w:val="both"/>
        <w:rPr>
          <w:rFonts w:ascii="Verdana" w:hAnsi="Verdana" w:cs="Arial"/>
        </w:rPr>
      </w:pPr>
      <w:r w:rsidRPr="00E7589C">
        <w:rPr>
          <w:rFonts w:ascii="Verdana" w:hAnsi="Verdana" w:cs="Arial"/>
          <w:b/>
        </w:rPr>
        <w:t>Autores:</w:t>
      </w:r>
      <w:r w:rsidRPr="00E7589C">
        <w:rPr>
          <w:rFonts w:ascii="Verdana" w:hAnsi="Verdana" w:cs="Arial"/>
        </w:rPr>
        <w:t xml:space="preserve"> </w:t>
      </w:r>
    </w:p>
    <w:p w:rsidR="003B66B8" w:rsidRPr="00E7589C" w:rsidRDefault="00FA5795" w:rsidP="00FE5D14">
      <w:pPr>
        <w:spacing w:after="80" w:line="360" w:lineRule="auto"/>
        <w:ind w:left="567" w:hanging="568"/>
        <w:jc w:val="both"/>
        <w:rPr>
          <w:rFonts w:ascii="Verdana" w:hAnsi="Verdana" w:cs="Arial"/>
        </w:rPr>
      </w:pPr>
      <w:r w:rsidRPr="00E7589C">
        <w:rPr>
          <w:rFonts w:ascii="Verdana" w:hAnsi="Verdana" w:cs="Arial"/>
        </w:rPr>
        <w:t>Sandra</w:t>
      </w:r>
      <w:r w:rsidR="003B66B8" w:rsidRPr="00E7589C">
        <w:rPr>
          <w:rFonts w:ascii="Verdana" w:hAnsi="Verdana" w:cs="Arial"/>
        </w:rPr>
        <w:t>,</w:t>
      </w:r>
      <w:r w:rsidRPr="00E7589C">
        <w:rPr>
          <w:rFonts w:ascii="Verdana" w:hAnsi="Verdana" w:cs="Arial"/>
        </w:rPr>
        <w:t xml:space="preserve"> Bahr Ulloa</w:t>
      </w:r>
      <w:r w:rsidR="003B66B8" w:rsidRPr="00E7589C">
        <w:rPr>
          <w:rFonts w:ascii="Verdana" w:hAnsi="Verdana" w:cs="Arial"/>
          <w:vertAlign w:val="superscript"/>
        </w:rPr>
        <w:t>1</w:t>
      </w:r>
      <w:r w:rsidR="00EE13CD" w:rsidRPr="00E7589C">
        <w:rPr>
          <w:rFonts w:ascii="Verdana" w:hAnsi="Verdana" w:cs="Arial"/>
        </w:rPr>
        <w:t xml:space="preserve">, </w:t>
      </w:r>
      <w:r w:rsidR="0046773A" w:rsidRPr="00E7589C">
        <w:rPr>
          <w:rFonts w:ascii="Verdana" w:hAnsi="Verdana" w:cs="Arial"/>
        </w:rPr>
        <w:t>Katia</w:t>
      </w:r>
      <w:r w:rsidR="0046773A" w:rsidRPr="00E7589C">
        <w:rPr>
          <w:rFonts w:ascii="Verdana" w:hAnsi="Verdana" w:cs="Arial"/>
        </w:rPr>
        <w:t>,</w:t>
      </w:r>
      <w:r w:rsidR="0046773A" w:rsidRPr="00E7589C">
        <w:rPr>
          <w:rFonts w:ascii="Verdana" w:hAnsi="Verdana" w:cs="Arial"/>
        </w:rPr>
        <w:t xml:space="preserve"> Guisado Zamora</w:t>
      </w:r>
      <w:r w:rsidR="0046773A" w:rsidRPr="00E7589C">
        <w:rPr>
          <w:rFonts w:ascii="Verdana" w:hAnsi="Verdana" w:cs="Arial"/>
          <w:vertAlign w:val="superscript"/>
        </w:rPr>
        <w:t>2</w:t>
      </w:r>
      <w:r w:rsidR="0046773A" w:rsidRPr="00E7589C">
        <w:rPr>
          <w:rFonts w:ascii="Verdana" w:hAnsi="Verdana" w:cs="Arial"/>
        </w:rPr>
        <w:t xml:space="preserve">, </w:t>
      </w:r>
      <w:r w:rsidR="0046773A" w:rsidRPr="00E7589C">
        <w:rPr>
          <w:rFonts w:ascii="Verdana" w:hAnsi="Verdana" w:cs="Arial"/>
        </w:rPr>
        <w:t>Diana</w:t>
      </w:r>
      <w:r w:rsidR="0046773A" w:rsidRPr="00E7589C">
        <w:rPr>
          <w:rFonts w:ascii="Verdana" w:hAnsi="Verdana" w:cs="Arial"/>
        </w:rPr>
        <w:t>,</w:t>
      </w:r>
      <w:r w:rsidR="0046773A" w:rsidRPr="00E7589C">
        <w:rPr>
          <w:rFonts w:ascii="Verdana" w:hAnsi="Verdana" w:cs="Arial"/>
        </w:rPr>
        <w:t xml:space="preserve"> Valdés Massó</w:t>
      </w:r>
      <w:r w:rsidR="0046773A" w:rsidRPr="00E7589C">
        <w:rPr>
          <w:rFonts w:ascii="Verdana" w:hAnsi="Verdana" w:cs="Arial"/>
          <w:vertAlign w:val="superscript"/>
        </w:rPr>
        <w:t>3</w:t>
      </w:r>
      <w:r w:rsidR="0046773A" w:rsidRPr="00E7589C">
        <w:rPr>
          <w:rFonts w:ascii="Verdana" w:hAnsi="Verdana" w:cs="Arial"/>
        </w:rPr>
        <w:t xml:space="preserve">, </w:t>
      </w:r>
      <w:r w:rsidR="0046773A" w:rsidRPr="00E7589C">
        <w:rPr>
          <w:rFonts w:ascii="Verdana" w:hAnsi="Verdana" w:cs="Arial"/>
        </w:rPr>
        <w:t>Wiliam</w:t>
      </w:r>
      <w:r w:rsidR="0046773A" w:rsidRPr="00E7589C">
        <w:rPr>
          <w:rFonts w:ascii="Verdana" w:hAnsi="Verdana" w:cs="Arial"/>
        </w:rPr>
        <w:t>,</w:t>
      </w:r>
      <w:r w:rsidR="0046773A" w:rsidRPr="00E7589C">
        <w:rPr>
          <w:rFonts w:ascii="Verdana" w:hAnsi="Verdana" w:cs="Arial"/>
        </w:rPr>
        <w:t xml:space="preserve"> Carvajal Veitía</w:t>
      </w:r>
      <w:r w:rsidR="0046773A" w:rsidRPr="00E7589C">
        <w:rPr>
          <w:rFonts w:ascii="Verdana" w:hAnsi="Verdana" w:cs="Arial"/>
          <w:vertAlign w:val="superscript"/>
        </w:rPr>
        <w:t>4</w:t>
      </w:r>
      <w:r w:rsidR="0046773A" w:rsidRPr="00E7589C">
        <w:rPr>
          <w:rFonts w:ascii="Verdana" w:hAnsi="Verdana" w:cs="Arial"/>
        </w:rPr>
        <w:t>, Helder, Ávila Rufín</w:t>
      </w:r>
      <w:r w:rsidR="0046773A" w:rsidRPr="00E7589C">
        <w:rPr>
          <w:rFonts w:ascii="Verdana" w:hAnsi="Verdana" w:cs="Arial"/>
          <w:vertAlign w:val="superscript"/>
        </w:rPr>
        <w:t>5</w:t>
      </w:r>
      <w:r w:rsidR="0046773A" w:rsidRPr="00E7589C">
        <w:rPr>
          <w:rFonts w:ascii="Verdana" w:hAnsi="Verdana" w:cs="Arial"/>
        </w:rPr>
        <w:t>.</w:t>
      </w:r>
    </w:p>
    <w:p w:rsidR="00E86261" w:rsidRPr="00E7589C" w:rsidRDefault="003B66B8" w:rsidP="00A572EA">
      <w:pPr>
        <w:spacing w:after="80" w:line="360" w:lineRule="auto"/>
        <w:ind w:left="284" w:hanging="283"/>
        <w:jc w:val="both"/>
        <w:rPr>
          <w:rFonts w:ascii="Verdana" w:hAnsi="Verdana" w:cs="Arial"/>
        </w:rPr>
      </w:pPr>
      <w:r w:rsidRPr="00E7589C">
        <w:rPr>
          <w:rFonts w:ascii="Verdana" w:hAnsi="Verdana" w:cs="Arial"/>
          <w:vertAlign w:val="superscript"/>
        </w:rPr>
        <w:t xml:space="preserve">1 </w:t>
      </w:r>
      <w:r w:rsidR="0046773A" w:rsidRPr="00E7589C">
        <w:rPr>
          <w:rFonts w:ascii="Verdana" w:hAnsi="Verdana" w:cs="Arial"/>
        </w:rPr>
        <w:t>M</w:t>
      </w:r>
      <w:r w:rsidR="009351DF" w:rsidRPr="00E7589C">
        <w:rPr>
          <w:rFonts w:ascii="Verdana" w:hAnsi="Verdana" w:cs="Arial"/>
        </w:rPr>
        <w:t>sC.</w:t>
      </w:r>
      <w:r w:rsidR="0046773A" w:rsidRPr="00E7589C">
        <w:rPr>
          <w:rFonts w:ascii="Verdana" w:hAnsi="Verdana" w:cs="Arial"/>
        </w:rPr>
        <w:t xml:space="preserve"> en Docencia Médica</w:t>
      </w:r>
      <w:r w:rsidR="0046773A" w:rsidRPr="00E7589C">
        <w:rPr>
          <w:rFonts w:ascii="Verdana" w:hAnsi="Verdana" w:cs="Arial"/>
        </w:rPr>
        <w:t xml:space="preserve">, </w:t>
      </w:r>
      <w:r w:rsidRPr="00E7589C">
        <w:rPr>
          <w:rFonts w:ascii="Verdana" w:hAnsi="Verdana" w:cs="Arial"/>
        </w:rPr>
        <w:t>Especialista en MGI y Anatomía Humana, Departamento de Ciencias Biomédicas, Facultad de Ciencias Médicas de Matanzas, Universidad de Ciencias Médicas de Matanzas</w:t>
      </w:r>
      <w:r w:rsidR="006B54DC" w:rsidRPr="00E7589C">
        <w:rPr>
          <w:rFonts w:ascii="Verdana" w:hAnsi="Verdana" w:cs="Arial"/>
        </w:rPr>
        <w:t xml:space="preserve">, </w:t>
      </w:r>
      <w:r w:rsidR="00F821AC" w:rsidRPr="00E7589C">
        <w:rPr>
          <w:rFonts w:ascii="Verdana" w:hAnsi="Verdana" w:cs="Arial"/>
        </w:rPr>
        <w:t>Técnico Perfil Restringido de la Sociedad Internacional para el Avance en Cineantropometría</w:t>
      </w:r>
      <w:r w:rsidR="00AC1D2B" w:rsidRPr="00E7589C">
        <w:rPr>
          <w:rFonts w:ascii="Verdana" w:hAnsi="Verdana" w:cs="Arial"/>
        </w:rPr>
        <w:t>,</w:t>
      </w:r>
      <w:r w:rsidR="00F821AC" w:rsidRPr="00E7589C">
        <w:rPr>
          <w:rFonts w:ascii="Verdana" w:hAnsi="Verdana" w:cs="Arial"/>
        </w:rPr>
        <w:t xml:space="preserve"> </w:t>
      </w:r>
      <w:r w:rsidR="00F821AC" w:rsidRPr="00E7589C">
        <w:rPr>
          <w:rFonts w:ascii="Verdana" w:hAnsi="Verdana" w:cs="Arial"/>
        </w:rPr>
        <w:t xml:space="preserve">Red Iberoamericana de Investigadores en Antropometría Aplicada. </w:t>
      </w:r>
      <w:r w:rsidR="00F25612" w:rsidRPr="00E7589C">
        <w:rPr>
          <w:rFonts w:ascii="Verdana" w:hAnsi="Verdana" w:cs="Arial"/>
        </w:rPr>
        <w:t xml:space="preserve">Matanzas, </w:t>
      </w:r>
      <w:r w:rsidR="006B54DC" w:rsidRPr="00E7589C">
        <w:rPr>
          <w:rFonts w:ascii="Verdana" w:hAnsi="Verdana" w:cs="Arial"/>
        </w:rPr>
        <w:t>Cuba.</w:t>
      </w:r>
      <w:r w:rsidRPr="00E7589C">
        <w:rPr>
          <w:rFonts w:ascii="Verdana" w:hAnsi="Verdana" w:cs="Arial"/>
          <w:vertAlign w:val="superscript"/>
        </w:rPr>
        <w:t xml:space="preserve"> </w:t>
      </w:r>
      <w:r w:rsidR="0019778A" w:rsidRPr="00E7589C">
        <w:rPr>
          <w:rFonts w:ascii="Verdana" w:hAnsi="Verdana" w:cs="Arial"/>
        </w:rPr>
        <w:t xml:space="preserve">Correo: </w:t>
      </w:r>
      <w:hyperlink r:id="rId8" w:history="1">
        <w:r w:rsidR="0019778A" w:rsidRPr="00E7589C">
          <w:rPr>
            <w:rStyle w:val="Hipervnculo"/>
            <w:rFonts w:ascii="Verdana" w:hAnsi="Verdana" w:cs="Arial"/>
          </w:rPr>
          <w:t>sandrab.mtz@infomed.sld.cu</w:t>
        </w:r>
      </w:hyperlink>
      <w:r w:rsidR="0019778A" w:rsidRPr="00E7589C">
        <w:rPr>
          <w:rFonts w:ascii="Verdana" w:hAnsi="Verdana" w:cs="Arial"/>
        </w:rPr>
        <w:t xml:space="preserve"> </w:t>
      </w:r>
    </w:p>
    <w:p w:rsidR="00C07897" w:rsidRPr="00E7589C" w:rsidRDefault="0046773A" w:rsidP="00A572EA">
      <w:pPr>
        <w:spacing w:after="80" w:line="360" w:lineRule="auto"/>
        <w:ind w:left="284" w:hanging="283"/>
        <w:jc w:val="both"/>
        <w:rPr>
          <w:rFonts w:ascii="Verdana" w:hAnsi="Verdana" w:cs="Arial"/>
        </w:rPr>
      </w:pPr>
      <w:r w:rsidRPr="00E7589C">
        <w:rPr>
          <w:rFonts w:ascii="Verdana" w:hAnsi="Verdana" w:cs="Arial"/>
          <w:vertAlign w:val="superscript"/>
        </w:rPr>
        <w:t>2</w:t>
      </w:r>
      <w:r w:rsidRPr="00E7589C">
        <w:rPr>
          <w:rFonts w:ascii="Verdana" w:hAnsi="Verdana" w:cs="Arial"/>
        </w:rPr>
        <w:t xml:space="preserve"> </w:t>
      </w:r>
      <w:r w:rsidR="00F821AC" w:rsidRPr="00E7589C">
        <w:rPr>
          <w:rFonts w:ascii="Verdana" w:hAnsi="Verdana" w:cs="Arial"/>
        </w:rPr>
        <w:t>M</w:t>
      </w:r>
      <w:r w:rsidR="009351DF" w:rsidRPr="00E7589C">
        <w:rPr>
          <w:rFonts w:ascii="Verdana" w:hAnsi="Verdana" w:cs="Arial"/>
        </w:rPr>
        <w:t>sC.</w:t>
      </w:r>
      <w:r w:rsidR="00F821AC" w:rsidRPr="00E7589C">
        <w:rPr>
          <w:rFonts w:ascii="Verdana" w:hAnsi="Verdana" w:cs="Arial"/>
        </w:rPr>
        <w:t xml:space="preserve"> en Docencia Médica, </w:t>
      </w:r>
      <w:r w:rsidRPr="00E7589C">
        <w:rPr>
          <w:rFonts w:ascii="Verdana" w:hAnsi="Verdana" w:cs="Arial"/>
        </w:rPr>
        <w:t>Especialista en MGI y Anatomía Humana, Departamento de Ciencias Biomédicas, Facultad de Ciencias Médicas de Matanzas, Universidad de Ciencias Médicas de Matanzas, Cuba</w:t>
      </w:r>
      <w:r w:rsidRPr="00E7589C">
        <w:rPr>
          <w:rFonts w:ascii="Verdana" w:hAnsi="Verdana" w:cs="Arial"/>
        </w:rPr>
        <w:t xml:space="preserve"> </w:t>
      </w:r>
    </w:p>
    <w:p w:rsidR="0046773A" w:rsidRPr="00E7589C" w:rsidRDefault="0046773A" w:rsidP="00A572EA">
      <w:pPr>
        <w:spacing w:after="80" w:line="360" w:lineRule="auto"/>
        <w:ind w:left="284" w:hanging="283"/>
        <w:jc w:val="both"/>
        <w:rPr>
          <w:rFonts w:ascii="Verdana" w:hAnsi="Verdana" w:cs="Arial"/>
        </w:rPr>
      </w:pPr>
      <w:r w:rsidRPr="00E7589C">
        <w:rPr>
          <w:rFonts w:ascii="Verdana" w:hAnsi="Verdana" w:cs="Arial"/>
          <w:vertAlign w:val="superscript"/>
        </w:rPr>
        <w:t>3</w:t>
      </w:r>
      <w:r w:rsidRPr="00E7589C">
        <w:rPr>
          <w:rFonts w:ascii="Verdana" w:hAnsi="Verdana" w:cs="Arial"/>
        </w:rPr>
        <w:t xml:space="preserve"> </w:t>
      </w:r>
      <w:r w:rsidR="00AC1D2B" w:rsidRPr="00E7589C">
        <w:rPr>
          <w:rFonts w:ascii="Verdana" w:hAnsi="Verdana" w:cs="Arial"/>
        </w:rPr>
        <w:t>Dra. en Estomatología, Especialista de primer grado en Ortodoncia. Hospital Clínico Quirúrgico Docente Dr. Miguel Enríquez, La Habana. Técnico Perfil Restringido de la Sociedad Internacional para el Avance en Cineantropometría. Red Iberoamericana de Investigadores en Antropometría Aplicad</w:t>
      </w:r>
      <w:r w:rsidR="00F25612" w:rsidRPr="00E7589C">
        <w:rPr>
          <w:rFonts w:ascii="Verdana" w:hAnsi="Verdana" w:cs="Arial"/>
        </w:rPr>
        <w:t>a, La Habana Cuba</w:t>
      </w:r>
      <w:r w:rsidR="00AC1D2B" w:rsidRPr="00E7589C">
        <w:rPr>
          <w:rFonts w:ascii="Verdana" w:hAnsi="Verdana" w:cs="Arial"/>
        </w:rPr>
        <w:t xml:space="preserve">. </w:t>
      </w:r>
    </w:p>
    <w:p w:rsidR="0019778A" w:rsidRPr="00E7589C" w:rsidRDefault="0046773A" w:rsidP="00A572EA">
      <w:pPr>
        <w:spacing w:after="80" w:line="360" w:lineRule="auto"/>
        <w:ind w:left="284" w:hanging="283"/>
        <w:jc w:val="both"/>
        <w:rPr>
          <w:rFonts w:ascii="Verdana" w:hAnsi="Verdana" w:cs="Arial"/>
        </w:rPr>
      </w:pPr>
      <w:r w:rsidRPr="00E7589C">
        <w:rPr>
          <w:rFonts w:ascii="Verdana" w:hAnsi="Verdana" w:cs="Arial"/>
          <w:vertAlign w:val="superscript"/>
        </w:rPr>
        <w:t>4</w:t>
      </w:r>
      <w:r w:rsidRPr="00E7589C">
        <w:rPr>
          <w:rFonts w:ascii="Verdana" w:hAnsi="Verdana" w:cs="Arial"/>
        </w:rPr>
        <w:t xml:space="preserve"> </w:t>
      </w:r>
      <w:r w:rsidR="00AC1D2B" w:rsidRPr="00E7589C">
        <w:rPr>
          <w:rFonts w:ascii="Verdana" w:hAnsi="Verdana" w:cs="Arial"/>
        </w:rPr>
        <w:t>DrC</w:t>
      </w:r>
      <w:r w:rsidR="00365A26" w:rsidRPr="00E7589C">
        <w:rPr>
          <w:rFonts w:ascii="Verdana" w:hAnsi="Verdana" w:cs="Arial"/>
        </w:rPr>
        <w:t>.</w:t>
      </w:r>
      <w:r w:rsidR="00AC1D2B" w:rsidRPr="00E7589C">
        <w:rPr>
          <w:rFonts w:ascii="Verdana" w:hAnsi="Verdana" w:cs="Arial"/>
        </w:rPr>
        <w:t xml:space="preserve"> de la Cultura Física, Máster en Antropología, Licenciado en Biología. Profesor de Cineantropometría y Bioestadística, Instituto de Medicina del Deporte. Técnico Perfil Completo de la Sociedad Internacional para el Avance en Cineantropometría, Red Iberoamericana de Investigadores en Antropometría Aplicada</w:t>
      </w:r>
      <w:r w:rsidR="00A572EA" w:rsidRPr="00E7589C">
        <w:rPr>
          <w:rFonts w:ascii="Verdana" w:hAnsi="Verdana" w:cs="Arial"/>
        </w:rPr>
        <w:t>, La Habana, Cuba</w:t>
      </w:r>
      <w:r w:rsidR="00AC1D2B" w:rsidRPr="00E7589C">
        <w:rPr>
          <w:rFonts w:ascii="Verdana" w:hAnsi="Verdana" w:cs="Arial"/>
        </w:rPr>
        <w:t xml:space="preserve">. </w:t>
      </w:r>
    </w:p>
    <w:p w:rsidR="00E2033D" w:rsidRPr="00E7589C" w:rsidRDefault="00A572EA" w:rsidP="00A572EA">
      <w:pPr>
        <w:spacing w:after="80" w:line="360" w:lineRule="auto"/>
        <w:ind w:left="284" w:hanging="283"/>
        <w:jc w:val="both"/>
        <w:rPr>
          <w:rFonts w:ascii="Verdana" w:hAnsi="Verdana" w:cs="Arial"/>
        </w:rPr>
      </w:pPr>
      <w:r w:rsidRPr="00E7589C">
        <w:rPr>
          <w:rFonts w:ascii="Verdana" w:hAnsi="Verdana" w:cs="Arial"/>
          <w:vertAlign w:val="superscript"/>
        </w:rPr>
        <w:lastRenderedPageBreak/>
        <w:t>5</w:t>
      </w:r>
      <w:r w:rsidR="00FA5795" w:rsidRPr="00E7589C">
        <w:rPr>
          <w:rFonts w:ascii="Verdana" w:hAnsi="Verdana" w:cs="Arial"/>
          <w:vertAlign w:val="superscript"/>
        </w:rPr>
        <w:t xml:space="preserve"> </w:t>
      </w:r>
      <w:r w:rsidRPr="00E7589C">
        <w:rPr>
          <w:rFonts w:ascii="Verdana" w:hAnsi="Verdana" w:cs="Arial"/>
        </w:rPr>
        <w:t>Dr. en Medicina, Especialista en Medicina General Integral, Residente de 2do año Anatomía Humana. Profesor de Anatomía, Universidad de Ciencias Médicas de Matanzas</w:t>
      </w:r>
      <w:r w:rsidRPr="00E7589C">
        <w:rPr>
          <w:rFonts w:ascii="Verdana" w:hAnsi="Verdana" w:cs="Arial"/>
        </w:rPr>
        <w:t>, Cuba</w:t>
      </w:r>
      <w:r w:rsidR="00FA5795" w:rsidRPr="00E7589C">
        <w:rPr>
          <w:rFonts w:ascii="Verdana" w:hAnsi="Verdana" w:cs="Arial"/>
        </w:rPr>
        <w:t>.</w:t>
      </w:r>
    </w:p>
    <w:p w:rsidR="00E2033D" w:rsidRPr="00E7589C" w:rsidRDefault="00E2033D" w:rsidP="00FE5D14">
      <w:pPr>
        <w:spacing w:after="80" w:line="360" w:lineRule="auto"/>
        <w:jc w:val="both"/>
        <w:rPr>
          <w:rFonts w:ascii="Verdana" w:hAnsi="Verdana" w:cs="Arial"/>
        </w:rPr>
      </w:pPr>
    </w:p>
    <w:p w:rsidR="00E2033D" w:rsidRPr="00E7589C" w:rsidRDefault="00FA5795" w:rsidP="00FE5D14">
      <w:pPr>
        <w:spacing w:after="80" w:line="360" w:lineRule="auto"/>
        <w:jc w:val="both"/>
        <w:rPr>
          <w:rFonts w:ascii="Verdana" w:hAnsi="Verdana" w:cs="Arial"/>
          <w:b/>
        </w:rPr>
      </w:pPr>
      <w:r w:rsidRPr="00E7589C">
        <w:rPr>
          <w:rFonts w:ascii="Verdana" w:hAnsi="Verdana" w:cs="Arial"/>
          <w:b/>
        </w:rPr>
        <w:t>Resumen</w:t>
      </w:r>
    </w:p>
    <w:p w:rsidR="00E2033D" w:rsidRPr="00E7589C" w:rsidRDefault="00FA5795" w:rsidP="00FE5D14">
      <w:pPr>
        <w:spacing w:after="80" w:line="360" w:lineRule="auto"/>
        <w:jc w:val="both"/>
        <w:rPr>
          <w:rFonts w:ascii="Verdana" w:hAnsi="Verdana" w:cs="Arial"/>
        </w:rPr>
      </w:pPr>
      <w:r w:rsidRPr="00E7589C">
        <w:rPr>
          <w:rFonts w:ascii="Verdana" w:hAnsi="Verdana" w:cs="Arial"/>
        </w:rPr>
        <w:t xml:space="preserve">Introducción: </w:t>
      </w:r>
      <w:r w:rsidR="001415C0" w:rsidRPr="00E7589C">
        <w:rPr>
          <w:rFonts w:ascii="Verdana" w:hAnsi="Verdana" w:cs="Arial"/>
        </w:rPr>
        <w:t>El estudio de l</w:t>
      </w:r>
      <w:r w:rsidR="00FD3AD4" w:rsidRPr="00E7589C">
        <w:rPr>
          <w:rFonts w:ascii="Verdana" w:hAnsi="Verdana" w:cs="Arial"/>
        </w:rPr>
        <w:t>a calidad de vida</w:t>
      </w:r>
      <w:r w:rsidRPr="00E7589C">
        <w:rPr>
          <w:rFonts w:ascii="Verdana" w:hAnsi="Verdana" w:cs="Arial"/>
        </w:rPr>
        <w:t xml:space="preserve"> </w:t>
      </w:r>
      <w:r w:rsidR="001415C0" w:rsidRPr="00E7589C">
        <w:rPr>
          <w:rFonts w:ascii="Verdana" w:hAnsi="Verdana" w:cs="Arial"/>
        </w:rPr>
        <w:t>permite analizar componentes físicos y mentales en</w:t>
      </w:r>
      <w:r w:rsidRPr="00E7589C">
        <w:rPr>
          <w:rFonts w:ascii="Verdana" w:hAnsi="Verdana" w:cs="Arial"/>
        </w:rPr>
        <w:t xml:space="preserve"> </w:t>
      </w:r>
      <w:r w:rsidR="001415C0" w:rsidRPr="00E7589C">
        <w:rPr>
          <w:rFonts w:ascii="Verdana" w:hAnsi="Verdana" w:cs="Arial"/>
        </w:rPr>
        <w:t>una población determinada. La percepción de esta puede estar distorsionada y no reflejar la realidad.</w:t>
      </w:r>
    </w:p>
    <w:p w:rsidR="00E2033D" w:rsidRPr="00E7589C" w:rsidRDefault="00FA5795" w:rsidP="00FE5D14">
      <w:pPr>
        <w:spacing w:after="80" w:line="360" w:lineRule="auto"/>
        <w:jc w:val="both"/>
        <w:rPr>
          <w:rFonts w:ascii="Verdana" w:hAnsi="Verdana" w:cs="Arial"/>
        </w:rPr>
      </w:pPr>
      <w:r w:rsidRPr="00E7589C">
        <w:rPr>
          <w:rFonts w:ascii="Verdana" w:hAnsi="Verdana" w:cs="Arial"/>
        </w:rPr>
        <w:t xml:space="preserve">Objetivo: Establecer la correspondencia entre </w:t>
      </w:r>
      <w:r w:rsidR="009A3FCF" w:rsidRPr="00E7589C">
        <w:rPr>
          <w:rFonts w:ascii="Verdana" w:hAnsi="Verdana" w:cs="Arial"/>
        </w:rPr>
        <w:t xml:space="preserve">la </w:t>
      </w:r>
      <w:r w:rsidR="001415C0" w:rsidRPr="00E7589C">
        <w:rPr>
          <w:rFonts w:ascii="Verdana" w:hAnsi="Verdana" w:cs="Arial"/>
        </w:rPr>
        <w:t>calidad de vida</w:t>
      </w:r>
      <w:r w:rsidR="009A3FCF" w:rsidRPr="00E7589C">
        <w:rPr>
          <w:rFonts w:ascii="Verdana" w:hAnsi="Verdana" w:cs="Arial"/>
        </w:rPr>
        <w:t xml:space="preserve"> y </w:t>
      </w:r>
      <w:r w:rsidRPr="00E7589C">
        <w:rPr>
          <w:rFonts w:ascii="Verdana" w:hAnsi="Verdana" w:cs="Arial"/>
        </w:rPr>
        <w:t xml:space="preserve">las características antropométricas en estudiantes de la Universidad de Ciencias Médicas de Matanzas. </w:t>
      </w:r>
    </w:p>
    <w:p w:rsidR="00E2033D" w:rsidRPr="00E7589C" w:rsidRDefault="00FD3AD4" w:rsidP="00FE5D14">
      <w:pPr>
        <w:spacing w:after="80" w:line="360" w:lineRule="auto"/>
        <w:jc w:val="both"/>
        <w:rPr>
          <w:rFonts w:ascii="Verdana" w:hAnsi="Verdana" w:cs="Arial"/>
        </w:rPr>
      </w:pPr>
      <w:r w:rsidRPr="00E7589C">
        <w:rPr>
          <w:rFonts w:ascii="Verdana" w:hAnsi="Verdana" w:cs="Arial"/>
        </w:rPr>
        <w:t>Materiales y m</w:t>
      </w:r>
      <w:r w:rsidR="00597944" w:rsidRPr="00E7589C">
        <w:rPr>
          <w:rFonts w:ascii="Verdana" w:hAnsi="Verdana" w:cs="Arial"/>
        </w:rPr>
        <w:t>étodos</w:t>
      </w:r>
      <w:r w:rsidR="00FA5795" w:rsidRPr="00E7589C">
        <w:rPr>
          <w:rFonts w:ascii="Verdana" w:hAnsi="Verdana" w:cs="Arial"/>
        </w:rPr>
        <w:t>: Se realizó un estudio descriptivo transversal</w:t>
      </w:r>
      <w:r w:rsidR="001415C0" w:rsidRPr="00E7589C">
        <w:rPr>
          <w:rFonts w:ascii="Verdana" w:hAnsi="Verdana" w:cs="Arial"/>
        </w:rPr>
        <w:t xml:space="preserve">. </w:t>
      </w:r>
      <w:r w:rsidR="00F74F4C" w:rsidRPr="00E7589C">
        <w:rPr>
          <w:rFonts w:ascii="Verdana" w:hAnsi="Verdana" w:cs="Arial"/>
        </w:rPr>
        <w:t>Fueron</w:t>
      </w:r>
      <w:r w:rsidR="00FA5795" w:rsidRPr="00E7589C">
        <w:rPr>
          <w:rFonts w:ascii="Verdana" w:hAnsi="Verdana" w:cs="Arial"/>
        </w:rPr>
        <w:t xml:space="preserve"> evalu</w:t>
      </w:r>
      <w:r w:rsidR="00F74F4C" w:rsidRPr="00E7589C">
        <w:rPr>
          <w:rFonts w:ascii="Verdana" w:hAnsi="Verdana" w:cs="Arial"/>
        </w:rPr>
        <w:t>adas</w:t>
      </w:r>
      <w:r w:rsidR="00FA5795" w:rsidRPr="00E7589C">
        <w:rPr>
          <w:rFonts w:ascii="Verdana" w:hAnsi="Verdana" w:cs="Arial"/>
        </w:rPr>
        <w:t xml:space="preserve"> la </w:t>
      </w:r>
      <w:r w:rsidR="00544AED" w:rsidRPr="00E7589C">
        <w:rPr>
          <w:rFonts w:ascii="Verdana" w:hAnsi="Verdana" w:cs="Arial"/>
        </w:rPr>
        <w:t>calidad de vida</w:t>
      </w:r>
      <w:r w:rsidR="00FA5795" w:rsidRPr="00E7589C">
        <w:rPr>
          <w:rFonts w:ascii="Verdana" w:hAnsi="Verdana" w:cs="Arial"/>
        </w:rPr>
        <w:t xml:space="preserve"> </w:t>
      </w:r>
      <w:r w:rsidR="00F74F4C" w:rsidRPr="00E7589C">
        <w:rPr>
          <w:rFonts w:ascii="Verdana" w:hAnsi="Verdana" w:cs="Arial"/>
        </w:rPr>
        <w:t>a través de un</w:t>
      </w:r>
      <w:r w:rsidR="00FA5795" w:rsidRPr="00E7589C">
        <w:rPr>
          <w:rFonts w:ascii="Verdana" w:hAnsi="Verdana" w:cs="Arial"/>
        </w:rPr>
        <w:t xml:space="preserve"> cuestionario y la antropometría nutricional</w:t>
      </w:r>
      <w:r w:rsidR="00F74F4C" w:rsidRPr="00E7589C">
        <w:rPr>
          <w:rFonts w:ascii="Verdana" w:hAnsi="Verdana" w:cs="Arial"/>
        </w:rPr>
        <w:t>,</w:t>
      </w:r>
      <w:r w:rsidR="00FA5795" w:rsidRPr="00E7589C">
        <w:rPr>
          <w:rFonts w:ascii="Verdana" w:hAnsi="Verdana" w:cs="Arial"/>
        </w:rPr>
        <w:t xml:space="preserve"> de 48 sujetos. </w:t>
      </w:r>
    </w:p>
    <w:p w:rsidR="00E2033D" w:rsidRPr="00E7589C" w:rsidRDefault="00FA5795" w:rsidP="00FE5D14">
      <w:pPr>
        <w:spacing w:after="80" w:line="360" w:lineRule="auto"/>
        <w:jc w:val="both"/>
        <w:rPr>
          <w:rFonts w:ascii="Verdana" w:hAnsi="Verdana" w:cs="Arial"/>
        </w:rPr>
      </w:pPr>
      <w:r w:rsidRPr="00E7589C">
        <w:rPr>
          <w:rFonts w:ascii="Verdana" w:hAnsi="Verdana" w:cs="Arial"/>
        </w:rPr>
        <w:t xml:space="preserve">Resultados: Los individuos sobrepesos mostraron mayor puntuación en la función y rol físico </w:t>
      </w:r>
      <w:r w:rsidR="00F74F4C" w:rsidRPr="00E7589C">
        <w:rPr>
          <w:rFonts w:ascii="Verdana" w:hAnsi="Verdana" w:cs="Arial"/>
        </w:rPr>
        <w:t>de la calidad de vida,</w:t>
      </w:r>
      <w:r w:rsidRPr="00E7589C">
        <w:rPr>
          <w:rFonts w:ascii="Verdana" w:hAnsi="Verdana" w:cs="Arial"/>
        </w:rPr>
        <w:t xml:space="preserve"> que los que tuvieron una composición corporal normal. En el sexo femenino </w:t>
      </w:r>
      <w:r w:rsidR="00F74F4C" w:rsidRPr="00E7589C">
        <w:rPr>
          <w:rFonts w:ascii="Verdana" w:hAnsi="Verdana" w:cs="Arial"/>
        </w:rPr>
        <w:t>las muchachas que refirieron</w:t>
      </w:r>
      <w:r w:rsidRPr="00E7589C">
        <w:rPr>
          <w:rFonts w:ascii="Verdana" w:hAnsi="Verdana" w:cs="Arial"/>
        </w:rPr>
        <w:t xml:space="preserve"> muy buena</w:t>
      </w:r>
      <w:r w:rsidR="00F74F4C" w:rsidRPr="00E7589C">
        <w:rPr>
          <w:rFonts w:ascii="Verdana" w:hAnsi="Verdana" w:cs="Arial"/>
        </w:rPr>
        <w:t xml:space="preserve"> calidad de vida</w:t>
      </w:r>
      <w:r w:rsidRPr="00E7589C">
        <w:rPr>
          <w:rFonts w:ascii="Verdana" w:hAnsi="Verdana" w:cs="Arial"/>
        </w:rPr>
        <w:t xml:space="preserve"> presenta</w:t>
      </w:r>
      <w:r w:rsidR="00F74F4C" w:rsidRPr="00E7589C">
        <w:rPr>
          <w:rFonts w:ascii="Verdana" w:hAnsi="Verdana" w:cs="Arial"/>
        </w:rPr>
        <w:t>ro</w:t>
      </w:r>
      <w:r w:rsidRPr="00E7589C">
        <w:rPr>
          <w:rFonts w:ascii="Verdana" w:hAnsi="Verdana" w:cs="Arial"/>
        </w:rPr>
        <w:t>n predominio del componente endomórfico</w:t>
      </w:r>
      <w:r w:rsidR="00F74F4C" w:rsidRPr="00E7589C">
        <w:rPr>
          <w:rFonts w:ascii="Verdana" w:hAnsi="Verdana" w:cs="Arial"/>
        </w:rPr>
        <w:t>.</w:t>
      </w:r>
      <w:r w:rsidRPr="00E7589C">
        <w:rPr>
          <w:rFonts w:ascii="Verdana" w:hAnsi="Verdana" w:cs="Arial"/>
        </w:rPr>
        <w:t xml:space="preserve"> En el sexo masculino se aprecia que los que ostentaron </w:t>
      </w:r>
      <w:r w:rsidR="00F74F4C" w:rsidRPr="00E7589C">
        <w:rPr>
          <w:rFonts w:ascii="Verdana" w:hAnsi="Verdana" w:cs="Arial"/>
        </w:rPr>
        <w:t>calidad de vida</w:t>
      </w:r>
      <w:r w:rsidRPr="00E7589C">
        <w:rPr>
          <w:rFonts w:ascii="Verdana" w:hAnsi="Verdana" w:cs="Arial"/>
        </w:rPr>
        <w:t xml:space="preserve"> regular fueron mesoendomórficos</w:t>
      </w:r>
      <w:r w:rsidR="00F74F4C" w:rsidRPr="00E7589C">
        <w:rPr>
          <w:rFonts w:ascii="Verdana" w:hAnsi="Verdana" w:cs="Arial"/>
        </w:rPr>
        <w:t xml:space="preserve"> y</w:t>
      </w:r>
      <w:r w:rsidRPr="00E7589C">
        <w:rPr>
          <w:rFonts w:ascii="Verdana" w:hAnsi="Verdana" w:cs="Arial"/>
        </w:rPr>
        <w:t xml:space="preserve"> los que tuvieron mejores calificaciones presentan una menor adiposidad y mayor desarrollo m</w:t>
      </w:r>
      <w:r w:rsidR="001B1D74" w:rsidRPr="00E7589C">
        <w:rPr>
          <w:rFonts w:ascii="Verdana" w:hAnsi="Verdana" w:cs="Arial"/>
        </w:rPr>
        <w:t>uscular</w:t>
      </w:r>
      <w:r w:rsidRPr="00E7589C">
        <w:rPr>
          <w:rFonts w:ascii="Verdana" w:hAnsi="Verdana" w:cs="Arial"/>
        </w:rPr>
        <w:t>.</w:t>
      </w:r>
    </w:p>
    <w:p w:rsidR="00E2033D" w:rsidRPr="00E7589C" w:rsidRDefault="00FA5795" w:rsidP="00FE5D14">
      <w:pPr>
        <w:spacing w:after="80" w:line="360" w:lineRule="auto"/>
        <w:jc w:val="both"/>
        <w:rPr>
          <w:rFonts w:ascii="Verdana" w:hAnsi="Verdana" w:cs="Arial"/>
        </w:rPr>
      </w:pPr>
      <w:r w:rsidRPr="00E7589C">
        <w:rPr>
          <w:rFonts w:ascii="Verdana" w:hAnsi="Verdana" w:cs="Arial"/>
        </w:rPr>
        <w:t>Conclusiones: Se encontró sobrestima</w:t>
      </w:r>
      <w:r w:rsidR="00F74F4C" w:rsidRPr="00E7589C">
        <w:rPr>
          <w:rFonts w:ascii="Verdana" w:hAnsi="Verdana" w:cs="Arial"/>
        </w:rPr>
        <w:t>ción de</w:t>
      </w:r>
      <w:r w:rsidRPr="00E7589C">
        <w:rPr>
          <w:rFonts w:ascii="Verdana" w:hAnsi="Verdana" w:cs="Arial"/>
        </w:rPr>
        <w:t xml:space="preserve"> la </w:t>
      </w:r>
      <w:r w:rsidR="00F74F4C" w:rsidRPr="00E7589C">
        <w:rPr>
          <w:rFonts w:ascii="Verdana" w:hAnsi="Verdana" w:cs="Arial"/>
        </w:rPr>
        <w:t xml:space="preserve">calidad de vida en mujeres </w:t>
      </w:r>
      <w:r w:rsidRPr="00E7589C">
        <w:rPr>
          <w:rFonts w:ascii="Verdana" w:hAnsi="Verdana" w:cs="Arial"/>
        </w:rPr>
        <w:t xml:space="preserve">con mayores valores de peso, sumatoria de pliegues y </w:t>
      </w:r>
      <w:r w:rsidR="00F74F4C" w:rsidRPr="00E7589C">
        <w:rPr>
          <w:rFonts w:ascii="Verdana" w:hAnsi="Verdana" w:cs="Arial"/>
        </w:rPr>
        <w:t>endomorfia</w:t>
      </w:r>
      <w:r w:rsidRPr="00E7589C">
        <w:rPr>
          <w:rFonts w:ascii="Verdana" w:hAnsi="Verdana" w:cs="Arial"/>
        </w:rPr>
        <w:t>, así como una subestimación de las que tuvieron mejor condición física.</w:t>
      </w:r>
      <w:r w:rsidR="00F74F4C" w:rsidRPr="00E7589C">
        <w:rPr>
          <w:rFonts w:ascii="Verdana" w:hAnsi="Verdana" w:cs="Arial"/>
        </w:rPr>
        <w:t xml:space="preserve"> Se encuentra en los muchachos mejor relación calidad de vida y condiciones antropométricas.</w:t>
      </w:r>
    </w:p>
    <w:p w:rsidR="00E2033D" w:rsidRPr="00E7589C" w:rsidRDefault="00FA5795" w:rsidP="00FE5D14">
      <w:pPr>
        <w:spacing w:after="80" w:line="360" w:lineRule="auto"/>
        <w:jc w:val="both"/>
        <w:rPr>
          <w:rFonts w:ascii="Verdana" w:hAnsi="Verdana" w:cs="Arial"/>
        </w:rPr>
      </w:pPr>
      <w:r w:rsidRPr="00E7589C">
        <w:rPr>
          <w:rFonts w:ascii="Verdana" w:hAnsi="Verdana" w:cs="Arial"/>
          <w:b/>
        </w:rPr>
        <w:t>Palabras claves</w:t>
      </w:r>
      <w:r w:rsidRPr="00E7589C">
        <w:rPr>
          <w:rFonts w:ascii="Verdana" w:hAnsi="Verdana" w:cs="Arial"/>
        </w:rPr>
        <w:t>: antropometría; calidad de vida; composición corporal.</w:t>
      </w:r>
    </w:p>
    <w:p w:rsidR="00E2033D" w:rsidRPr="00E7589C" w:rsidRDefault="00E2033D" w:rsidP="00FE5D14">
      <w:pPr>
        <w:spacing w:after="80" w:line="360" w:lineRule="auto"/>
        <w:jc w:val="both"/>
        <w:rPr>
          <w:rFonts w:ascii="Verdana" w:hAnsi="Verdana" w:cs="Arial"/>
        </w:rPr>
      </w:pPr>
    </w:p>
    <w:p w:rsidR="00E2033D" w:rsidRPr="00E7589C" w:rsidRDefault="00617A82" w:rsidP="00FE5D14">
      <w:pPr>
        <w:spacing w:after="80" w:line="360" w:lineRule="auto"/>
        <w:jc w:val="both"/>
        <w:rPr>
          <w:rFonts w:ascii="Verdana" w:hAnsi="Verdana" w:cs="Arial"/>
          <w:b/>
          <w:lang w:val="en-US"/>
        </w:rPr>
      </w:pPr>
      <w:r w:rsidRPr="00E7589C">
        <w:rPr>
          <w:rFonts w:ascii="Verdana" w:hAnsi="Verdana" w:cs="Arial"/>
          <w:b/>
          <w:lang w:val="en-US"/>
        </w:rPr>
        <w:t>Abstract</w:t>
      </w:r>
    </w:p>
    <w:p w:rsidR="00420E2B" w:rsidRPr="00420E2B" w:rsidRDefault="00420E2B" w:rsidP="00420E2B">
      <w:pPr>
        <w:spacing w:after="80" w:line="360" w:lineRule="auto"/>
        <w:jc w:val="both"/>
        <w:rPr>
          <w:rFonts w:ascii="Verdana" w:hAnsi="Verdana" w:cs="Arial"/>
          <w:lang w:val="en-US"/>
        </w:rPr>
      </w:pPr>
      <w:r w:rsidRPr="00420E2B">
        <w:rPr>
          <w:rFonts w:ascii="Verdana" w:hAnsi="Verdana" w:cs="Arial"/>
          <w:lang w:val="en-US"/>
        </w:rPr>
        <w:t>Introduction: The study of the quality of life allows to analyze physical and mental components in a determined population. The perception of this may be distorted and not reflect reality.</w:t>
      </w:r>
    </w:p>
    <w:p w:rsidR="00420E2B" w:rsidRPr="00420E2B" w:rsidRDefault="00420E2B" w:rsidP="00420E2B">
      <w:pPr>
        <w:spacing w:after="80" w:line="360" w:lineRule="auto"/>
        <w:jc w:val="both"/>
        <w:rPr>
          <w:rFonts w:ascii="Verdana" w:hAnsi="Verdana" w:cs="Arial"/>
          <w:lang w:val="en-US"/>
        </w:rPr>
      </w:pPr>
      <w:r w:rsidRPr="00420E2B">
        <w:rPr>
          <w:rFonts w:ascii="Verdana" w:hAnsi="Verdana" w:cs="Arial"/>
          <w:lang w:val="en-US"/>
        </w:rPr>
        <w:lastRenderedPageBreak/>
        <w:t>Objective: To establish the correspondence between the quality of life and the anthropometric characteristics in students of the University of Medical Sciences of Matanzas.</w:t>
      </w:r>
    </w:p>
    <w:p w:rsidR="00420E2B" w:rsidRPr="00420E2B" w:rsidRDefault="00420E2B" w:rsidP="00420E2B">
      <w:pPr>
        <w:spacing w:after="80" w:line="360" w:lineRule="auto"/>
        <w:jc w:val="both"/>
        <w:rPr>
          <w:rFonts w:ascii="Verdana" w:hAnsi="Verdana" w:cs="Arial"/>
          <w:lang w:val="en-US"/>
        </w:rPr>
      </w:pPr>
      <w:r w:rsidRPr="00420E2B">
        <w:rPr>
          <w:rFonts w:ascii="Verdana" w:hAnsi="Verdana" w:cs="Arial"/>
          <w:lang w:val="en-US"/>
        </w:rPr>
        <w:t>Materials and methods: A descriptive cross-sectional study was carried out. Quality of life was evaluated through a questionnaire and nutritional anthropometry of 48 subjects.</w:t>
      </w:r>
    </w:p>
    <w:p w:rsidR="00420E2B" w:rsidRPr="00420E2B" w:rsidRDefault="00420E2B" w:rsidP="00420E2B">
      <w:pPr>
        <w:spacing w:after="80" w:line="360" w:lineRule="auto"/>
        <w:jc w:val="both"/>
        <w:rPr>
          <w:rFonts w:ascii="Verdana" w:hAnsi="Verdana" w:cs="Arial"/>
          <w:lang w:val="en-US"/>
        </w:rPr>
      </w:pPr>
      <w:r w:rsidRPr="00420E2B">
        <w:rPr>
          <w:rFonts w:ascii="Verdana" w:hAnsi="Verdana" w:cs="Arial"/>
          <w:lang w:val="en-US"/>
        </w:rPr>
        <w:t xml:space="preserve">Results: Overweight individuals showed higher scores in function and physical role of quality of life than those with normal body composition. In the female sex, the girls who reported a very good quality of life presented a predominance of the endomorphic component. In the male sex, it can be seen that those who had a regular quality of life were </w:t>
      </w:r>
      <w:proofErr w:type="spellStart"/>
      <w:r w:rsidRPr="00420E2B">
        <w:rPr>
          <w:rFonts w:ascii="Verdana" w:hAnsi="Verdana" w:cs="Arial"/>
          <w:lang w:val="en-US"/>
        </w:rPr>
        <w:t>mesoendomorphic</w:t>
      </w:r>
      <w:proofErr w:type="spellEnd"/>
      <w:r w:rsidRPr="00420E2B">
        <w:rPr>
          <w:rFonts w:ascii="Verdana" w:hAnsi="Verdana" w:cs="Arial"/>
          <w:lang w:val="en-US"/>
        </w:rPr>
        <w:t xml:space="preserve"> and those who had better scores had less adiposity and greater muscle development.</w:t>
      </w:r>
    </w:p>
    <w:p w:rsidR="00420E2B" w:rsidRDefault="00420E2B" w:rsidP="00420E2B">
      <w:pPr>
        <w:spacing w:after="80" w:line="360" w:lineRule="auto"/>
        <w:jc w:val="both"/>
        <w:rPr>
          <w:rFonts w:ascii="Verdana" w:hAnsi="Verdana" w:cs="Arial"/>
          <w:lang w:val="en-US"/>
        </w:rPr>
      </w:pPr>
      <w:r w:rsidRPr="00420E2B">
        <w:rPr>
          <w:rFonts w:ascii="Verdana" w:hAnsi="Verdana" w:cs="Arial"/>
          <w:lang w:val="en-US"/>
        </w:rPr>
        <w:t xml:space="preserve">Conclusions: An overestimation of the quality of life was found in women with higher values </w:t>
      </w:r>
      <w:r w:rsidRPr="00420E2B">
        <w:rPr>
          <w:rFonts w:ascii="Arial" w:hAnsi="Arial" w:cs="Arial"/>
          <w:lang w:val="en-US"/>
        </w:rPr>
        <w:t>​​</w:t>
      </w:r>
      <w:r w:rsidRPr="00420E2B">
        <w:rPr>
          <w:rFonts w:ascii="Verdana" w:hAnsi="Verdana" w:cs="Arial"/>
          <w:lang w:val="en-US"/>
        </w:rPr>
        <w:t xml:space="preserve">of weight, summation of folds and </w:t>
      </w:r>
      <w:proofErr w:type="spellStart"/>
      <w:r w:rsidRPr="00420E2B">
        <w:rPr>
          <w:rFonts w:ascii="Verdana" w:hAnsi="Verdana" w:cs="Arial"/>
          <w:lang w:val="en-US"/>
        </w:rPr>
        <w:t>endomorphy</w:t>
      </w:r>
      <w:proofErr w:type="spellEnd"/>
      <w:r w:rsidRPr="00420E2B">
        <w:rPr>
          <w:rFonts w:ascii="Verdana" w:hAnsi="Verdana" w:cs="Arial"/>
          <w:lang w:val="en-US"/>
        </w:rPr>
        <w:t xml:space="preserve">, as well as an underestimation of those with better physical condition. It is found in the </w:t>
      </w:r>
      <w:proofErr w:type="gramStart"/>
      <w:r w:rsidRPr="00420E2B">
        <w:rPr>
          <w:rFonts w:ascii="Verdana" w:hAnsi="Verdana" w:cs="Arial"/>
          <w:lang w:val="en-US"/>
        </w:rPr>
        <w:t>boys</w:t>
      </w:r>
      <w:proofErr w:type="gramEnd"/>
      <w:r w:rsidRPr="00420E2B">
        <w:rPr>
          <w:rFonts w:ascii="Verdana" w:hAnsi="Verdana" w:cs="Arial"/>
          <w:lang w:val="en-US"/>
        </w:rPr>
        <w:t xml:space="preserve"> better relation quality of life and anthropometric conditions.</w:t>
      </w:r>
    </w:p>
    <w:p w:rsidR="00B373E6" w:rsidRDefault="00FA5795" w:rsidP="00420E2B">
      <w:pPr>
        <w:spacing w:after="80" w:line="360" w:lineRule="auto"/>
        <w:jc w:val="both"/>
        <w:rPr>
          <w:rFonts w:ascii="Verdana" w:hAnsi="Verdana" w:cs="Arial"/>
          <w:lang w:val="en-US"/>
        </w:rPr>
      </w:pPr>
      <w:r w:rsidRPr="00E7589C">
        <w:rPr>
          <w:rFonts w:ascii="Verdana" w:hAnsi="Verdana" w:cs="Arial"/>
          <w:b/>
          <w:lang w:val="en-US"/>
        </w:rPr>
        <w:t>Keywords</w:t>
      </w:r>
      <w:r w:rsidRPr="00E7589C">
        <w:rPr>
          <w:rFonts w:ascii="Verdana" w:hAnsi="Verdana" w:cs="Arial"/>
          <w:lang w:val="en-US"/>
        </w:rPr>
        <w:t>: anthropometry; quality of life; body composition.</w:t>
      </w:r>
    </w:p>
    <w:p w:rsidR="00515AC9" w:rsidRPr="00E7589C" w:rsidRDefault="00515AC9" w:rsidP="00FE5D14">
      <w:pPr>
        <w:spacing w:after="80" w:line="360" w:lineRule="auto"/>
        <w:jc w:val="both"/>
        <w:rPr>
          <w:rFonts w:ascii="Verdana" w:hAnsi="Verdana" w:cs="Arial"/>
          <w:lang w:val="en-US"/>
        </w:rPr>
      </w:pPr>
    </w:p>
    <w:p w:rsidR="00E2033D" w:rsidRPr="00E7589C" w:rsidRDefault="00FA5795" w:rsidP="00FE5D14">
      <w:pPr>
        <w:spacing w:after="80" w:line="360" w:lineRule="auto"/>
        <w:jc w:val="both"/>
        <w:rPr>
          <w:rFonts w:ascii="Verdana" w:hAnsi="Verdana" w:cs="Arial"/>
          <w:b/>
        </w:rPr>
      </w:pPr>
      <w:r w:rsidRPr="00E7589C">
        <w:rPr>
          <w:rFonts w:ascii="Verdana" w:hAnsi="Verdana" w:cs="Arial"/>
          <w:b/>
        </w:rPr>
        <w:t>Introducción</w:t>
      </w:r>
      <w:r w:rsidRPr="00E7589C">
        <w:rPr>
          <w:rFonts w:ascii="Verdana" w:hAnsi="Verdana" w:cs="Arial"/>
        </w:rPr>
        <w:t xml:space="preserve"> </w:t>
      </w:r>
    </w:p>
    <w:bookmarkEnd w:id="0"/>
    <w:p w:rsidR="00FF16A2" w:rsidRPr="00E7589C" w:rsidRDefault="00FA5795" w:rsidP="00FE5D14">
      <w:pPr>
        <w:spacing w:after="80" w:line="360" w:lineRule="auto"/>
        <w:jc w:val="both"/>
        <w:rPr>
          <w:rFonts w:ascii="Verdana" w:hAnsi="Verdana" w:cs="Arial"/>
          <w:vertAlign w:val="superscript"/>
        </w:rPr>
      </w:pPr>
      <w:r w:rsidRPr="00E7589C">
        <w:rPr>
          <w:rFonts w:ascii="Verdana" w:hAnsi="Verdana" w:cs="Arial"/>
        </w:rPr>
        <w:t>Conocer el estado de salud y la valoración nutricional de los distintos grupos poblacionales es fundamental para poder realizar intervenciones tanto en materia de salud pública como en educación física y nutricional</w:t>
      </w:r>
      <w:r w:rsidR="00FF16A2" w:rsidRPr="00E7589C">
        <w:rPr>
          <w:rFonts w:ascii="Verdana" w:hAnsi="Verdana" w:cs="Arial"/>
        </w:rPr>
        <w:t xml:space="preserve"> y un parámetro que se utiliza para su evaluación es</w:t>
      </w:r>
      <w:r w:rsidRPr="00E7589C">
        <w:rPr>
          <w:rFonts w:ascii="Verdana" w:hAnsi="Verdana" w:cs="Arial"/>
        </w:rPr>
        <w:t xml:space="preserve"> </w:t>
      </w:r>
      <w:r w:rsidR="00FF16A2" w:rsidRPr="00E7589C">
        <w:rPr>
          <w:rFonts w:ascii="Verdana" w:hAnsi="Verdana" w:cs="Arial"/>
        </w:rPr>
        <w:t>la</w:t>
      </w:r>
      <w:r w:rsidRPr="00E7589C">
        <w:rPr>
          <w:rFonts w:ascii="Verdana" w:hAnsi="Verdana" w:cs="Arial"/>
        </w:rPr>
        <w:t xml:space="preserve"> calidad de vida.</w:t>
      </w:r>
      <w:r w:rsidR="00FF16A2" w:rsidRPr="00E7589C">
        <w:rPr>
          <w:rStyle w:val="Refdenotaalfinal"/>
          <w:rFonts w:ascii="Verdana" w:hAnsi="Verdana" w:cs="Arial"/>
          <w:sz w:val="22"/>
        </w:rPr>
        <w:endnoteReference w:id="1"/>
      </w:r>
      <w:r w:rsidRPr="00E7589C">
        <w:rPr>
          <w:rFonts w:ascii="Verdana" w:hAnsi="Verdana" w:cs="Arial"/>
        </w:rPr>
        <w:t xml:space="preserve"> Para realizar la misma </w:t>
      </w:r>
      <w:r w:rsidR="00A22329" w:rsidRPr="00E7589C">
        <w:rPr>
          <w:rFonts w:ascii="Verdana" w:hAnsi="Verdana" w:cs="Arial"/>
        </w:rPr>
        <w:t>algunos autores</w:t>
      </w:r>
      <w:r w:rsidRPr="00E7589C">
        <w:rPr>
          <w:rFonts w:ascii="Verdana" w:hAnsi="Verdana" w:cs="Arial"/>
        </w:rPr>
        <w:t xml:space="preserve"> proponen dos componentes básicos, el estado físico y el mental.</w:t>
      </w:r>
      <w:r w:rsidRPr="00E7589C">
        <w:rPr>
          <w:rStyle w:val="Refdenotaalfinal"/>
          <w:rFonts w:ascii="Verdana" w:hAnsi="Verdana" w:cs="Arial"/>
          <w:sz w:val="22"/>
        </w:rPr>
        <w:endnoteReference w:id="2"/>
      </w:r>
      <w:r w:rsidR="00A22329" w:rsidRPr="00E7589C">
        <w:rPr>
          <w:rFonts w:ascii="Verdana" w:hAnsi="Verdana" w:cs="Arial"/>
          <w:vertAlign w:val="superscript"/>
        </w:rPr>
        <w:t xml:space="preserve"> </w:t>
      </w:r>
    </w:p>
    <w:p w:rsidR="00E2033D" w:rsidRPr="00E7589C" w:rsidRDefault="00FF16A2" w:rsidP="00FE5D14">
      <w:pPr>
        <w:spacing w:after="80" w:line="360" w:lineRule="auto"/>
        <w:jc w:val="both"/>
        <w:rPr>
          <w:rFonts w:ascii="Verdana" w:hAnsi="Verdana" w:cs="Arial"/>
        </w:rPr>
      </w:pPr>
      <w:r w:rsidRPr="00E7589C">
        <w:rPr>
          <w:rFonts w:ascii="Verdana" w:hAnsi="Verdana" w:cs="Arial"/>
        </w:rPr>
        <w:t>La promoción de la actividad física como parte de un estilo de vida saludable, ha sido intencionada por la OMS, sin embargo, en el pasado reciente, el mundo se enfrentó a una pandemia de COVID-19, provocada por la infección del virus SARS-CoV-2</w:t>
      </w:r>
      <w:r w:rsidR="006512BE" w:rsidRPr="00E7589C">
        <w:rPr>
          <w:rFonts w:ascii="Verdana" w:hAnsi="Verdana" w:cs="Arial"/>
        </w:rPr>
        <w:t>. La limitación de movimiento disminuyó sensiblemente</w:t>
      </w:r>
      <w:r w:rsidR="00FA5795" w:rsidRPr="00E7589C">
        <w:rPr>
          <w:rFonts w:ascii="Verdana" w:hAnsi="Verdana" w:cs="Arial"/>
        </w:rPr>
        <w:t xml:space="preserve"> la participación de la población en sus actividades diarias, en el desplazamiento y por tanto en la actividad física usual y en el ejercicio físico planificado en muchos casos.</w:t>
      </w:r>
      <w:r w:rsidR="00FA5795" w:rsidRPr="00E7589C">
        <w:rPr>
          <w:rStyle w:val="Refdenotaalfinal"/>
          <w:rFonts w:ascii="Verdana" w:hAnsi="Verdana" w:cs="Arial"/>
          <w:sz w:val="22"/>
        </w:rPr>
        <w:endnoteReference w:id="3"/>
      </w:r>
      <w:r w:rsidR="00F42A4E" w:rsidRPr="00E7589C">
        <w:rPr>
          <w:rFonts w:ascii="Verdana" w:hAnsi="Verdana" w:cs="Arial"/>
          <w:vertAlign w:val="superscript"/>
        </w:rPr>
        <w:t>,</w:t>
      </w:r>
      <w:r w:rsidR="00F42A4E" w:rsidRPr="00E7589C">
        <w:rPr>
          <w:rStyle w:val="Refdenotaalfinal"/>
          <w:rFonts w:ascii="Verdana" w:hAnsi="Verdana" w:cs="Arial"/>
          <w:sz w:val="22"/>
        </w:rPr>
        <w:endnoteReference w:id="4"/>
      </w:r>
      <w:r w:rsidR="00FA5795" w:rsidRPr="00E7589C">
        <w:rPr>
          <w:rFonts w:ascii="Verdana" w:hAnsi="Verdana" w:cs="Arial"/>
        </w:rPr>
        <w:t xml:space="preserve"> La necesidad de estar en casa por períodos largos de tiempo en estos dos años determinó un cambio en el estilo de vida de muchas personas, incluyendo a los jóvenes.</w:t>
      </w:r>
      <w:r w:rsidR="00FA5795" w:rsidRPr="00E7589C">
        <w:rPr>
          <w:rStyle w:val="Refdenotaalfinal"/>
          <w:rFonts w:ascii="Verdana" w:hAnsi="Verdana" w:cs="Arial"/>
          <w:sz w:val="22"/>
        </w:rPr>
        <w:endnoteReference w:id="5"/>
      </w:r>
      <w:r w:rsidR="006512BE" w:rsidRPr="00E7589C">
        <w:rPr>
          <w:rFonts w:ascii="Verdana" w:hAnsi="Verdana" w:cs="Arial"/>
        </w:rPr>
        <w:t xml:space="preserve"> La actividad física permite a la persona </w:t>
      </w:r>
      <w:r w:rsidR="006512BE" w:rsidRPr="00E7589C">
        <w:rPr>
          <w:rFonts w:ascii="Verdana" w:hAnsi="Verdana" w:cs="Arial"/>
        </w:rPr>
        <w:lastRenderedPageBreak/>
        <w:t>satisfacer sus propias necesidades, tales como la estabilidad mental y emocional, la conciencia y la adaptación social, espiritual y moral.</w:t>
      </w:r>
      <w:r w:rsidR="006512BE" w:rsidRPr="00E7589C">
        <w:rPr>
          <w:rStyle w:val="Refdenotaalfinal"/>
          <w:rFonts w:ascii="Verdana" w:hAnsi="Verdana" w:cs="Arial"/>
          <w:sz w:val="22"/>
        </w:rPr>
        <w:endnoteReference w:id="6"/>
      </w:r>
      <w:r w:rsidR="006512BE" w:rsidRPr="00E7589C">
        <w:rPr>
          <w:rFonts w:ascii="Verdana" w:hAnsi="Verdana" w:cs="Arial"/>
          <w:vertAlign w:val="superscript"/>
        </w:rPr>
        <w:t xml:space="preserve">, </w:t>
      </w:r>
      <w:r w:rsidR="006512BE" w:rsidRPr="00E7589C">
        <w:rPr>
          <w:rStyle w:val="Refdenotaalfinal"/>
          <w:rFonts w:ascii="Verdana" w:hAnsi="Verdana" w:cs="Arial"/>
          <w:sz w:val="22"/>
        </w:rPr>
        <w:endnoteReference w:id="7"/>
      </w:r>
    </w:p>
    <w:p w:rsidR="00FF16A2" w:rsidRPr="00E7589C" w:rsidRDefault="009A3FCF" w:rsidP="00542581">
      <w:pPr>
        <w:spacing w:after="80" w:line="360" w:lineRule="auto"/>
        <w:jc w:val="both"/>
        <w:rPr>
          <w:rFonts w:ascii="Verdana" w:hAnsi="Verdana" w:cs="Arial"/>
        </w:rPr>
      </w:pPr>
      <w:r w:rsidRPr="00E7589C">
        <w:rPr>
          <w:rFonts w:ascii="Verdana" w:hAnsi="Verdana" w:cs="Arial"/>
        </w:rPr>
        <w:t xml:space="preserve">La percepción de la calidad de vida, en relación con el estado físico y mental, puede estar sobrestimada o subestimada en personas que se incorporan a la normalidad luego del cambio sufrido por el confinamiento pandémico. </w:t>
      </w:r>
      <w:r w:rsidR="00FA5795" w:rsidRPr="00E7589C">
        <w:rPr>
          <w:rFonts w:ascii="Verdana" w:hAnsi="Verdana" w:cs="Arial"/>
        </w:rPr>
        <w:t>El sector adolescente y juvenil de la población en general también ha sufrido los efectos psicológicos y físicos de la pandemia y en periodo más reciente de incorporación social se han descrito cambios antropométricos, en la condición nutricional, la percepción de la imagen corporal y disminución de la actividad física en este grupo y particularmente en las poblaciones universitarias.</w:t>
      </w:r>
      <w:r w:rsidR="00FA5795" w:rsidRPr="00E7589C">
        <w:rPr>
          <w:rStyle w:val="Refdenotaalfinal"/>
          <w:rFonts w:ascii="Verdana" w:hAnsi="Verdana" w:cs="Arial"/>
          <w:sz w:val="22"/>
        </w:rPr>
        <w:endnoteReference w:id="8"/>
      </w:r>
      <w:r w:rsidR="00FA5795" w:rsidRPr="00E7589C">
        <w:rPr>
          <w:rFonts w:ascii="Verdana" w:hAnsi="Verdana" w:cs="Arial"/>
          <w:vertAlign w:val="superscript"/>
        </w:rPr>
        <w:t>,</w:t>
      </w:r>
      <w:r w:rsidR="00041148" w:rsidRPr="00E7589C">
        <w:rPr>
          <w:rFonts w:ascii="Verdana" w:hAnsi="Verdana" w:cs="Arial"/>
          <w:vertAlign w:val="superscript"/>
        </w:rPr>
        <w:t xml:space="preserve"> </w:t>
      </w:r>
      <w:r w:rsidR="00FA5795" w:rsidRPr="00E7589C">
        <w:rPr>
          <w:rStyle w:val="Refdenotaalfinal"/>
          <w:rFonts w:ascii="Verdana" w:hAnsi="Verdana" w:cs="Arial"/>
          <w:sz w:val="22"/>
        </w:rPr>
        <w:endnoteReference w:id="9"/>
      </w:r>
      <w:r w:rsidR="00FA5795" w:rsidRPr="00E7589C">
        <w:rPr>
          <w:rFonts w:ascii="Verdana" w:hAnsi="Verdana" w:cs="Arial"/>
        </w:rPr>
        <w:t xml:space="preserve"> </w:t>
      </w:r>
    </w:p>
    <w:p w:rsidR="00E2033D" w:rsidRPr="00E7589C" w:rsidRDefault="00FA5795" w:rsidP="00FE5D14">
      <w:pPr>
        <w:spacing w:after="80" w:line="360" w:lineRule="auto"/>
        <w:jc w:val="both"/>
        <w:rPr>
          <w:rFonts w:ascii="Verdana" w:hAnsi="Verdana" w:cs="Arial"/>
        </w:rPr>
      </w:pPr>
      <w:r w:rsidRPr="00E7589C">
        <w:rPr>
          <w:rFonts w:ascii="Verdana" w:hAnsi="Verdana" w:cs="Arial"/>
        </w:rPr>
        <w:t xml:space="preserve">A través de la relación entre la evaluación antropométrica, en su relación con la percepción de su estado físico y mental, se pudiera </w:t>
      </w:r>
      <w:bookmarkStart w:id="2" w:name="_Hlk110483480"/>
      <w:r w:rsidRPr="00E7589C">
        <w:rPr>
          <w:rFonts w:ascii="Verdana" w:hAnsi="Verdana" w:cs="Arial"/>
        </w:rPr>
        <w:t xml:space="preserve">determinar los límites de sobrestimación de la calidad de vida. Por tanto, los autores se plantean como objetivo establecer la correspondencia entre </w:t>
      </w:r>
      <w:r w:rsidR="009A3FCF" w:rsidRPr="00E7589C">
        <w:rPr>
          <w:rFonts w:ascii="Verdana" w:hAnsi="Verdana" w:cs="Arial"/>
        </w:rPr>
        <w:t xml:space="preserve">la percepción de la calidad de vida y </w:t>
      </w:r>
      <w:r w:rsidRPr="00E7589C">
        <w:rPr>
          <w:rFonts w:ascii="Verdana" w:hAnsi="Verdana" w:cs="Arial"/>
        </w:rPr>
        <w:t xml:space="preserve">las características antropométricas en estudiantes universitarios. </w:t>
      </w:r>
    </w:p>
    <w:bookmarkEnd w:id="2"/>
    <w:p w:rsidR="00E2033D" w:rsidRPr="00E7589C" w:rsidRDefault="00FA5795" w:rsidP="00FE5D14">
      <w:pPr>
        <w:spacing w:after="80" w:line="360" w:lineRule="auto"/>
        <w:jc w:val="both"/>
        <w:rPr>
          <w:rFonts w:ascii="Verdana" w:hAnsi="Verdana" w:cs="Arial"/>
          <w:b/>
        </w:rPr>
      </w:pPr>
      <w:r w:rsidRPr="00E7589C">
        <w:rPr>
          <w:rFonts w:ascii="Verdana" w:hAnsi="Verdana" w:cs="Arial"/>
          <w:b/>
        </w:rPr>
        <w:t>Materiales y métodos</w:t>
      </w:r>
    </w:p>
    <w:p w:rsidR="00E2033D" w:rsidRPr="00E7589C" w:rsidRDefault="00FA5795" w:rsidP="00FE5D14">
      <w:pPr>
        <w:spacing w:after="80" w:line="360" w:lineRule="auto"/>
        <w:jc w:val="both"/>
        <w:rPr>
          <w:rFonts w:ascii="Verdana" w:hAnsi="Verdana" w:cs="Arial"/>
        </w:rPr>
      </w:pPr>
      <w:r w:rsidRPr="00E7589C">
        <w:rPr>
          <w:rFonts w:ascii="Verdana" w:hAnsi="Verdana" w:cs="Arial"/>
        </w:rPr>
        <w:t>Se realizó un estudio descriptivo transversal. La muestra fue seleccionada por conveniencia, y estuvo conformada por un total de 47 individuos, estudiantes de primer y segundo año de la carrera de Medicina de la Universidad Ciencias Médicas de Matanzas.</w:t>
      </w:r>
    </w:p>
    <w:p w:rsidR="00E2033D" w:rsidRPr="00E7589C" w:rsidRDefault="00FA5795" w:rsidP="00FE5D14">
      <w:pPr>
        <w:spacing w:after="80" w:line="360" w:lineRule="auto"/>
        <w:jc w:val="both"/>
        <w:rPr>
          <w:rFonts w:ascii="Verdana" w:hAnsi="Verdana" w:cs="Arial"/>
          <w:i/>
        </w:rPr>
      </w:pPr>
      <w:r w:rsidRPr="00E7589C">
        <w:rPr>
          <w:rFonts w:ascii="Verdana" w:hAnsi="Verdana" w:cs="Arial"/>
          <w:i/>
        </w:rPr>
        <w:t>Antropometría</w:t>
      </w:r>
    </w:p>
    <w:p w:rsidR="00E2033D" w:rsidRPr="00E7589C" w:rsidRDefault="00FA5795" w:rsidP="00FE5D14">
      <w:pPr>
        <w:spacing w:after="80" w:line="360" w:lineRule="auto"/>
        <w:jc w:val="both"/>
        <w:rPr>
          <w:rFonts w:ascii="Verdana" w:hAnsi="Verdana" w:cs="Arial"/>
        </w:rPr>
      </w:pPr>
      <w:r w:rsidRPr="00E7589C">
        <w:rPr>
          <w:rFonts w:ascii="Verdana" w:hAnsi="Verdana" w:cs="Arial"/>
        </w:rPr>
        <w:t xml:space="preserve">Las mediciones antropométricas fueron realizadas en el Laboratorio de Antropología Física de </w:t>
      </w:r>
      <w:r w:rsidR="006D678A" w:rsidRPr="00E7589C">
        <w:rPr>
          <w:rFonts w:ascii="Verdana" w:hAnsi="Verdana" w:cs="Arial"/>
        </w:rPr>
        <w:t>esta instituci</w:t>
      </w:r>
      <w:r w:rsidR="00BA67E6" w:rsidRPr="00E7589C">
        <w:rPr>
          <w:rFonts w:ascii="Verdana" w:hAnsi="Verdana" w:cs="Arial"/>
        </w:rPr>
        <w:t>ó</w:t>
      </w:r>
      <w:r w:rsidR="006D678A" w:rsidRPr="00E7589C">
        <w:rPr>
          <w:rFonts w:ascii="Verdana" w:hAnsi="Verdana" w:cs="Arial"/>
        </w:rPr>
        <w:t>n</w:t>
      </w:r>
      <w:r w:rsidRPr="00E7589C">
        <w:rPr>
          <w:rFonts w:ascii="Verdana" w:hAnsi="Verdana" w:cs="Arial"/>
        </w:rPr>
        <w:t>. En todos los casos se realizaron en el horario de la mañana y los procedimientos para la recopilación de las medidas se realizaron siguiendo las recomendaciones técnicas propuestas por la Sociedad Internacional para el Avance en Cineantropometría (ISAK).</w:t>
      </w:r>
    </w:p>
    <w:p w:rsidR="00E2033D" w:rsidRPr="00E7589C" w:rsidRDefault="00FA5795" w:rsidP="00FE5D14">
      <w:pPr>
        <w:spacing w:after="80" w:line="360" w:lineRule="auto"/>
        <w:jc w:val="both"/>
        <w:rPr>
          <w:rFonts w:ascii="Verdana" w:hAnsi="Verdana" w:cs="Arial"/>
        </w:rPr>
      </w:pPr>
      <w:r w:rsidRPr="00E7589C">
        <w:rPr>
          <w:rFonts w:ascii="Verdana" w:hAnsi="Verdana" w:cs="Arial"/>
        </w:rPr>
        <w:t>Las mediciones fueron realizadas por dos investigadores certificados por el ISAK en la Categoría I de Perfil Restringido</w:t>
      </w:r>
      <w:r w:rsidR="00BA67E6" w:rsidRPr="00E7589C">
        <w:rPr>
          <w:rFonts w:ascii="Verdana" w:hAnsi="Verdana" w:cs="Arial"/>
        </w:rPr>
        <w:t xml:space="preserve"> y l</w:t>
      </w:r>
      <w:r w:rsidRPr="00E7589C">
        <w:rPr>
          <w:rFonts w:ascii="Verdana" w:hAnsi="Verdana" w:cs="Arial"/>
        </w:rPr>
        <w:t xml:space="preserve">as medidas antropométricas se desarrollaron siguiendo </w:t>
      </w:r>
      <w:r w:rsidR="00BA67E6" w:rsidRPr="00E7589C">
        <w:rPr>
          <w:rFonts w:ascii="Verdana" w:hAnsi="Verdana" w:cs="Arial"/>
        </w:rPr>
        <w:t>su</w:t>
      </w:r>
      <w:r w:rsidRPr="00E7589C">
        <w:rPr>
          <w:rFonts w:ascii="Verdana" w:hAnsi="Verdana" w:cs="Arial"/>
        </w:rPr>
        <w:t xml:space="preserve"> protocolo para la medición de la talla y el peso corporal, diámetros, circunferencias y pliegues cutáneos.</w:t>
      </w:r>
      <w:r w:rsidRPr="00E7589C">
        <w:rPr>
          <w:rStyle w:val="Refdenotaalfinal"/>
          <w:rFonts w:ascii="Verdana" w:hAnsi="Verdana" w:cs="Arial"/>
          <w:sz w:val="22"/>
        </w:rPr>
        <w:endnoteReference w:id="10"/>
      </w:r>
      <w:r w:rsidRPr="00E7589C">
        <w:rPr>
          <w:rFonts w:ascii="Verdana" w:hAnsi="Verdana" w:cs="Arial"/>
        </w:rPr>
        <w:t xml:space="preserve"> </w:t>
      </w:r>
      <w:bookmarkStart w:id="3" w:name="_Hlk116559717"/>
      <w:r w:rsidRPr="00E7589C">
        <w:rPr>
          <w:rFonts w:ascii="Verdana" w:hAnsi="Verdana" w:cs="Arial"/>
        </w:rPr>
        <w:t xml:space="preserve">El error técnico de los medidores fue menor del 5% para los pliegues cutáneos y del 1% para el resto de las medidas. Todas las medidas se tomaron dos veces en rotación y se calculó la media. Si la diferencia entre las 2 </w:t>
      </w:r>
      <w:r w:rsidRPr="00E7589C">
        <w:rPr>
          <w:rFonts w:ascii="Verdana" w:hAnsi="Verdana" w:cs="Arial"/>
        </w:rPr>
        <w:lastRenderedPageBreak/>
        <w:t xml:space="preserve">medidas era &gt;2 mm, se tomaba una tercera medida y se promediaron las 2 medidas más cercanas. </w:t>
      </w:r>
    </w:p>
    <w:p w:rsidR="00E2033D" w:rsidRPr="00E7589C" w:rsidRDefault="00FA5795" w:rsidP="00FE5D14">
      <w:pPr>
        <w:spacing w:after="80" w:line="360" w:lineRule="auto"/>
        <w:jc w:val="both"/>
        <w:rPr>
          <w:rFonts w:ascii="Verdana" w:hAnsi="Verdana" w:cs="Arial"/>
        </w:rPr>
      </w:pPr>
      <w:r w:rsidRPr="00E7589C">
        <w:rPr>
          <w:rFonts w:ascii="Verdana" w:hAnsi="Verdana" w:cs="Arial"/>
        </w:rPr>
        <w:t xml:space="preserve">Los instrumentos utilizados fueron Calibrador de pliegues cutáneos </w:t>
      </w:r>
      <w:proofErr w:type="spellStart"/>
      <w:r w:rsidRPr="00E7589C">
        <w:rPr>
          <w:rFonts w:ascii="Verdana" w:hAnsi="Verdana" w:cs="Arial"/>
        </w:rPr>
        <w:t>SmartMet</w:t>
      </w:r>
      <w:proofErr w:type="spellEnd"/>
      <w:r w:rsidRPr="00E7589C">
        <w:rPr>
          <w:rFonts w:ascii="Verdana" w:hAnsi="Verdana" w:cs="Arial"/>
        </w:rPr>
        <w:t xml:space="preserve"> con precisión de 0,5 mm para la medición de los panículos adiposos; Antropómetro </w:t>
      </w:r>
      <w:proofErr w:type="spellStart"/>
      <w:r w:rsidRPr="00E7589C">
        <w:rPr>
          <w:rFonts w:ascii="Verdana" w:hAnsi="Verdana" w:cs="Arial"/>
        </w:rPr>
        <w:t>Holtain</w:t>
      </w:r>
      <w:proofErr w:type="spellEnd"/>
      <w:r w:rsidRPr="00E7589C">
        <w:rPr>
          <w:rFonts w:ascii="Verdana" w:hAnsi="Verdana" w:cs="Arial"/>
        </w:rPr>
        <w:t xml:space="preserve"> para la determinación de la estatura, con precisión de 0,1 mm; Calibrador de pequeños diámetros </w:t>
      </w:r>
      <w:proofErr w:type="spellStart"/>
      <w:r w:rsidRPr="00E7589C">
        <w:rPr>
          <w:rFonts w:ascii="Verdana" w:hAnsi="Verdana" w:cs="Arial"/>
        </w:rPr>
        <w:t>SmartMet</w:t>
      </w:r>
      <w:proofErr w:type="spellEnd"/>
      <w:r w:rsidRPr="00E7589C">
        <w:rPr>
          <w:rFonts w:ascii="Verdana" w:hAnsi="Verdana" w:cs="Arial"/>
        </w:rPr>
        <w:t xml:space="preserve"> para la determinación de los diámetros con precisión de 1 mm; Cinta antropométrica metálica </w:t>
      </w:r>
      <w:proofErr w:type="spellStart"/>
      <w:r w:rsidRPr="00E7589C">
        <w:rPr>
          <w:rFonts w:ascii="Verdana" w:hAnsi="Verdana" w:cs="Arial"/>
        </w:rPr>
        <w:t>Nutriequipo</w:t>
      </w:r>
      <w:proofErr w:type="spellEnd"/>
      <w:r w:rsidRPr="00E7589C">
        <w:rPr>
          <w:rFonts w:ascii="Verdana" w:hAnsi="Verdana" w:cs="Arial"/>
        </w:rPr>
        <w:t xml:space="preserve"> Neca1 para la determinación de los perímetros y circunferencias con precisión de 1 mm; y Balanza electrónica KERN con precisión de 0,1kg para la determinación del peso corporal.</w:t>
      </w:r>
    </w:p>
    <w:p w:rsidR="00E2033D" w:rsidRPr="00E7589C" w:rsidRDefault="00FA5795" w:rsidP="00FE5D14">
      <w:pPr>
        <w:spacing w:after="80" w:line="360" w:lineRule="auto"/>
        <w:jc w:val="both"/>
        <w:rPr>
          <w:rFonts w:ascii="Verdana" w:hAnsi="Verdana" w:cs="Arial"/>
        </w:rPr>
      </w:pPr>
      <w:r w:rsidRPr="00E7589C">
        <w:rPr>
          <w:rFonts w:ascii="Verdana" w:hAnsi="Verdana" w:cs="Arial"/>
        </w:rPr>
        <w:t xml:space="preserve">Para evaluar la composición corporal se utilizó el método bicompartimental (Peso= Kg Grasa +Kg Masa Corporal Activa), empleando la ecuación de </w:t>
      </w:r>
      <w:proofErr w:type="spellStart"/>
      <w:r w:rsidRPr="00E7589C">
        <w:rPr>
          <w:rFonts w:ascii="Verdana" w:hAnsi="Verdana" w:cs="Arial"/>
        </w:rPr>
        <w:t>Durnin</w:t>
      </w:r>
      <w:proofErr w:type="spellEnd"/>
      <w:r w:rsidRPr="00E7589C">
        <w:rPr>
          <w:rFonts w:ascii="Verdana" w:hAnsi="Verdana" w:cs="Arial"/>
        </w:rPr>
        <w:t xml:space="preserve"> y </w:t>
      </w:r>
      <w:proofErr w:type="spellStart"/>
      <w:r w:rsidRPr="00E7589C">
        <w:rPr>
          <w:rFonts w:ascii="Verdana" w:hAnsi="Verdana" w:cs="Arial"/>
        </w:rPr>
        <w:t>Rahaman</w:t>
      </w:r>
      <w:proofErr w:type="spellEnd"/>
      <w:r w:rsidRPr="00E7589C">
        <w:rPr>
          <w:rFonts w:ascii="Verdana" w:hAnsi="Verdana" w:cs="Arial"/>
        </w:rPr>
        <w:t>,</w:t>
      </w:r>
      <w:r w:rsidRPr="00E7589C">
        <w:rPr>
          <w:rStyle w:val="Refdenotaalfinal"/>
          <w:rFonts w:ascii="Verdana" w:hAnsi="Verdana" w:cs="Arial"/>
          <w:sz w:val="22"/>
        </w:rPr>
        <w:endnoteReference w:id="11"/>
      </w:r>
      <w:r w:rsidRPr="00E7589C">
        <w:rPr>
          <w:rFonts w:ascii="Verdana" w:hAnsi="Verdana" w:cs="Arial"/>
          <w:vertAlign w:val="superscript"/>
        </w:rPr>
        <w:t xml:space="preserve"> </w:t>
      </w:r>
      <w:r w:rsidRPr="00E7589C">
        <w:rPr>
          <w:rFonts w:ascii="Verdana" w:hAnsi="Verdana" w:cs="Arial"/>
        </w:rPr>
        <w:t xml:space="preserve">publicada en 1987, para los estimados de porcentaje de grasa (% grasa) en hombres y mujeres. La Masa Corporal Activa (Kg MCA) se calculó teniendo en cuenta la relación entre kilogramos grasa (Kg Grasa) y el peso. Los kilogramos de grasa se obtuvieron de la siguiente manera: % grasa*peso/100. La adiposidad se evaluó a partir de la suma de los panículos subescapular, tríceps, supraespinal, abdominal, muslo y pierna para Suma_6_PL. Para Suma_8_PL se utilizó la sumatoria anterior, incluyendo los panículos del bíceps y la cresta iliaca. </w:t>
      </w:r>
    </w:p>
    <w:p w:rsidR="00E2033D" w:rsidRPr="00E7589C" w:rsidRDefault="00FA5795" w:rsidP="00FE5D14">
      <w:pPr>
        <w:spacing w:after="80" w:line="360" w:lineRule="auto"/>
        <w:jc w:val="both"/>
        <w:rPr>
          <w:rFonts w:ascii="Verdana" w:hAnsi="Verdana" w:cs="Arial"/>
        </w:rPr>
      </w:pPr>
      <w:r w:rsidRPr="00E7589C">
        <w:rPr>
          <w:rFonts w:ascii="Verdana" w:hAnsi="Verdana" w:cs="Arial"/>
        </w:rPr>
        <w:t>El cálculo y la calificación del somatotipo antropométrico y la representación realizada en las somatocartas fueron realizadas siguiendo la metodología descrita por Heath y Carter</w:t>
      </w:r>
      <w:r w:rsidR="00C1747D" w:rsidRPr="00E7589C">
        <w:rPr>
          <w:rFonts w:ascii="Verdana" w:hAnsi="Verdana" w:cs="Arial"/>
        </w:rPr>
        <w:t>.</w:t>
      </w:r>
      <w:r w:rsidRPr="00E7589C">
        <w:rPr>
          <w:rStyle w:val="Refdenotaalfinal"/>
          <w:rFonts w:ascii="Verdana" w:hAnsi="Verdana" w:cs="Arial"/>
          <w:sz w:val="22"/>
        </w:rPr>
        <w:endnoteReference w:id="12"/>
      </w:r>
      <w:r w:rsidRPr="00E7589C">
        <w:rPr>
          <w:rFonts w:ascii="Verdana" w:hAnsi="Verdana" w:cs="Arial"/>
        </w:rPr>
        <w:t xml:space="preserve"> Para el mismo fueron evaluados los componentes Endomorfia, Mesomorfia y Ectomorfia. El índice Cintura- Cadera (ICC) fue determinado por la relación entre las circunferencias de la cintura y la cadera. El índice de Masa Corporal (IMC) fue calculado según la fórmula que relaciona el peso en kilogramos entre la talla en metros al cuadrado. La clasificación del estado nutricional de los estudiantes analizados se realizó de acuerdo con los puntos de corte del IMC propuestos por la Organización Mundial para la Salud (OMS), son los siguientes: bajo peso (&lt; 18.5), normal (18.5-24.9), Sobrepeso (25-29.9) y Obesidad (&gt;30).</w:t>
      </w:r>
    </w:p>
    <w:p w:rsidR="00E2033D" w:rsidRPr="00E7589C" w:rsidRDefault="00FA5795" w:rsidP="00FE5D14">
      <w:pPr>
        <w:spacing w:after="80" w:line="360" w:lineRule="auto"/>
        <w:jc w:val="both"/>
        <w:rPr>
          <w:rFonts w:ascii="Verdana" w:hAnsi="Verdana" w:cs="Arial"/>
          <w:i/>
        </w:rPr>
      </w:pPr>
      <w:bookmarkStart w:id="4" w:name="_Hlk116559750"/>
      <w:bookmarkEnd w:id="3"/>
      <w:r w:rsidRPr="00E7589C">
        <w:rPr>
          <w:rFonts w:ascii="Verdana" w:hAnsi="Verdana" w:cs="Arial"/>
          <w:i/>
        </w:rPr>
        <w:t>Evaluación de la Percepción de la Calidad de Vida</w:t>
      </w:r>
    </w:p>
    <w:p w:rsidR="00E2033D" w:rsidRPr="00E7589C" w:rsidRDefault="00FA5795" w:rsidP="00FE5D14">
      <w:pPr>
        <w:spacing w:after="80" w:line="360" w:lineRule="auto"/>
        <w:jc w:val="both"/>
        <w:rPr>
          <w:rFonts w:ascii="Verdana" w:hAnsi="Verdana" w:cs="Arial"/>
        </w:rPr>
      </w:pPr>
      <w:r w:rsidRPr="00E7589C">
        <w:rPr>
          <w:rFonts w:ascii="Verdana" w:hAnsi="Verdana" w:cs="Arial"/>
        </w:rPr>
        <w:t xml:space="preserve">Con el objetivo de valorar la calidad de vida se administró el cuestionario de salud SF36 a toda la muestra. Los participantes cumplimentaron el cuestionario impreso respondiendo a cada una de las preguntas. Dicho cuestionario está formado por 36 </w:t>
      </w:r>
      <w:r w:rsidRPr="00E7589C">
        <w:rPr>
          <w:rFonts w:ascii="Verdana" w:hAnsi="Verdana" w:cs="Arial"/>
        </w:rPr>
        <w:lastRenderedPageBreak/>
        <w:t>preguntas cuyo objetivo es identificar lo que perciben los individuos sobre sus niveles de salud física y mental, caracterizadas en 8 escalas: el componente físico que incluye la Función Física, el Rol Físico, Dolor Corporal y Salud General, y el componente mental que contempla la Vitalidad, Función Social, Rol Emocional y Salud Mental. Se recibieron respuestas en 41 de los casos. Las respuestas de los sujetos se evaluaron a través de peguntas tipo Likert, y cada escala se recodificó según el procedimiento y se presentó el resultado en una puntuación final desde 0 a 100, donde 0 corresponde a un peor estado de salud general, y 100 al mejor estado de salud.</w:t>
      </w:r>
      <w:r w:rsidRPr="00E7589C">
        <w:rPr>
          <w:rStyle w:val="Refdenotaalfinal"/>
          <w:rFonts w:ascii="Verdana" w:hAnsi="Verdana" w:cs="Arial"/>
          <w:sz w:val="22"/>
        </w:rPr>
        <w:endnoteReference w:id="13"/>
      </w:r>
    </w:p>
    <w:p w:rsidR="00E2033D" w:rsidRPr="00E7589C" w:rsidRDefault="00FA5795" w:rsidP="00FE5D14">
      <w:pPr>
        <w:spacing w:after="80" w:line="360" w:lineRule="auto"/>
        <w:jc w:val="both"/>
        <w:rPr>
          <w:rFonts w:ascii="Verdana" w:hAnsi="Verdana" w:cs="Arial"/>
          <w:i/>
        </w:rPr>
      </w:pPr>
      <w:r w:rsidRPr="00E7589C">
        <w:rPr>
          <w:rFonts w:ascii="Verdana" w:hAnsi="Verdana" w:cs="Arial"/>
          <w:i/>
        </w:rPr>
        <w:t>Análisis estadístico</w:t>
      </w:r>
    </w:p>
    <w:p w:rsidR="00E2033D" w:rsidRPr="00E7589C" w:rsidRDefault="00FA5795" w:rsidP="00FE5D14">
      <w:pPr>
        <w:spacing w:after="80" w:line="360" w:lineRule="auto"/>
        <w:jc w:val="both"/>
        <w:rPr>
          <w:rFonts w:ascii="Verdana" w:hAnsi="Verdana" w:cs="Arial"/>
        </w:rPr>
      </w:pPr>
      <w:r w:rsidRPr="00E7589C">
        <w:rPr>
          <w:rFonts w:ascii="Verdana" w:hAnsi="Verdana" w:cs="Arial"/>
        </w:rPr>
        <w:t xml:space="preserve">Se recogieron los datos en tablas de Excel y se analizaron en el SPSS versión 20. Se realizó la estadística descriptiva para cada una de las variables analizadas, utilizando como base las frecuencias absolutas y relativas, la media y la desviación estándar. </w:t>
      </w:r>
    </w:p>
    <w:p w:rsidR="00E2033D" w:rsidRPr="00E7589C" w:rsidRDefault="00FA5795" w:rsidP="00FE5D14">
      <w:pPr>
        <w:spacing w:after="80" w:line="360" w:lineRule="auto"/>
        <w:jc w:val="both"/>
        <w:rPr>
          <w:rFonts w:ascii="Verdana" w:hAnsi="Verdana" w:cs="Arial"/>
        </w:rPr>
      </w:pPr>
      <w:bookmarkStart w:id="5" w:name="_Hlk116559765"/>
      <w:bookmarkEnd w:id="4"/>
      <w:r w:rsidRPr="00E7589C">
        <w:rPr>
          <w:rFonts w:ascii="Verdana" w:hAnsi="Verdana" w:cs="Arial"/>
        </w:rPr>
        <w:t>Para realizar pruebas de estadística inferencial fueron corroborados los supuestos de normalidad con el test de Kolmogorov- Smirnov y el de Shapiro-Wilk; la de homogeneidad de varianza se valoró utilizando la prueba de Levene. Se utilizó el análisis de varianza (ANOVA) a las variables que cumplieron dichos supuestos; el ANOVA Kruskall- Wallis se utilizó cuando alguno de estos no se cumplió en los contrastes de comparación de medias.</w:t>
      </w:r>
    </w:p>
    <w:p w:rsidR="00E2033D" w:rsidRPr="00E7589C" w:rsidRDefault="00FA5795" w:rsidP="00FE5D14">
      <w:pPr>
        <w:spacing w:after="80" w:line="360" w:lineRule="auto"/>
        <w:jc w:val="both"/>
        <w:rPr>
          <w:rFonts w:ascii="Verdana" w:hAnsi="Verdana" w:cs="Arial"/>
          <w:i/>
        </w:rPr>
      </w:pPr>
      <w:r w:rsidRPr="00E7589C">
        <w:rPr>
          <w:rFonts w:ascii="Verdana" w:hAnsi="Verdana" w:cs="Arial"/>
          <w:i/>
        </w:rPr>
        <w:t>Consideraciones éticas</w:t>
      </w:r>
    </w:p>
    <w:p w:rsidR="00E2033D" w:rsidRPr="00E7589C" w:rsidRDefault="00FA5795" w:rsidP="00FE5D14">
      <w:pPr>
        <w:spacing w:after="80" w:line="360" w:lineRule="auto"/>
        <w:jc w:val="both"/>
        <w:rPr>
          <w:rFonts w:ascii="Verdana" w:hAnsi="Verdana" w:cs="Arial"/>
        </w:rPr>
      </w:pPr>
      <w:r w:rsidRPr="00E7589C">
        <w:rPr>
          <w:rFonts w:ascii="Verdana" w:hAnsi="Verdana" w:cs="Arial"/>
        </w:rPr>
        <w:t xml:space="preserve">Como forma de protección de los participantes se brindó de manera oral y escrita un consentimiento informado donde se tuvo en cuenta al mismo como sujeto vulnerable debido al conflicto de intereses generado por efectuarse la investigación en la propia universidad donde se desempeña como estudiante. En el consentimiento se les dio a conocer el objetivo del estudio, se explicó la voluntariedad de la participación y se aseguró su total protección ante su condición especial con garantes de organizaciones estudiantiles y científicas, cuidado del pudor, trato ético y moral adecuado, así como la confidencialidad de la información brindada. La investigación ha seguido los fundamentos propuestos en la </w:t>
      </w:r>
      <w:r w:rsidR="00F23959" w:rsidRPr="00E7589C">
        <w:rPr>
          <w:rFonts w:ascii="Verdana" w:hAnsi="Verdana" w:cs="Arial"/>
        </w:rPr>
        <w:t>D</w:t>
      </w:r>
      <w:r w:rsidRPr="00E7589C">
        <w:rPr>
          <w:rFonts w:ascii="Verdana" w:hAnsi="Verdana" w:cs="Arial"/>
        </w:rPr>
        <w:t xml:space="preserve">eclaración de Helsinki </w:t>
      </w:r>
      <w:r w:rsidR="00F23959" w:rsidRPr="00E7589C">
        <w:rPr>
          <w:rFonts w:ascii="Verdana" w:hAnsi="Verdana" w:cs="Arial"/>
        </w:rPr>
        <w:t>sobre los principios éticos para la investigación médica con seres humanos.</w:t>
      </w:r>
      <w:r w:rsidR="000911AF" w:rsidRPr="00E7589C">
        <w:rPr>
          <w:rStyle w:val="Refdenotaalfinal"/>
          <w:rFonts w:ascii="Verdana" w:hAnsi="Verdana" w:cs="Arial"/>
          <w:sz w:val="22"/>
        </w:rPr>
        <w:endnoteReference w:id="14"/>
      </w:r>
      <w:r w:rsidR="00F23959" w:rsidRPr="00E7589C">
        <w:rPr>
          <w:rFonts w:ascii="Verdana" w:hAnsi="Verdana" w:cs="Arial"/>
        </w:rPr>
        <w:t xml:space="preserve"> La misma</w:t>
      </w:r>
      <w:r w:rsidRPr="00E7589C">
        <w:rPr>
          <w:rFonts w:ascii="Verdana" w:hAnsi="Verdana" w:cs="Arial"/>
        </w:rPr>
        <w:t xml:space="preserve"> fue valorada y aprobada por el Consejo Científico de la institución y su Comité de Ética.</w:t>
      </w:r>
    </w:p>
    <w:p w:rsidR="00BA482C" w:rsidRDefault="00BA482C" w:rsidP="00FE5D14">
      <w:pPr>
        <w:spacing w:after="80" w:line="360" w:lineRule="auto"/>
        <w:jc w:val="both"/>
        <w:rPr>
          <w:rFonts w:ascii="Verdana" w:hAnsi="Verdana" w:cs="Arial"/>
          <w:b/>
        </w:rPr>
      </w:pPr>
      <w:bookmarkStart w:id="6" w:name="_Hlk116559783"/>
      <w:bookmarkEnd w:id="5"/>
    </w:p>
    <w:p w:rsidR="00E2033D" w:rsidRPr="00E7589C" w:rsidRDefault="00FA5795" w:rsidP="00FE5D14">
      <w:pPr>
        <w:spacing w:after="80" w:line="360" w:lineRule="auto"/>
        <w:jc w:val="both"/>
        <w:rPr>
          <w:rFonts w:ascii="Verdana" w:hAnsi="Verdana" w:cs="Arial"/>
          <w:b/>
        </w:rPr>
      </w:pPr>
      <w:r w:rsidRPr="00E7589C">
        <w:rPr>
          <w:rFonts w:ascii="Verdana" w:hAnsi="Verdana" w:cs="Arial"/>
          <w:b/>
        </w:rPr>
        <w:lastRenderedPageBreak/>
        <w:t xml:space="preserve">Resultados </w:t>
      </w:r>
      <w:r w:rsidR="00310533">
        <w:rPr>
          <w:rFonts w:ascii="Verdana" w:hAnsi="Verdana" w:cs="Arial"/>
          <w:b/>
        </w:rPr>
        <w:t>y discusión</w:t>
      </w:r>
    </w:p>
    <w:p w:rsidR="00741B14" w:rsidRPr="00E7589C" w:rsidRDefault="005E1B47" w:rsidP="00741B14">
      <w:pPr>
        <w:spacing w:after="80" w:line="360" w:lineRule="auto"/>
        <w:jc w:val="both"/>
        <w:rPr>
          <w:rFonts w:ascii="Verdana" w:hAnsi="Verdana" w:cs="Arial"/>
        </w:rPr>
      </w:pPr>
      <w:bookmarkStart w:id="7" w:name="_Hlk110763249"/>
      <w:bookmarkEnd w:id="6"/>
      <w:r w:rsidRPr="00E7589C">
        <w:rPr>
          <w:rFonts w:ascii="Verdana" w:hAnsi="Verdana" w:cs="Arial"/>
        </w:rPr>
        <w:t xml:space="preserve">El principal hallazgo de esta investigación es el desequilibro que se evidencia entre la percepción de la calidad de vida y las características corporales del estudiantado universitario. </w:t>
      </w:r>
      <w:r w:rsidR="00741B14" w:rsidRPr="00E7589C">
        <w:rPr>
          <w:rFonts w:ascii="Verdana" w:hAnsi="Verdana" w:cs="Arial"/>
        </w:rPr>
        <w:t xml:space="preserve">Las características descriptivas de la población en estudio se muestran en la tabla 1. El sexo femenino ostentó los mayores porcentajes de grasa y endomorfia o adiposidad relativa. Por su parte, el sexo masculino mostró los sujetos más masa corporal activa, peso, estatura, y mayor linealidad. </w:t>
      </w:r>
      <w:r w:rsidR="008432F6">
        <w:rPr>
          <w:rFonts w:ascii="Verdana" w:hAnsi="Verdana" w:cs="Arial"/>
        </w:rPr>
        <w:t xml:space="preserve">Por otra parte, </w:t>
      </w:r>
      <w:r w:rsidR="00741B14" w:rsidRPr="00E7589C">
        <w:rPr>
          <w:rFonts w:ascii="Verdana" w:hAnsi="Verdana" w:cs="Arial"/>
        </w:rPr>
        <w:t>el análisis de las ocho dimensiones de los componentes físico y mental de la calidad de vida en general y según la categoría de evaluación del IMC</w:t>
      </w:r>
      <w:r w:rsidR="008432F6">
        <w:rPr>
          <w:rFonts w:ascii="Verdana" w:hAnsi="Verdana" w:cs="Arial"/>
        </w:rPr>
        <w:t xml:space="preserve"> se muestra en la tabla 2</w:t>
      </w:r>
      <w:r w:rsidR="00741B14" w:rsidRPr="00E7589C">
        <w:rPr>
          <w:rFonts w:ascii="Verdana" w:hAnsi="Verdana" w:cs="Arial"/>
        </w:rPr>
        <w:t xml:space="preserve">. De manera general los componentes más deprimidos fueron la salud mental, la calidad vital y la salud general de la muestra objeto de estudio. </w:t>
      </w:r>
    </w:p>
    <w:p w:rsidR="00F72A38" w:rsidRPr="00E7589C" w:rsidRDefault="008432F6" w:rsidP="00FE5D14">
      <w:pPr>
        <w:spacing w:after="80" w:line="360" w:lineRule="auto"/>
        <w:jc w:val="both"/>
        <w:rPr>
          <w:rFonts w:ascii="Verdana" w:hAnsi="Verdana" w:cs="Arial"/>
        </w:rPr>
      </w:pPr>
      <w:r>
        <w:rPr>
          <w:rFonts w:ascii="Verdana" w:hAnsi="Verdana" w:cs="Arial"/>
        </w:rPr>
        <w:t>En estos resultados s</w:t>
      </w:r>
      <w:r w:rsidR="005E1B47" w:rsidRPr="00E7589C">
        <w:rPr>
          <w:rFonts w:ascii="Verdana" w:hAnsi="Verdana" w:cs="Arial"/>
        </w:rPr>
        <w:t>e evidencia una sobreestimación o subestimación de la calidad de vida, lo que denota la apreciación distorsionada de la salud a partir de la composición corporal</w:t>
      </w:r>
      <w:r>
        <w:rPr>
          <w:rFonts w:ascii="Verdana" w:hAnsi="Verdana" w:cs="Arial"/>
        </w:rPr>
        <w:t>.</w:t>
      </w:r>
      <w:r w:rsidR="00AE575B" w:rsidRPr="00E7589C">
        <w:rPr>
          <w:rFonts w:ascii="Verdana" w:hAnsi="Verdana" w:cs="Arial"/>
        </w:rPr>
        <w:t xml:space="preserve"> </w:t>
      </w:r>
      <w:r w:rsidR="00F72A38" w:rsidRPr="00E7589C">
        <w:rPr>
          <w:rFonts w:ascii="Verdana" w:hAnsi="Verdana" w:cs="Arial"/>
        </w:rPr>
        <w:t>Los individuos que resultaron sobrepesos y bajo pesos mostraron mayor puntuación en la función y rol físico que los que tuvieron una composición corporal normal según su IMC. Los sobrepesos también refirieron tener mayor salud general, función social y rol emocional que bajo pesos y los de IMC normal.</w:t>
      </w:r>
    </w:p>
    <w:p w:rsidR="0028259E" w:rsidRPr="00E7589C" w:rsidRDefault="00F82133" w:rsidP="0028259E">
      <w:pPr>
        <w:spacing w:after="80" w:line="360" w:lineRule="auto"/>
        <w:jc w:val="both"/>
        <w:rPr>
          <w:rFonts w:ascii="Verdana" w:hAnsi="Verdana" w:cs="Arial"/>
        </w:rPr>
      </w:pPr>
      <w:bookmarkStart w:id="8" w:name="_Hlk110534547"/>
      <w:bookmarkEnd w:id="7"/>
      <w:r>
        <w:rPr>
          <w:rFonts w:ascii="Verdana" w:hAnsi="Verdana" w:cs="Arial"/>
        </w:rPr>
        <w:t>L</w:t>
      </w:r>
      <w:r w:rsidR="0028259E" w:rsidRPr="00E7589C">
        <w:rPr>
          <w:rFonts w:ascii="Verdana" w:hAnsi="Verdana" w:cs="Arial"/>
        </w:rPr>
        <w:t>a estadística descriptiva de la composición corporal y del somatotipo separados por grupos según la evaluación de la calidad de vida global en el sexo femenino</w:t>
      </w:r>
      <w:r w:rsidR="008044FF">
        <w:rPr>
          <w:rFonts w:ascii="Verdana" w:hAnsi="Verdana" w:cs="Arial"/>
        </w:rPr>
        <w:t xml:space="preserve"> se muestra en la tabla 3</w:t>
      </w:r>
      <w:r w:rsidR="0028259E" w:rsidRPr="00E7589C">
        <w:rPr>
          <w:rFonts w:ascii="Verdana" w:hAnsi="Verdana" w:cs="Arial"/>
        </w:rPr>
        <w:t xml:space="preserve"> y </w:t>
      </w:r>
      <w:r w:rsidR="008044FF">
        <w:rPr>
          <w:rFonts w:ascii="Verdana" w:hAnsi="Verdana" w:cs="Arial"/>
        </w:rPr>
        <w:t xml:space="preserve">en </w:t>
      </w:r>
      <w:r w:rsidR="0028259E" w:rsidRPr="00E7589C">
        <w:rPr>
          <w:rFonts w:ascii="Verdana" w:hAnsi="Verdana" w:cs="Arial"/>
        </w:rPr>
        <w:t xml:space="preserve">la tabla 4 el sexo masculino. Se aprecia que las que refirieron tener una calidad de vida muy buena fueron las que tuvieron mayor peso, endomorfia, adiposidad por la suma, índice de masa corporal, índice cintura-cadera y porcentaje de grasa. </w:t>
      </w:r>
    </w:p>
    <w:p w:rsidR="00E2033D" w:rsidRPr="00E7589C" w:rsidRDefault="007E4090" w:rsidP="00FE5D14">
      <w:pPr>
        <w:spacing w:after="80" w:line="360" w:lineRule="auto"/>
        <w:jc w:val="both"/>
        <w:rPr>
          <w:rFonts w:ascii="Verdana" w:hAnsi="Verdana" w:cs="Arial"/>
        </w:rPr>
      </w:pPr>
      <w:r w:rsidRPr="00E7589C">
        <w:rPr>
          <w:rFonts w:ascii="Verdana" w:hAnsi="Verdana" w:cs="Arial"/>
        </w:rPr>
        <w:t>Uno</w:t>
      </w:r>
      <w:r w:rsidR="00FA5795" w:rsidRPr="00E7589C">
        <w:rPr>
          <w:rFonts w:ascii="Verdana" w:hAnsi="Verdana" w:cs="Arial"/>
        </w:rPr>
        <w:t xml:space="preserve"> de los aspectos de interés fue evaluar la calidad de vida en este grupo poblacional para establecer su relación con la valoración nutricional antropométrica. Se ha reportado que, en la etapa universitaria, los estudiantes experimentan con mayor frecuencia trastornos que pueden afectar su salud física y mental. Estos suelen estar relacionados con el aumento de los problemas de salud, la irritabilidad, la depresión, la fatiga, la falta de atención, dificultad para la alcanzar la concentración y el bajo rendimiento escolar universitario.</w:t>
      </w:r>
    </w:p>
    <w:p w:rsidR="00B35BC5" w:rsidRDefault="00FF16A2" w:rsidP="00FE5D14">
      <w:pPr>
        <w:spacing w:after="80" w:line="360" w:lineRule="auto"/>
        <w:jc w:val="both"/>
        <w:rPr>
          <w:rFonts w:ascii="Verdana" w:hAnsi="Verdana" w:cs="Arial"/>
        </w:rPr>
      </w:pPr>
      <w:r w:rsidRPr="00E7589C">
        <w:rPr>
          <w:rFonts w:ascii="Verdana" w:hAnsi="Verdana" w:cs="Arial"/>
        </w:rPr>
        <w:t xml:space="preserve">En este estudio, </w:t>
      </w:r>
      <w:r w:rsidR="006512BE" w:rsidRPr="00E7589C">
        <w:rPr>
          <w:rFonts w:ascii="Verdana" w:hAnsi="Verdana" w:cs="Arial"/>
        </w:rPr>
        <w:t>l</w:t>
      </w:r>
      <w:r w:rsidRPr="00E7589C">
        <w:rPr>
          <w:rFonts w:ascii="Verdana" w:hAnsi="Verdana" w:cs="Arial"/>
        </w:rPr>
        <w:t xml:space="preserve">a composición corporal y el somatotipo separados por grupos según la evaluación de la calidad de vida global en el sexo masculino muestra que los que </w:t>
      </w:r>
      <w:r w:rsidRPr="00E7589C">
        <w:rPr>
          <w:rFonts w:ascii="Verdana" w:hAnsi="Verdana" w:cs="Arial"/>
        </w:rPr>
        <w:lastRenderedPageBreak/>
        <w:t>refirieron tener una calidad de vida muy buena fueron las que tuvieron menor endomorfia, adiposidad y porcentaje de grasa a pesar de su mayor peso corporal peso. Los que refirieron una evaluación de la calidad de vida global de regular fueron los que tuvieron la mayor endomorfia, adiposidad y porcentaje de grasa. Los de mayor calidad de vida tuvieron mayor masa corporal activa mientras los de peor calidad de vida tuvieron menor masa corporal activa.</w:t>
      </w:r>
      <w:r w:rsidR="006512BE" w:rsidRPr="00E7589C">
        <w:rPr>
          <w:rFonts w:ascii="Verdana" w:hAnsi="Verdana" w:cs="Arial"/>
        </w:rPr>
        <w:t xml:space="preserve"> </w:t>
      </w:r>
    </w:p>
    <w:p w:rsidR="00542581" w:rsidRPr="00E7589C" w:rsidRDefault="00A22329" w:rsidP="00542581">
      <w:pPr>
        <w:spacing w:after="80" w:line="360" w:lineRule="auto"/>
        <w:jc w:val="both"/>
        <w:rPr>
          <w:rFonts w:ascii="Verdana" w:hAnsi="Verdana" w:cs="Arial"/>
        </w:rPr>
      </w:pPr>
      <w:r w:rsidRPr="00E7589C">
        <w:rPr>
          <w:rFonts w:ascii="Verdana" w:hAnsi="Verdana" w:cs="Arial"/>
        </w:rPr>
        <w:t>La relación entre el IMC y los niveles de actividad física han sido tema de debate entre los investigadores. Mollinedo Montalvo et a</w:t>
      </w:r>
      <w:r w:rsidR="002D6819" w:rsidRPr="00E7589C">
        <w:rPr>
          <w:rFonts w:ascii="Verdana" w:hAnsi="Verdana" w:cs="Arial"/>
        </w:rPr>
        <w:t>l, evaluaron 563 estudiantes universitarios para correlacionar el valor nutricional, la dieta y la actividad física.</w:t>
      </w:r>
      <w:r w:rsidR="002D6819" w:rsidRPr="00E7589C">
        <w:rPr>
          <w:rStyle w:val="Refdenotaalfinal"/>
          <w:rFonts w:ascii="Verdana" w:hAnsi="Verdana" w:cs="Arial"/>
          <w:sz w:val="22"/>
        </w:rPr>
        <w:endnoteReference w:id="15"/>
      </w:r>
      <w:bookmarkEnd w:id="8"/>
      <w:r w:rsidR="00B35BC5">
        <w:rPr>
          <w:rFonts w:ascii="Verdana" w:hAnsi="Verdana" w:cs="Arial"/>
        </w:rPr>
        <w:t xml:space="preserve"> </w:t>
      </w:r>
      <w:r w:rsidR="00542581" w:rsidRPr="00E7589C">
        <w:rPr>
          <w:rFonts w:ascii="Verdana" w:hAnsi="Verdana" w:cs="Arial"/>
        </w:rPr>
        <w:t>Según Pacheco et al.</w:t>
      </w:r>
      <w:r w:rsidR="00542581" w:rsidRPr="00E7589C">
        <w:rPr>
          <w:rStyle w:val="Refdenotaalfinal"/>
          <w:rFonts w:ascii="Verdana" w:hAnsi="Verdana" w:cs="Arial"/>
          <w:sz w:val="22"/>
        </w:rPr>
        <w:endnoteReference w:id="16"/>
      </w:r>
      <w:r w:rsidR="00542581" w:rsidRPr="00E7589C">
        <w:rPr>
          <w:rFonts w:ascii="Verdana" w:hAnsi="Verdana" w:cs="Arial"/>
        </w:rPr>
        <w:t xml:space="preserve"> y Pozo</w:t>
      </w:r>
      <w:r w:rsidR="00542581" w:rsidRPr="00E7589C">
        <w:rPr>
          <w:rStyle w:val="Refdenotaalfinal"/>
          <w:rFonts w:ascii="Verdana" w:hAnsi="Verdana" w:cs="Arial"/>
          <w:sz w:val="22"/>
        </w:rPr>
        <w:endnoteReference w:id="17"/>
      </w:r>
      <w:r w:rsidR="00542581" w:rsidRPr="00E7589C">
        <w:rPr>
          <w:rFonts w:ascii="Verdana" w:hAnsi="Verdana" w:cs="Arial"/>
        </w:rPr>
        <w:t xml:space="preserve"> en Cuba se han realizado algunas incursiones en el análisis de la calidad de vida de los jóvenes universitarios, pero son pocas las investigaciones. Refieren Villaquirán et al.</w:t>
      </w:r>
      <w:r w:rsidR="00542581" w:rsidRPr="00E7589C">
        <w:rPr>
          <w:rStyle w:val="Refdenotaalfinal"/>
          <w:rFonts w:ascii="Verdana" w:hAnsi="Verdana" w:cs="Arial"/>
          <w:sz w:val="22"/>
        </w:rPr>
        <w:endnoteReference w:id="18"/>
      </w:r>
      <w:r w:rsidR="00542581" w:rsidRPr="00E7589C">
        <w:rPr>
          <w:rFonts w:ascii="Verdana" w:hAnsi="Verdana" w:cs="Arial"/>
        </w:rPr>
        <w:t xml:space="preserve"> que la población universitaria es un grupo importante para análisis de evaluación antropométrica, entre otras razones por condición nutricional. Moreira et al.</w:t>
      </w:r>
      <w:r w:rsidR="00542581" w:rsidRPr="00E7589C">
        <w:rPr>
          <w:rStyle w:val="Refdenotaalfinal"/>
          <w:rFonts w:ascii="Verdana" w:hAnsi="Verdana" w:cs="Arial"/>
          <w:sz w:val="22"/>
        </w:rPr>
        <w:endnoteReference w:id="19"/>
      </w:r>
      <w:r w:rsidR="00542581" w:rsidRPr="00E7589C">
        <w:rPr>
          <w:rFonts w:ascii="Verdana" w:hAnsi="Verdana" w:cs="Arial"/>
        </w:rPr>
        <w:t xml:space="preserve"> y otros autores</w:t>
      </w:r>
      <w:r w:rsidR="00542581" w:rsidRPr="00E7589C">
        <w:rPr>
          <w:rStyle w:val="Refdenotaalfinal"/>
          <w:rFonts w:ascii="Verdana" w:hAnsi="Verdana" w:cs="Arial"/>
          <w:sz w:val="22"/>
        </w:rPr>
        <w:endnoteReference w:id="20"/>
      </w:r>
      <w:r w:rsidR="00542581" w:rsidRPr="00E7589C">
        <w:rPr>
          <w:rFonts w:ascii="Verdana" w:hAnsi="Verdana" w:cs="Arial"/>
          <w:vertAlign w:val="superscript"/>
        </w:rPr>
        <w:t xml:space="preserve">, </w:t>
      </w:r>
      <w:r w:rsidR="00542581" w:rsidRPr="00E7589C">
        <w:rPr>
          <w:rStyle w:val="Refdenotaalfinal"/>
          <w:rFonts w:ascii="Verdana" w:hAnsi="Verdana" w:cs="Arial"/>
          <w:sz w:val="22"/>
        </w:rPr>
        <w:endnoteReference w:id="21"/>
      </w:r>
      <w:r w:rsidR="00542581" w:rsidRPr="00E7589C">
        <w:rPr>
          <w:rFonts w:ascii="Verdana" w:hAnsi="Verdana" w:cs="Arial"/>
        </w:rPr>
        <w:t xml:space="preserve"> lo atribuyen a que el acceso a la universidad incluye cambios importantes en el estilo de vida de los jóvenes, por lo que consideran vital conocer y evaluar la percepción de esta en el alumnado universitario.</w:t>
      </w:r>
    </w:p>
    <w:p w:rsidR="00E2033D" w:rsidRPr="00E7589C" w:rsidRDefault="00FA5795" w:rsidP="00FE5D14">
      <w:pPr>
        <w:spacing w:after="80" w:line="360" w:lineRule="auto"/>
        <w:jc w:val="both"/>
        <w:rPr>
          <w:rFonts w:ascii="Verdana" w:hAnsi="Verdana" w:cs="Arial"/>
        </w:rPr>
      </w:pPr>
      <w:r w:rsidRPr="00E7589C">
        <w:rPr>
          <w:rFonts w:ascii="Verdana" w:hAnsi="Verdana" w:cs="Arial"/>
        </w:rPr>
        <w:t>En un estudio cubano realizado por Pacheco et al.</w:t>
      </w:r>
      <w:r w:rsidR="00542581" w:rsidRPr="00E7589C">
        <w:rPr>
          <w:rFonts w:ascii="Verdana" w:hAnsi="Verdana" w:cs="Arial"/>
          <w:vertAlign w:val="superscript"/>
        </w:rPr>
        <w:t>16</w:t>
      </w:r>
      <w:r w:rsidRPr="00E7589C">
        <w:rPr>
          <w:rFonts w:ascii="Verdana" w:hAnsi="Verdana" w:cs="Arial"/>
        </w:rPr>
        <w:t xml:space="preserve"> en el 2014 sobre calidad de vida relacionada con la salud en un grupo de jóvenes universitarios de La Habana, se constató que el 81 % de ellos planteó que su salud es satisfactoria y los individuos sobrepeso se vieron cuatro veces más afectadas en su calidad de vida que los normopeso.</w:t>
      </w:r>
    </w:p>
    <w:p w:rsidR="002E55E1" w:rsidRPr="00E7589C" w:rsidRDefault="002E55E1" w:rsidP="002E55E1">
      <w:pPr>
        <w:spacing w:after="80" w:line="360" w:lineRule="auto"/>
        <w:jc w:val="both"/>
        <w:rPr>
          <w:rFonts w:ascii="Verdana" w:hAnsi="Verdana" w:cs="Arial"/>
        </w:rPr>
      </w:pPr>
      <w:r w:rsidRPr="00E7589C">
        <w:rPr>
          <w:rFonts w:ascii="Verdana" w:hAnsi="Verdana" w:cs="Arial"/>
        </w:rPr>
        <w:t xml:space="preserve">La figura 1 muestra la representación gráfica del somatotipo antropométrico de Heath-Carter en la somatocarta o diagrama de </w:t>
      </w:r>
      <w:proofErr w:type="spellStart"/>
      <w:r w:rsidRPr="00E7589C">
        <w:rPr>
          <w:rFonts w:ascii="Verdana" w:hAnsi="Verdana" w:cs="Arial"/>
        </w:rPr>
        <w:t>Releaux</w:t>
      </w:r>
      <w:proofErr w:type="spellEnd"/>
      <w:r w:rsidRPr="00E7589C">
        <w:rPr>
          <w:rFonts w:ascii="Verdana" w:hAnsi="Verdana" w:cs="Arial"/>
        </w:rPr>
        <w:t>. Se muestran los resultados en el sexo femenino a la izquierda y en el sexo masculino a la derecha, donde se destacan los componentes del somatotipo según la percepción de la calidad de vida.</w:t>
      </w:r>
    </w:p>
    <w:p w:rsidR="00E2033D" w:rsidRPr="00E7589C" w:rsidRDefault="00FA5795" w:rsidP="00FE5D14">
      <w:pPr>
        <w:spacing w:after="80" w:line="360" w:lineRule="auto"/>
        <w:jc w:val="both"/>
        <w:rPr>
          <w:rFonts w:ascii="Verdana" w:hAnsi="Verdana" w:cs="Arial"/>
        </w:rPr>
      </w:pPr>
      <w:r w:rsidRPr="00E7589C">
        <w:rPr>
          <w:rFonts w:ascii="Verdana" w:hAnsi="Verdana" w:cs="Arial"/>
        </w:rPr>
        <w:t>La presente investigación contrasta con lo reportado en la literatura en el sexo femenino por algunos autores</w:t>
      </w:r>
      <w:r w:rsidR="00542581" w:rsidRPr="00E7589C">
        <w:rPr>
          <w:rFonts w:ascii="Verdana" w:hAnsi="Verdana" w:cs="Arial"/>
          <w:vertAlign w:val="superscript"/>
        </w:rPr>
        <w:t>16</w:t>
      </w:r>
      <w:r w:rsidRPr="00E7589C">
        <w:rPr>
          <w:rFonts w:ascii="Verdana" w:hAnsi="Verdana" w:cs="Arial"/>
          <w:vertAlign w:val="superscript"/>
        </w:rPr>
        <w:t>, 1</w:t>
      </w:r>
      <w:r w:rsidR="00542581" w:rsidRPr="00E7589C">
        <w:rPr>
          <w:rFonts w:ascii="Verdana" w:hAnsi="Verdana" w:cs="Arial"/>
          <w:vertAlign w:val="superscript"/>
        </w:rPr>
        <w:t>7</w:t>
      </w:r>
      <w:r w:rsidRPr="00E7589C">
        <w:rPr>
          <w:rFonts w:ascii="Verdana" w:hAnsi="Verdana" w:cs="Arial"/>
          <w:vertAlign w:val="superscript"/>
        </w:rPr>
        <w:t xml:space="preserve">, </w:t>
      </w:r>
      <w:r w:rsidRPr="00E7589C">
        <w:rPr>
          <w:rStyle w:val="Refdenotaalfinal"/>
          <w:rFonts w:ascii="Verdana" w:hAnsi="Verdana" w:cs="Arial"/>
          <w:sz w:val="22"/>
        </w:rPr>
        <w:endnoteReference w:id="22"/>
      </w:r>
      <w:r w:rsidRPr="00E7589C">
        <w:rPr>
          <w:rFonts w:ascii="Verdana" w:hAnsi="Verdana" w:cs="Arial"/>
        </w:rPr>
        <w:t xml:space="preserve"> porque se obtuvo que en este sexo se sobrestimó la calidad de vida</w:t>
      </w:r>
      <w:r w:rsidR="006512BE" w:rsidRPr="00E7589C">
        <w:rPr>
          <w:rFonts w:ascii="Verdana" w:hAnsi="Verdana" w:cs="Arial"/>
        </w:rPr>
        <w:t xml:space="preserve">. </w:t>
      </w:r>
      <w:r w:rsidRPr="00E7589C">
        <w:rPr>
          <w:rFonts w:ascii="Verdana" w:hAnsi="Verdana" w:cs="Arial"/>
        </w:rPr>
        <w:t>Este fenómeno de distorsión de la imagen corporal ha sido descrito en la literatura internacional, pero la antropometría ha servido, en este caso, como evidencia de la sobrestimación, donde mujeres con un somatotipo no deseado y un sobrepeso en grasa hablan de una calidad de vida muy buena.</w:t>
      </w:r>
      <w:r w:rsidR="00E34D5D" w:rsidRPr="00E7589C">
        <w:rPr>
          <w:rFonts w:ascii="Verdana" w:hAnsi="Verdana" w:cs="Arial"/>
          <w:vertAlign w:val="superscript"/>
        </w:rPr>
        <w:t>16</w:t>
      </w:r>
      <w:r w:rsidRPr="00E7589C">
        <w:rPr>
          <w:rFonts w:ascii="Verdana" w:hAnsi="Verdana" w:cs="Arial"/>
          <w:vertAlign w:val="superscript"/>
        </w:rPr>
        <w:t xml:space="preserve">, </w:t>
      </w:r>
      <w:r w:rsidRPr="00E7589C">
        <w:rPr>
          <w:rStyle w:val="Refdenotaalfinal"/>
          <w:rFonts w:ascii="Verdana" w:hAnsi="Verdana" w:cs="Arial"/>
          <w:sz w:val="22"/>
        </w:rPr>
        <w:endnoteReference w:id="23"/>
      </w:r>
    </w:p>
    <w:p w:rsidR="00B35BC5" w:rsidRDefault="00B35BC5" w:rsidP="00FE5D14">
      <w:pPr>
        <w:spacing w:after="80" w:line="360" w:lineRule="auto"/>
        <w:jc w:val="both"/>
        <w:rPr>
          <w:rFonts w:ascii="Verdana" w:hAnsi="Verdana" w:cs="Arial"/>
        </w:rPr>
      </w:pPr>
      <w:r>
        <w:rPr>
          <w:rFonts w:ascii="Verdana" w:hAnsi="Verdana" w:cs="Arial"/>
        </w:rPr>
        <w:t>Estos datos, se</w:t>
      </w:r>
      <w:r>
        <w:rPr>
          <w:rFonts w:ascii="Verdana" w:hAnsi="Verdana" w:cs="Arial"/>
        </w:rPr>
        <w:t>gún la opinión de los autores,</w:t>
      </w:r>
      <w:r w:rsidRPr="00E7589C">
        <w:rPr>
          <w:rFonts w:ascii="Verdana" w:hAnsi="Verdana" w:cs="Arial"/>
        </w:rPr>
        <w:t xml:space="preserve"> responden a patrones culturales propios del entorno.</w:t>
      </w:r>
      <w:r>
        <w:rPr>
          <w:rFonts w:ascii="Verdana" w:hAnsi="Verdana" w:cs="Arial"/>
        </w:rPr>
        <w:t xml:space="preserve"> La visualización de</w:t>
      </w:r>
      <w:r w:rsidR="00474D83">
        <w:rPr>
          <w:rFonts w:ascii="Verdana" w:hAnsi="Verdana" w:cs="Arial"/>
        </w:rPr>
        <w:t xml:space="preserve"> la imagen corporal en Cuba para la mujer está </w:t>
      </w:r>
      <w:r w:rsidR="00474D83">
        <w:rPr>
          <w:rFonts w:ascii="Verdana" w:hAnsi="Verdana" w:cs="Arial"/>
        </w:rPr>
        <w:lastRenderedPageBreak/>
        <w:t xml:space="preserve">relacionada con el patrón de la mujer voluminosa como estándar de oro. La conocida criollita como ejemplo a imitar influye en la percepción de la </w:t>
      </w:r>
      <w:r w:rsidR="000E6F79">
        <w:rPr>
          <w:rFonts w:ascii="Verdana" w:hAnsi="Verdana" w:cs="Arial"/>
        </w:rPr>
        <w:t>población femenina con respecto a su ideal en imagen corporal.</w:t>
      </w:r>
    </w:p>
    <w:p w:rsidR="00E2033D" w:rsidRPr="00E7589C" w:rsidRDefault="00FA5795" w:rsidP="00FE5D14">
      <w:pPr>
        <w:spacing w:after="80" w:line="360" w:lineRule="auto"/>
        <w:jc w:val="both"/>
        <w:rPr>
          <w:rFonts w:ascii="Verdana" w:hAnsi="Verdana" w:cs="Arial"/>
        </w:rPr>
      </w:pPr>
      <w:r w:rsidRPr="00E7589C">
        <w:rPr>
          <w:rFonts w:ascii="Verdana" w:hAnsi="Verdana" w:cs="Arial"/>
        </w:rPr>
        <w:t>Los resultados de este trabajo derivan</w:t>
      </w:r>
      <w:r w:rsidR="00693F0B">
        <w:rPr>
          <w:rFonts w:ascii="Verdana" w:hAnsi="Verdana" w:cs="Arial"/>
        </w:rPr>
        <w:t xml:space="preserve"> actualmente</w:t>
      </w:r>
      <w:r w:rsidRPr="00E7589C">
        <w:rPr>
          <w:rFonts w:ascii="Verdana" w:hAnsi="Verdana" w:cs="Arial"/>
        </w:rPr>
        <w:t xml:space="preserve"> en el diseño de un plan de intervención educativo donde sin dudas estos jóvenes de reciente incorporación en la carrera de medicina aprenderán más sobre estilos de vida saludables, a valorar su somatotipo, composición corporal y tener mejor precepción de su imagen corporal en base a datos científicos basados en los estudios antropométricos que se introducen por primera vez en la Universidad de Ciencias Médicas de Matanzas.</w:t>
      </w:r>
    </w:p>
    <w:p w:rsidR="00E2033D" w:rsidRPr="00E7589C" w:rsidRDefault="00FA5795" w:rsidP="00FE5D14">
      <w:pPr>
        <w:spacing w:after="80" w:line="360" w:lineRule="auto"/>
        <w:jc w:val="both"/>
        <w:rPr>
          <w:rFonts w:ascii="Verdana" w:hAnsi="Verdana" w:cs="Arial"/>
        </w:rPr>
      </w:pPr>
      <w:r w:rsidRPr="00E7589C">
        <w:rPr>
          <w:rFonts w:ascii="Verdana" w:hAnsi="Verdana" w:cs="Arial"/>
        </w:rPr>
        <w:t>Las principales limitaciones del presente estudio fueron que la población de estudio estuvo enfocada a estudiantes primer y segundo años de medicina, entre 17 y 19 años, y el tamaño de la muestra, además de que la misma se obtuvo de los alumnos que decidieron participar de modo voluntario en el estudio, por lo que no se puede considerar aleatoria. La consecución de un número más elevado de participantes y un muestreo aleatorio permitirían generalizar los resultados que ya constituyen un hallazgo de interés para la institución.</w:t>
      </w:r>
    </w:p>
    <w:p w:rsidR="00E2033D" w:rsidRPr="00E7589C" w:rsidRDefault="00FA5795" w:rsidP="00FE5D14">
      <w:pPr>
        <w:spacing w:after="80" w:line="360" w:lineRule="auto"/>
        <w:jc w:val="both"/>
        <w:rPr>
          <w:rFonts w:ascii="Verdana" w:hAnsi="Verdana" w:cs="Arial"/>
        </w:rPr>
      </w:pPr>
      <w:r w:rsidRPr="00E7589C">
        <w:rPr>
          <w:rFonts w:ascii="Verdana" w:hAnsi="Verdana" w:cs="Arial"/>
        </w:rPr>
        <w:t>Por otro lado, una fortaleza del estudio fue la incorporación de la antropometría nutricional como herramienta práctica que permite dilucidar las verdaderas contradicciones del empleo de cuestionarios para evaluar la calidad de vida.</w:t>
      </w:r>
    </w:p>
    <w:p w:rsidR="004A47F6" w:rsidRPr="00E7589C" w:rsidRDefault="004A47F6" w:rsidP="00FE5D14">
      <w:pPr>
        <w:spacing w:after="80" w:line="360" w:lineRule="auto"/>
        <w:jc w:val="both"/>
        <w:rPr>
          <w:rFonts w:ascii="Verdana" w:hAnsi="Verdana" w:cs="Arial"/>
          <w:b/>
        </w:rPr>
      </w:pPr>
      <w:r w:rsidRPr="00E7589C">
        <w:rPr>
          <w:rFonts w:ascii="Verdana" w:hAnsi="Verdana" w:cs="Arial"/>
          <w:b/>
        </w:rPr>
        <w:t>Conclusiones</w:t>
      </w:r>
    </w:p>
    <w:p w:rsidR="00E2033D" w:rsidRPr="00E7589C" w:rsidRDefault="00FA5795" w:rsidP="00FE5D14">
      <w:pPr>
        <w:spacing w:after="80" w:line="360" w:lineRule="auto"/>
        <w:jc w:val="both"/>
        <w:rPr>
          <w:rFonts w:ascii="Verdana" w:hAnsi="Verdana" w:cs="Arial"/>
        </w:rPr>
      </w:pPr>
      <w:r w:rsidRPr="00E7589C">
        <w:rPr>
          <w:rFonts w:ascii="Verdana" w:hAnsi="Verdana" w:cs="Arial"/>
        </w:rPr>
        <w:t xml:space="preserve">En la presente investigación se concluye que el empleo de las características antropométricas de los sujetos estudiados permitió establecer que en el sexo masculino hubo una correspondencia entre estas y su calidad de vida; por su parte, en el sexo femenino se sobrestimó la calidad de vida reflejado en un mayor lastre para el desempeño en las que refirieron muy buena calidad de vida, así como una subestimación de la calidad de vida de las que tuvieron mejor condición física. </w:t>
      </w:r>
    </w:p>
    <w:p w:rsidR="00E2033D" w:rsidRPr="00E7589C" w:rsidRDefault="00FA5795" w:rsidP="00FE5D14">
      <w:pPr>
        <w:spacing w:after="80" w:line="360" w:lineRule="auto"/>
        <w:jc w:val="both"/>
        <w:rPr>
          <w:rFonts w:ascii="Verdana" w:hAnsi="Verdana" w:cs="Arial"/>
          <w:b/>
        </w:rPr>
      </w:pPr>
      <w:r w:rsidRPr="00E7589C">
        <w:rPr>
          <w:rFonts w:ascii="Verdana" w:hAnsi="Verdana" w:cs="Arial"/>
          <w:b/>
        </w:rPr>
        <w:t>Bibliografía</w:t>
      </w:r>
    </w:p>
    <w:sectPr w:rsidR="00E2033D" w:rsidRPr="00E7589C" w:rsidSect="007751C8">
      <w:footerReference w:type="default" r:id="rId9"/>
      <w:endnotePr>
        <w:numFmt w:val="decimal"/>
      </w:endnotePr>
      <w:pgSz w:w="12242" w:h="15842" w:code="1"/>
      <w:pgMar w:top="1418"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A2F" w:rsidRDefault="001D6A2F">
      <w:pPr>
        <w:spacing w:after="0" w:line="240" w:lineRule="auto"/>
      </w:pPr>
      <w:r>
        <w:separator/>
      </w:r>
    </w:p>
  </w:endnote>
  <w:endnote w:type="continuationSeparator" w:id="0">
    <w:p w:rsidR="001D6A2F" w:rsidRDefault="001D6A2F">
      <w:pPr>
        <w:spacing w:after="0" w:line="240" w:lineRule="auto"/>
      </w:pPr>
      <w:r>
        <w:continuationSeparator/>
      </w:r>
    </w:p>
  </w:endnote>
  <w:endnote w:id="1">
    <w:p w:rsidR="003B66B8" w:rsidRPr="00E7589C" w:rsidRDefault="003B66B8" w:rsidP="00457D4D">
      <w:pPr>
        <w:spacing w:line="360" w:lineRule="auto"/>
        <w:ind w:left="284" w:hanging="284"/>
        <w:rPr>
          <w:rFonts w:ascii="Verdana" w:hAnsi="Verdana" w:cs="Times New Roman"/>
        </w:rPr>
      </w:pPr>
      <w:r w:rsidRPr="008605AB">
        <w:rPr>
          <w:rStyle w:val="Refdenotaalfinal"/>
          <w:rFonts w:ascii="Times New Roman" w:hAnsi="Times New Roman" w:cs="Times New Roman"/>
          <w:szCs w:val="24"/>
          <w:vertAlign w:val="baseline"/>
        </w:rPr>
        <w:endnoteRef/>
      </w:r>
      <w:r w:rsidR="008605AB">
        <w:rPr>
          <w:rFonts w:ascii="Times New Roman" w:hAnsi="Times New Roman" w:cs="Times New Roman"/>
          <w:sz w:val="24"/>
          <w:szCs w:val="24"/>
        </w:rPr>
        <w:t>.</w:t>
      </w:r>
      <w:r w:rsidRPr="00DB2CB9">
        <w:rPr>
          <w:rFonts w:ascii="Times New Roman" w:hAnsi="Times New Roman" w:cs="Times New Roman"/>
          <w:sz w:val="24"/>
          <w:szCs w:val="24"/>
        </w:rPr>
        <w:t xml:space="preserve"> </w:t>
      </w:r>
      <w:r w:rsidRPr="00E7589C">
        <w:rPr>
          <w:rFonts w:ascii="Verdana" w:hAnsi="Verdana" w:cs="Times New Roman"/>
        </w:rPr>
        <w:t xml:space="preserve">Martín Aranda R. Actividad física y calidad de vida en el adulto mayor. Una revisión narrativa. Rev haban cienc méd [Internet]. 2018; 17(5):813-825. Disponible en: </w:t>
      </w:r>
      <w:hyperlink r:id="rId1" w:history="1">
        <w:r w:rsidRPr="00E7589C">
          <w:rPr>
            <w:rStyle w:val="Hipervnculo"/>
            <w:rFonts w:ascii="Verdana" w:hAnsi="Verdana" w:cs="Times New Roman"/>
          </w:rPr>
          <w:t>http://www.revhabanera.sld.cu/index.php/rhab/article/view/2418</w:t>
        </w:r>
      </w:hyperlink>
    </w:p>
  </w:endnote>
  <w:endnote w:id="2">
    <w:p w:rsidR="003B66B8" w:rsidRPr="00E7589C" w:rsidRDefault="003B66B8" w:rsidP="00457D4D">
      <w:pPr>
        <w:spacing w:after="80" w:line="360" w:lineRule="auto"/>
        <w:ind w:left="284" w:hanging="284"/>
        <w:jc w:val="both"/>
        <w:rPr>
          <w:rFonts w:ascii="Verdana" w:hAnsi="Verdana" w:cs="Times New Roman"/>
        </w:rPr>
      </w:pPr>
      <w:r w:rsidRPr="00E7589C">
        <w:rPr>
          <w:rStyle w:val="Refdenotaalfinal"/>
          <w:rFonts w:ascii="Verdana" w:hAnsi="Verdana" w:cs="Times New Roman"/>
          <w:sz w:val="22"/>
          <w:vertAlign w:val="baseline"/>
        </w:rPr>
        <w:endnoteRef/>
      </w:r>
      <w:r w:rsidRPr="00E7589C">
        <w:rPr>
          <w:rFonts w:ascii="Verdana" w:hAnsi="Verdana" w:cs="Times New Roman"/>
        </w:rPr>
        <w:t xml:space="preserve">. Grajales-Toro S, Correa-Silva JP, Cano-Uribe S, Lopera-García D, Pérez-Orozco DJ, Álvarez-Hernández K. Asociación entre calidad de vida relacionada con salud y factores sociodemográficos y antropométricos en una institución de salud de Medellín, Colombia. Rev. Salud. Bosque. 2020; 10 (1): 42-51. DOI: </w:t>
      </w:r>
      <w:hyperlink r:id="rId2" w:history="1">
        <w:r w:rsidRPr="00E7589C">
          <w:rPr>
            <w:rStyle w:val="Hipervnculo"/>
            <w:rFonts w:ascii="Verdana" w:hAnsi="Verdana" w:cs="Times New Roman"/>
          </w:rPr>
          <w:t>https://doi.org/10.18270/rsb.v10i1.2785</w:t>
        </w:r>
      </w:hyperlink>
    </w:p>
  </w:endnote>
  <w:endnote w:id="3">
    <w:p w:rsidR="003B66B8" w:rsidRPr="00E7589C" w:rsidRDefault="003B66B8" w:rsidP="00457D4D">
      <w:pPr>
        <w:spacing w:after="80" w:line="360" w:lineRule="auto"/>
        <w:ind w:left="284" w:hanging="284"/>
        <w:jc w:val="both"/>
        <w:rPr>
          <w:rFonts w:ascii="Verdana" w:hAnsi="Verdana" w:cs="Times New Roman"/>
        </w:rPr>
      </w:pPr>
      <w:r w:rsidRPr="00E7589C">
        <w:rPr>
          <w:rStyle w:val="Refdenotaalfinal"/>
          <w:rFonts w:ascii="Verdana" w:hAnsi="Verdana" w:cs="Times New Roman"/>
          <w:sz w:val="22"/>
          <w:vertAlign w:val="baseline"/>
        </w:rPr>
        <w:endnoteRef/>
      </w:r>
      <w:r w:rsidRPr="00E7589C">
        <w:rPr>
          <w:rFonts w:ascii="Verdana" w:hAnsi="Verdana" w:cs="Times New Roman"/>
        </w:rPr>
        <w:t>. Rico-</w:t>
      </w:r>
      <w:proofErr w:type="gramStart"/>
      <w:r w:rsidRPr="00E7589C">
        <w:rPr>
          <w:rFonts w:ascii="Verdana" w:hAnsi="Verdana" w:cs="Times New Roman"/>
        </w:rPr>
        <w:t>Gallegos</w:t>
      </w:r>
      <w:proofErr w:type="gramEnd"/>
      <w:r w:rsidRPr="00E7589C">
        <w:rPr>
          <w:rFonts w:ascii="Verdana" w:hAnsi="Verdana" w:cs="Times New Roman"/>
        </w:rPr>
        <w:t xml:space="preserve"> CG, Vargas-Esparza G, Poblete-Valderrama FA, Carrillo-Sánchez JL, Rico-Gallegos J, Mena-Quintana B. Hábitos de actividad física y estado de salud durante la pandemia por COVID-19.  Rev Espacios, Especial COVID-19. 2020; 41-42(1): 10 pag.  ISSN: 0798-1050. DOI 10.48082/espacios-a20v41n42p01. Disponible en: </w:t>
      </w:r>
      <w:hyperlink r:id="rId3" w:history="1">
        <w:r w:rsidRPr="00E7589C">
          <w:rPr>
            <w:rStyle w:val="Hipervnculo"/>
            <w:rFonts w:ascii="Verdana" w:hAnsi="Verdana" w:cs="Times New Roman"/>
          </w:rPr>
          <w:t>http://www.revistaespacios.com/a20v41n42/20414201.html</w:t>
        </w:r>
      </w:hyperlink>
    </w:p>
  </w:endnote>
  <w:endnote w:id="4">
    <w:p w:rsidR="003B66B8" w:rsidRPr="00E7589C" w:rsidRDefault="003B66B8" w:rsidP="00457D4D">
      <w:pPr>
        <w:pStyle w:val="Textonotaalfinal"/>
        <w:spacing w:line="360" w:lineRule="auto"/>
        <w:ind w:left="284" w:hanging="284"/>
        <w:rPr>
          <w:rFonts w:ascii="Verdana" w:hAnsi="Verdana" w:cs="Times New Roman"/>
          <w:sz w:val="22"/>
          <w:szCs w:val="22"/>
          <w:lang w:val="en-US"/>
        </w:rPr>
      </w:pPr>
      <w:r w:rsidRPr="00687809">
        <w:rPr>
          <w:rStyle w:val="Refdenotaalfinal"/>
          <w:rFonts w:ascii="Verdana" w:hAnsi="Verdana" w:cs="Times New Roman"/>
          <w:sz w:val="22"/>
          <w:szCs w:val="22"/>
          <w:vertAlign w:val="baseline"/>
        </w:rPr>
        <w:endnoteRef/>
      </w:r>
      <w:r w:rsidRPr="00E7589C">
        <w:rPr>
          <w:rFonts w:ascii="Verdana" w:hAnsi="Verdana" w:cs="Times New Roman"/>
          <w:sz w:val="22"/>
          <w:szCs w:val="22"/>
        </w:rPr>
        <w:t xml:space="preserve"> Fernández-Nieves Y, Coll-Costa J, López-Bueno M, Rodríguez-García A, Bosque-Jiménez J, Mesa-</w:t>
      </w:r>
      <w:proofErr w:type="spellStart"/>
      <w:r w:rsidRPr="00E7589C">
        <w:rPr>
          <w:rFonts w:ascii="Verdana" w:hAnsi="Verdana" w:cs="Times New Roman"/>
          <w:sz w:val="22"/>
          <w:szCs w:val="22"/>
        </w:rPr>
        <w:t>Anoceto</w:t>
      </w:r>
      <w:proofErr w:type="spellEnd"/>
      <w:r w:rsidRPr="00E7589C">
        <w:rPr>
          <w:rFonts w:ascii="Verdana" w:hAnsi="Verdana" w:cs="Times New Roman"/>
          <w:sz w:val="22"/>
          <w:szCs w:val="22"/>
        </w:rPr>
        <w:t xml:space="preserve"> M. Enfoque intersectorial y responsabilidad social universitaria en la gestión del conocimiento sobre actividad física y salud. </w:t>
      </w:r>
      <w:r w:rsidRPr="00E7589C">
        <w:rPr>
          <w:rFonts w:ascii="Verdana" w:hAnsi="Verdana" w:cs="Times New Roman"/>
          <w:sz w:val="22"/>
          <w:szCs w:val="22"/>
          <w:lang w:val="en-US"/>
        </w:rPr>
        <w:t xml:space="preserve">Educ Med Sup. 2020; 34 (2) Disponible </w:t>
      </w:r>
      <w:proofErr w:type="spellStart"/>
      <w:r w:rsidRPr="00E7589C">
        <w:rPr>
          <w:rFonts w:ascii="Verdana" w:hAnsi="Verdana" w:cs="Times New Roman"/>
          <w:sz w:val="22"/>
          <w:szCs w:val="22"/>
          <w:lang w:val="en-US"/>
        </w:rPr>
        <w:t>en</w:t>
      </w:r>
      <w:proofErr w:type="spellEnd"/>
      <w:r w:rsidRPr="00E7589C">
        <w:rPr>
          <w:rFonts w:ascii="Verdana" w:hAnsi="Verdana" w:cs="Times New Roman"/>
          <w:sz w:val="22"/>
          <w:szCs w:val="22"/>
          <w:lang w:val="en-US"/>
        </w:rPr>
        <w:t xml:space="preserve">: </w:t>
      </w:r>
      <w:hyperlink r:id="rId4" w:history="1">
        <w:r w:rsidRPr="00E7589C">
          <w:rPr>
            <w:rStyle w:val="Hipervnculo"/>
            <w:rFonts w:ascii="Verdana" w:hAnsi="Verdana" w:cs="Times New Roman"/>
            <w:sz w:val="22"/>
            <w:szCs w:val="22"/>
            <w:lang w:val="en-US"/>
          </w:rPr>
          <w:t>http://www.ems.sld.cu/index.php/ems/article/view/2129</w:t>
        </w:r>
      </w:hyperlink>
    </w:p>
  </w:endnote>
  <w:endnote w:id="5">
    <w:p w:rsidR="003B66B8" w:rsidRPr="00E7589C" w:rsidRDefault="003B66B8" w:rsidP="00457D4D">
      <w:pPr>
        <w:spacing w:after="80" w:line="360" w:lineRule="auto"/>
        <w:ind w:left="284" w:hanging="284"/>
        <w:jc w:val="both"/>
        <w:rPr>
          <w:rFonts w:ascii="Verdana" w:hAnsi="Verdana" w:cs="Times New Roman"/>
          <w:lang w:val="fr-BE"/>
        </w:rPr>
      </w:pPr>
      <w:r w:rsidRPr="00E7589C">
        <w:rPr>
          <w:rStyle w:val="Refdenotaalfinal"/>
          <w:rFonts w:ascii="Verdana" w:hAnsi="Verdana" w:cs="Times New Roman"/>
          <w:sz w:val="22"/>
          <w:vertAlign w:val="baseline"/>
        </w:rPr>
        <w:endnoteRef/>
      </w:r>
      <w:r w:rsidRPr="00E7589C">
        <w:rPr>
          <w:rFonts w:ascii="Verdana" w:hAnsi="Verdana" w:cs="Times New Roman"/>
          <w:lang w:val="en-US"/>
        </w:rPr>
        <w:t xml:space="preserve">. Ammar A, Brach M, Trabelsi K, Chtourou H, Boukhris O, and Masmoudi L. Effects of COVID-19 Home Confinement on Eating Behaviour and Physical Activity: Results of the ECLB-COVID19 International Online Survey. </w:t>
      </w:r>
      <w:r w:rsidRPr="00E7589C">
        <w:rPr>
          <w:rFonts w:ascii="Verdana" w:hAnsi="Verdana" w:cs="Times New Roman"/>
        </w:rPr>
        <w:t xml:space="preserve">Nutrients. 2020; 12:1583. doi: 10.3390/nu12061583. </w:t>
      </w:r>
      <w:r w:rsidRPr="00E7589C">
        <w:rPr>
          <w:rFonts w:ascii="Verdana" w:hAnsi="Verdana" w:cs="Times New Roman"/>
          <w:lang w:val="fr-BE"/>
        </w:rPr>
        <w:t xml:space="preserve">Disponible </w:t>
      </w:r>
      <w:proofErr w:type="gramStart"/>
      <w:r w:rsidRPr="00E7589C">
        <w:rPr>
          <w:rFonts w:ascii="Verdana" w:hAnsi="Verdana" w:cs="Times New Roman"/>
          <w:lang w:val="fr-BE"/>
        </w:rPr>
        <w:t>en:</w:t>
      </w:r>
      <w:proofErr w:type="gramEnd"/>
      <w:r w:rsidRPr="00E7589C">
        <w:rPr>
          <w:rFonts w:ascii="Verdana" w:hAnsi="Verdana" w:cs="Times New Roman"/>
          <w:lang w:val="fr-BE"/>
        </w:rPr>
        <w:t xml:space="preserve"> </w:t>
      </w:r>
      <w:hyperlink r:id="rId5" w:history="1">
        <w:r w:rsidRPr="00E7589C">
          <w:rPr>
            <w:rStyle w:val="Hipervnculo"/>
            <w:rFonts w:ascii="Verdana" w:hAnsi="Verdana" w:cs="Times New Roman"/>
            <w:lang w:val="fr-BE"/>
          </w:rPr>
          <w:t>https://pubmed.ncbi.nlm.nih.gov/32481594/</w:t>
        </w:r>
      </w:hyperlink>
    </w:p>
  </w:endnote>
  <w:endnote w:id="6">
    <w:p w:rsidR="003B66B8" w:rsidRPr="00E7589C" w:rsidRDefault="003B66B8" w:rsidP="00457D4D">
      <w:pPr>
        <w:spacing w:after="80" w:line="360" w:lineRule="auto"/>
        <w:ind w:left="284" w:hanging="284"/>
        <w:jc w:val="both"/>
        <w:rPr>
          <w:rFonts w:ascii="Verdana" w:hAnsi="Verdana" w:cs="Times New Roman"/>
        </w:rPr>
      </w:pPr>
      <w:r w:rsidRPr="00E7589C">
        <w:rPr>
          <w:rStyle w:val="Refdenotaalfinal"/>
          <w:rFonts w:ascii="Verdana" w:hAnsi="Verdana" w:cs="Times New Roman"/>
          <w:sz w:val="22"/>
          <w:vertAlign w:val="baseline"/>
        </w:rPr>
        <w:endnoteRef/>
      </w:r>
      <w:r w:rsidRPr="00E7589C">
        <w:rPr>
          <w:rFonts w:ascii="Verdana" w:hAnsi="Verdana" w:cs="Times New Roman"/>
        </w:rPr>
        <w:t xml:space="preserve">. Rodríguez-Milián A, Moré-Estupiñán M, Gutiérrez-Pairol M, Rodríguez-Milián A, Moré-Estupiñán M, Gutiérrez-Pairol M. La educación física y la educación para la salud en función de la mejora del rendimiento físico de los estudiantes. Rev Univ y Soc. 2019; 11(1), 410-415. Disponible en: </w:t>
      </w:r>
      <w:hyperlink r:id="rId6" w:history="1">
        <w:r w:rsidRPr="00E7589C">
          <w:rPr>
            <w:rStyle w:val="Hipervnculo"/>
            <w:rFonts w:ascii="Verdana" w:hAnsi="Verdana" w:cs="Times New Roman"/>
          </w:rPr>
          <w:t>http://scielo.sld.cu/scielo.php?script=sci_abstract&amp;pid=S2218-36202019000100410</w:t>
        </w:r>
      </w:hyperlink>
    </w:p>
  </w:endnote>
  <w:endnote w:id="7">
    <w:p w:rsidR="003B66B8" w:rsidRPr="00E7589C" w:rsidRDefault="003B66B8" w:rsidP="00457D4D">
      <w:pPr>
        <w:spacing w:line="360" w:lineRule="auto"/>
        <w:ind w:left="284" w:hanging="284"/>
        <w:rPr>
          <w:rFonts w:ascii="Verdana" w:hAnsi="Verdana" w:cs="Times New Roman"/>
        </w:rPr>
      </w:pPr>
      <w:r w:rsidRPr="008605AB">
        <w:rPr>
          <w:rStyle w:val="Refdenotaalfinal"/>
          <w:rFonts w:ascii="Verdana" w:hAnsi="Verdana" w:cs="Times New Roman"/>
          <w:sz w:val="22"/>
          <w:vertAlign w:val="baseline"/>
        </w:rPr>
        <w:endnoteRef/>
      </w:r>
      <w:r w:rsidRPr="00E7589C">
        <w:rPr>
          <w:rFonts w:ascii="Verdana" w:hAnsi="Verdana" w:cs="Times New Roman"/>
        </w:rPr>
        <w:t xml:space="preserve"> </w:t>
      </w:r>
      <w:proofErr w:type="spellStart"/>
      <w:r w:rsidRPr="00E7589C">
        <w:rPr>
          <w:rFonts w:ascii="Verdana" w:hAnsi="Verdana" w:cs="Times New Roman"/>
        </w:rPr>
        <w:t>Deossa</w:t>
      </w:r>
      <w:proofErr w:type="spellEnd"/>
      <w:r w:rsidRPr="00E7589C">
        <w:rPr>
          <w:rFonts w:ascii="Verdana" w:hAnsi="Verdana" w:cs="Times New Roman"/>
        </w:rPr>
        <w:t xml:space="preserve"> Restrepo GC, Segura Buján MV, Restrepo Betancur LF. Evaluación del estado nutricional y estilo de vida en universitarias de Nutrición y Dietética de México y Colombia. Rev haban cienc méd [Internet]. 2021; 20(4</w:t>
      </w:r>
      <w:proofErr w:type="gramStart"/>
      <w:r w:rsidRPr="00E7589C">
        <w:rPr>
          <w:rFonts w:ascii="Verdana" w:hAnsi="Verdana" w:cs="Times New Roman"/>
        </w:rPr>
        <w:t>):e</w:t>
      </w:r>
      <w:proofErr w:type="gramEnd"/>
      <w:r w:rsidRPr="00E7589C">
        <w:rPr>
          <w:rFonts w:ascii="Verdana" w:hAnsi="Verdana" w:cs="Times New Roman"/>
        </w:rPr>
        <w:t xml:space="preserve">2929. Disponible en: </w:t>
      </w:r>
      <w:hyperlink r:id="rId7" w:history="1">
        <w:r w:rsidRPr="00E7589C">
          <w:rPr>
            <w:rStyle w:val="Hipervnculo"/>
            <w:rFonts w:ascii="Verdana" w:hAnsi="Verdana" w:cs="Times New Roman"/>
          </w:rPr>
          <w:t>http://www.revhabanera.sld.cu/index.php/rhab/article/view/2929</w:t>
        </w:r>
      </w:hyperlink>
    </w:p>
  </w:endnote>
  <w:endnote w:id="8">
    <w:p w:rsidR="003B66B8" w:rsidRPr="00E7589C" w:rsidRDefault="003B66B8" w:rsidP="00457D4D">
      <w:pPr>
        <w:spacing w:after="80" w:line="360" w:lineRule="auto"/>
        <w:ind w:left="284" w:hanging="284"/>
        <w:jc w:val="both"/>
        <w:rPr>
          <w:rFonts w:ascii="Verdana" w:hAnsi="Verdana" w:cs="Times New Roman"/>
        </w:rPr>
      </w:pPr>
      <w:r w:rsidRPr="00E7589C">
        <w:rPr>
          <w:rStyle w:val="Refdenotaalfinal"/>
          <w:rFonts w:ascii="Verdana" w:hAnsi="Verdana" w:cs="Times New Roman"/>
          <w:sz w:val="22"/>
          <w:vertAlign w:val="baseline"/>
        </w:rPr>
        <w:endnoteRef/>
      </w:r>
      <w:r w:rsidRPr="00E7589C">
        <w:rPr>
          <w:rFonts w:ascii="Verdana" w:hAnsi="Verdana" w:cs="Times New Roman"/>
        </w:rPr>
        <w:t xml:space="preserve">. Hernández-Gallardo D, Arencibia-Moreno R, Linares-Girela D, Murillo-Plúa DC, Bosques-Cotelo JJ. Linares Manrique M. Condición nutricional y hábitos alimentarios en estudiantes universitarios de Manabí, Ecuadir. Rev Esp nutr Comunitaria. 2021; 27 (1): 13 pags. Disponible en: </w:t>
      </w:r>
      <w:hyperlink r:id="rId8" w:history="1">
        <w:r w:rsidRPr="00E7589C">
          <w:rPr>
            <w:rStyle w:val="Hipervnculo"/>
            <w:rFonts w:ascii="Verdana" w:hAnsi="Verdana" w:cs="Times New Roman"/>
          </w:rPr>
          <w:t>https://renc.es/imagenes/auxiliar/files/RENC_2021_1_03._-20-0042.pdf</w:t>
        </w:r>
      </w:hyperlink>
    </w:p>
  </w:endnote>
  <w:endnote w:id="9">
    <w:p w:rsidR="003B66B8" w:rsidRPr="00E7589C" w:rsidRDefault="003B66B8" w:rsidP="00457D4D">
      <w:pPr>
        <w:spacing w:after="80" w:line="360" w:lineRule="auto"/>
        <w:ind w:left="284" w:hanging="284"/>
        <w:jc w:val="both"/>
        <w:rPr>
          <w:rFonts w:ascii="Verdana" w:hAnsi="Verdana" w:cs="Times New Roman"/>
        </w:rPr>
      </w:pPr>
      <w:r w:rsidRPr="00E7589C">
        <w:rPr>
          <w:rStyle w:val="Refdenotaalfinal"/>
          <w:rFonts w:ascii="Verdana" w:hAnsi="Verdana" w:cs="Times New Roman"/>
          <w:sz w:val="22"/>
          <w:vertAlign w:val="baseline"/>
        </w:rPr>
        <w:endnoteRef/>
      </w:r>
      <w:r w:rsidRPr="00E7589C">
        <w:rPr>
          <w:rFonts w:ascii="Verdana" w:hAnsi="Verdana" w:cs="Times New Roman"/>
        </w:rPr>
        <w:t xml:space="preserve">. García-Suárez AK. Factores de riesgo para la salud en estudiantes de pregrado del Centro Universitario de Ciencias d ela Salud durante la pandemia por COVID-19, año 2020. Rev Salud Jalisco. 2021; 8 (especial): 5 págs. Disponible en: </w:t>
      </w:r>
      <w:hyperlink r:id="rId9" w:history="1">
        <w:r w:rsidRPr="00E7589C">
          <w:rPr>
            <w:rStyle w:val="Hipervnculo"/>
            <w:rFonts w:ascii="Verdana" w:hAnsi="Verdana" w:cs="Times New Roman"/>
          </w:rPr>
          <w:t>https://www.medigraphic.com/cgi-bin/new/resumen.cgi?IDARTICULO=101505</w:t>
        </w:r>
      </w:hyperlink>
    </w:p>
  </w:endnote>
  <w:endnote w:id="10">
    <w:p w:rsidR="003B66B8" w:rsidRPr="00E7589C" w:rsidRDefault="003B66B8" w:rsidP="00457D4D">
      <w:pPr>
        <w:spacing w:after="80" w:line="360" w:lineRule="auto"/>
        <w:ind w:left="284" w:hanging="284"/>
        <w:jc w:val="both"/>
        <w:rPr>
          <w:rFonts w:ascii="Verdana" w:hAnsi="Verdana" w:cs="Times New Roman"/>
        </w:rPr>
      </w:pPr>
      <w:r w:rsidRPr="00E7589C">
        <w:rPr>
          <w:rStyle w:val="Refdenotaalfinal"/>
          <w:rFonts w:ascii="Verdana" w:hAnsi="Verdana" w:cs="Times New Roman"/>
          <w:sz w:val="22"/>
          <w:vertAlign w:val="baseline"/>
        </w:rPr>
        <w:endnoteRef/>
      </w:r>
      <w:r w:rsidRPr="00E7589C">
        <w:rPr>
          <w:rFonts w:ascii="Verdana" w:hAnsi="Verdana" w:cs="Times New Roman"/>
        </w:rPr>
        <w:t xml:space="preserve">. Esparza-Ros F, Vaquero-Cristóbal R, Marfell-Jones M. Protocolo Internacional para la Valoración Antropométrica. Sociedad internacional para el Avance en la Cineantropometría. Editorial Universidad católica de Murcia. 2019. ISBN: 978-84-16045-28-0. Depósito legal: MU288-2019. Disponible en: </w:t>
      </w:r>
      <w:hyperlink r:id="rId10" w:history="1">
        <w:r w:rsidRPr="00E7589C">
          <w:rPr>
            <w:rStyle w:val="Hipervnculo"/>
            <w:rFonts w:ascii="Verdana" w:hAnsi="Verdana" w:cs="Times New Roman"/>
          </w:rPr>
          <w:t>https://dl-manual.com/doc/16-11-27-manual-isak-27-11-16-donx1pnld2vq</w:t>
        </w:r>
      </w:hyperlink>
    </w:p>
  </w:endnote>
  <w:endnote w:id="11">
    <w:p w:rsidR="003B66B8" w:rsidRPr="00E7589C" w:rsidRDefault="003B66B8" w:rsidP="00457D4D">
      <w:pPr>
        <w:spacing w:after="80" w:line="360" w:lineRule="auto"/>
        <w:ind w:left="284" w:hanging="284"/>
        <w:jc w:val="both"/>
        <w:rPr>
          <w:rFonts w:ascii="Verdana" w:hAnsi="Verdana" w:cs="Times New Roman"/>
          <w:lang w:val="en-US"/>
        </w:rPr>
      </w:pPr>
      <w:r w:rsidRPr="00E7589C">
        <w:rPr>
          <w:rStyle w:val="Refdenotaalfinal"/>
          <w:rFonts w:ascii="Verdana" w:hAnsi="Verdana" w:cs="Times New Roman"/>
          <w:sz w:val="22"/>
          <w:vertAlign w:val="baseline"/>
        </w:rPr>
        <w:endnoteRef/>
      </w:r>
      <w:r w:rsidRPr="00E7589C">
        <w:rPr>
          <w:rFonts w:ascii="Verdana" w:hAnsi="Verdana" w:cs="Times New Roman"/>
        </w:rPr>
        <w:t xml:space="preserve">. Durnin-JVGA, Rahaman MM. </w:t>
      </w:r>
      <w:r w:rsidRPr="00E7589C">
        <w:rPr>
          <w:rFonts w:ascii="Verdana" w:hAnsi="Verdana" w:cs="Times New Roman"/>
          <w:lang w:val="en-US"/>
        </w:rPr>
        <w:t>The assessment of the amount of fat in human body from measurement of skinfold thicknes. Br. J. Nutr. (1967); 21: 681-93.</w:t>
      </w:r>
    </w:p>
  </w:endnote>
  <w:endnote w:id="12">
    <w:p w:rsidR="003B66B8" w:rsidRPr="00E7589C" w:rsidRDefault="003B66B8" w:rsidP="00457D4D">
      <w:pPr>
        <w:spacing w:after="80" w:line="360" w:lineRule="auto"/>
        <w:ind w:left="284" w:hanging="284"/>
        <w:jc w:val="both"/>
        <w:rPr>
          <w:rFonts w:ascii="Verdana" w:hAnsi="Verdana" w:cs="Times New Roman"/>
          <w:lang w:val="en-US"/>
        </w:rPr>
      </w:pPr>
      <w:r w:rsidRPr="00E7589C">
        <w:rPr>
          <w:rStyle w:val="Refdenotaalfinal"/>
          <w:rFonts w:ascii="Verdana" w:hAnsi="Verdana" w:cs="Times New Roman"/>
          <w:sz w:val="22"/>
          <w:vertAlign w:val="baseline"/>
        </w:rPr>
        <w:endnoteRef/>
      </w:r>
      <w:r w:rsidRPr="00E7589C">
        <w:rPr>
          <w:rFonts w:ascii="Verdana" w:hAnsi="Verdana" w:cs="Times New Roman"/>
          <w:lang w:val="en-US"/>
        </w:rPr>
        <w:t>. Carter JE, Heath BH Somatotyping: development and applications. 1st edition. New York: Cambridge University Press; 1990.p. 145-429.</w:t>
      </w:r>
    </w:p>
  </w:endnote>
  <w:endnote w:id="13">
    <w:p w:rsidR="003B66B8" w:rsidRPr="00E7589C" w:rsidRDefault="003B66B8" w:rsidP="00457D4D">
      <w:pPr>
        <w:spacing w:after="80" w:line="360" w:lineRule="auto"/>
        <w:ind w:left="284" w:hanging="284"/>
        <w:jc w:val="both"/>
        <w:rPr>
          <w:rFonts w:ascii="Verdana" w:hAnsi="Verdana" w:cs="Times New Roman"/>
        </w:rPr>
      </w:pPr>
      <w:r w:rsidRPr="00E7589C">
        <w:rPr>
          <w:rStyle w:val="Refdenotaalfinal"/>
          <w:rFonts w:ascii="Verdana" w:hAnsi="Verdana" w:cs="Times New Roman"/>
          <w:sz w:val="22"/>
          <w:vertAlign w:val="baseline"/>
        </w:rPr>
        <w:endnoteRef/>
      </w:r>
      <w:r w:rsidRPr="00E7589C">
        <w:rPr>
          <w:rFonts w:ascii="Verdana" w:hAnsi="Verdana" w:cs="Times New Roman"/>
          <w:lang w:val="en-US"/>
        </w:rPr>
        <w:t xml:space="preserve">. Vilagut G, Alonso-Caballero J. Cuestionario genérico SF-36, SF-12, SF-8. </w:t>
      </w:r>
      <w:r w:rsidRPr="00E7589C">
        <w:rPr>
          <w:rFonts w:ascii="Verdana" w:hAnsi="Verdana" w:cs="Times New Roman"/>
        </w:rPr>
        <w:t>En: Guell Rous MR, Mirante Vélez F. Manual SEPAR de procedimientos, herramienta para la medida de la Calidad de vida relacionada con la salud. Ed Novartis Farmacéutica S.A. Barcelona; 2007. ISBN Obra completa 84-7989-152-1 Ref:543AB056.</w:t>
      </w:r>
    </w:p>
  </w:endnote>
  <w:endnote w:id="14">
    <w:p w:rsidR="003B66B8" w:rsidRPr="00E7589C" w:rsidRDefault="003B66B8" w:rsidP="00457D4D">
      <w:pPr>
        <w:spacing w:after="80" w:line="360" w:lineRule="auto"/>
        <w:ind w:left="284" w:hanging="284"/>
        <w:jc w:val="both"/>
        <w:rPr>
          <w:rFonts w:ascii="Verdana" w:hAnsi="Verdana" w:cs="Times New Roman"/>
        </w:rPr>
      </w:pPr>
      <w:r w:rsidRPr="008605AB">
        <w:rPr>
          <w:rStyle w:val="Refdenotaalfinal"/>
          <w:rFonts w:ascii="Verdana" w:hAnsi="Verdana" w:cs="Times New Roman"/>
          <w:sz w:val="22"/>
          <w:vertAlign w:val="baseline"/>
        </w:rPr>
        <w:endnoteRef/>
      </w:r>
      <w:r w:rsidRPr="008605AB">
        <w:rPr>
          <w:rFonts w:ascii="Verdana" w:hAnsi="Verdana" w:cs="Times New Roman"/>
        </w:rPr>
        <w:t xml:space="preserve"> </w:t>
      </w:r>
      <w:r w:rsidRPr="00E7589C">
        <w:rPr>
          <w:rFonts w:ascii="Verdana" w:hAnsi="Verdana" w:cs="Times New Roman"/>
        </w:rPr>
        <w:t xml:space="preserve">AMM. Declaración de Helsinki de la Asociación Médica Mundial. Principios éticos para la investigación médica con seres humanos. JAMA, 2013; 310 (20): 2191-2194. DOI: 10.1001/jama.2013.281053 Disponible en: </w:t>
      </w:r>
      <w:hyperlink r:id="rId11" w:tgtFrame="_blank" w:history="1">
        <w:r w:rsidRPr="00E7589C">
          <w:rPr>
            <w:rStyle w:val="Hipervnculo"/>
            <w:rFonts w:ascii="Verdana" w:hAnsi="Verdana" w:cs="Times New Roman"/>
          </w:rPr>
          <w:t>http://bvs.sld.cu/revistas/recursos/helsinki.pdf</w:t>
        </w:r>
      </w:hyperlink>
    </w:p>
  </w:endnote>
  <w:endnote w:id="15">
    <w:p w:rsidR="003B66B8" w:rsidRPr="00E7589C" w:rsidRDefault="003B66B8" w:rsidP="00457D4D">
      <w:pPr>
        <w:pStyle w:val="Textonotaalfinal"/>
        <w:spacing w:line="360" w:lineRule="auto"/>
        <w:ind w:left="284" w:hanging="284"/>
        <w:rPr>
          <w:rFonts w:ascii="Verdana" w:hAnsi="Verdana" w:cs="Times New Roman"/>
          <w:sz w:val="22"/>
          <w:szCs w:val="22"/>
        </w:rPr>
      </w:pPr>
      <w:r w:rsidRPr="008605AB">
        <w:rPr>
          <w:rStyle w:val="Refdenotaalfinal"/>
          <w:rFonts w:ascii="Verdana" w:hAnsi="Verdana" w:cs="Times New Roman"/>
          <w:sz w:val="22"/>
          <w:szCs w:val="22"/>
          <w:vertAlign w:val="baseline"/>
        </w:rPr>
        <w:endnoteRef/>
      </w:r>
      <w:r w:rsidRPr="00E7589C">
        <w:rPr>
          <w:rFonts w:ascii="Verdana" w:hAnsi="Verdana" w:cs="Times New Roman"/>
          <w:sz w:val="22"/>
          <w:szCs w:val="22"/>
        </w:rPr>
        <w:t xml:space="preserve"> Mollinedo-Montaño F, Trejo-Ortiz P, Araujo-Espino R, Lugo-Balderas L. Índice de masa corporal, frecuencia y motivos de estudiantes universitarios para realizar actividad física. Educación Médica Superior [Internet]. 2013 [citado 22 Sep 2022]; 27 (3) Disponible en: </w:t>
      </w:r>
      <w:hyperlink r:id="rId12" w:history="1">
        <w:r w:rsidRPr="00E7589C">
          <w:rPr>
            <w:rStyle w:val="Hipervnculo"/>
            <w:rFonts w:ascii="Verdana" w:hAnsi="Verdana" w:cs="Times New Roman"/>
            <w:sz w:val="22"/>
            <w:szCs w:val="22"/>
          </w:rPr>
          <w:t>http://www.ems.sld.cu/index.php/ems/article/view/218</w:t>
        </w:r>
      </w:hyperlink>
    </w:p>
  </w:endnote>
  <w:endnote w:id="16">
    <w:p w:rsidR="003B66B8" w:rsidRPr="00E7589C" w:rsidRDefault="003B66B8" w:rsidP="00457D4D">
      <w:pPr>
        <w:spacing w:after="80" w:line="360" w:lineRule="auto"/>
        <w:ind w:left="284" w:hanging="284"/>
        <w:jc w:val="both"/>
        <w:rPr>
          <w:rFonts w:ascii="Verdana" w:hAnsi="Verdana" w:cs="Times New Roman"/>
        </w:rPr>
      </w:pPr>
      <w:r w:rsidRPr="00E7589C">
        <w:rPr>
          <w:rStyle w:val="Refdenotaalfinal"/>
          <w:rFonts w:ascii="Verdana" w:hAnsi="Verdana" w:cs="Times New Roman"/>
          <w:sz w:val="22"/>
          <w:vertAlign w:val="baseline"/>
        </w:rPr>
        <w:endnoteRef/>
      </w:r>
      <w:r w:rsidRPr="00E7589C">
        <w:rPr>
          <w:rFonts w:ascii="Verdana" w:hAnsi="Verdana" w:cs="Times New Roman"/>
        </w:rPr>
        <w:t xml:space="preserve">. Pacheco-Rodríguez MD, Michelena-González MA, Mora-González RS, Miranda-Gómez O. Calidad de vida relacionada con la salud en estudiantes universitarios. Rev Cub Med Mil. 2014; 43 (2):157-168. Disponible en: </w:t>
      </w:r>
      <w:hyperlink r:id="rId13" w:history="1">
        <w:r w:rsidRPr="00E7589C">
          <w:rPr>
            <w:rStyle w:val="Hipervnculo"/>
            <w:rFonts w:ascii="Verdana" w:hAnsi="Verdana" w:cs="Times New Roman"/>
          </w:rPr>
          <w:t>http://scielo.sld.cu/scielo.php?script=sci_arttext&amp;pid=S0138-6</w:t>
        </w:r>
      </w:hyperlink>
    </w:p>
  </w:endnote>
  <w:endnote w:id="17">
    <w:p w:rsidR="003B66B8" w:rsidRPr="00E7589C" w:rsidRDefault="003B66B8" w:rsidP="00457D4D">
      <w:pPr>
        <w:spacing w:after="80" w:line="360" w:lineRule="auto"/>
        <w:ind w:left="284" w:hanging="284"/>
        <w:jc w:val="both"/>
        <w:rPr>
          <w:rFonts w:ascii="Verdana" w:hAnsi="Verdana" w:cs="Times New Roman"/>
        </w:rPr>
      </w:pPr>
      <w:r w:rsidRPr="00E7589C">
        <w:rPr>
          <w:rStyle w:val="Refdenotaalfinal"/>
          <w:rFonts w:ascii="Verdana" w:hAnsi="Verdana" w:cs="Times New Roman"/>
          <w:sz w:val="22"/>
          <w:vertAlign w:val="baseline"/>
        </w:rPr>
        <w:endnoteRef/>
      </w:r>
      <w:r w:rsidRPr="00E7589C">
        <w:rPr>
          <w:rFonts w:ascii="Verdana" w:hAnsi="Verdana" w:cs="Times New Roman"/>
        </w:rPr>
        <w:t xml:space="preserve">. Pozo-Pozo D. Estado nutricional y variables antropométricas en adolescentes del Policlínico Universitario “Luis Augusto Turcios Lima”. Rev de Cienc Med de Pinar del Río 2021; 25 (4): e5091. ISSN 1561-3194. Disponible en: </w:t>
      </w:r>
      <w:hyperlink r:id="rId14" w:history="1">
        <w:r w:rsidRPr="00E7589C">
          <w:rPr>
            <w:rStyle w:val="Hipervnculo"/>
            <w:rFonts w:ascii="Verdana" w:hAnsi="Verdana" w:cs="Times New Roman"/>
          </w:rPr>
          <w:t>http://www.revcmpinar.sld.cu/index.php/publicaciones/article/view/5091/4578</w:t>
        </w:r>
      </w:hyperlink>
    </w:p>
  </w:endnote>
  <w:endnote w:id="18">
    <w:p w:rsidR="003B66B8" w:rsidRPr="00E7589C" w:rsidRDefault="003B66B8" w:rsidP="00457D4D">
      <w:pPr>
        <w:spacing w:after="80" w:line="360" w:lineRule="auto"/>
        <w:ind w:left="284" w:hanging="284"/>
        <w:jc w:val="both"/>
        <w:rPr>
          <w:rFonts w:ascii="Verdana" w:hAnsi="Verdana" w:cs="Times New Roman"/>
        </w:rPr>
      </w:pPr>
      <w:r w:rsidRPr="00E7589C">
        <w:rPr>
          <w:rStyle w:val="Refdenotaalfinal"/>
          <w:rFonts w:ascii="Verdana" w:hAnsi="Verdana" w:cs="Times New Roman"/>
          <w:sz w:val="22"/>
          <w:vertAlign w:val="baseline"/>
        </w:rPr>
        <w:endnoteRef/>
      </w:r>
      <w:r w:rsidRPr="00E7589C">
        <w:rPr>
          <w:rFonts w:ascii="Verdana" w:hAnsi="Verdana" w:cs="Times New Roman"/>
        </w:rPr>
        <w:t xml:space="preserve">. Villaquiran-AF, Cuero P, Ceron GM, Ordoñez A, Jácome S. Características antropométricas, hábitos nutricionales, actividad física y consumo de alcohol en estudiantes universitarios. Salud UIS. 2020; 52 (2): 111-120. doi: </w:t>
      </w:r>
      <w:hyperlink r:id="rId15" w:history="1">
        <w:r w:rsidRPr="00E7589C">
          <w:rPr>
            <w:rStyle w:val="Hipervnculo"/>
            <w:rFonts w:ascii="Verdana" w:hAnsi="Verdana" w:cs="Times New Roman"/>
          </w:rPr>
          <w:t>http://dx.doi.org/10.18273/revsal.v52n2-2020005</w:t>
        </w:r>
      </w:hyperlink>
    </w:p>
  </w:endnote>
  <w:endnote w:id="19">
    <w:p w:rsidR="003B66B8" w:rsidRPr="00E7589C" w:rsidRDefault="003B66B8" w:rsidP="00457D4D">
      <w:pPr>
        <w:spacing w:after="80" w:line="360" w:lineRule="auto"/>
        <w:ind w:left="284" w:hanging="284"/>
        <w:jc w:val="both"/>
        <w:rPr>
          <w:rFonts w:ascii="Verdana" w:hAnsi="Verdana" w:cs="Times New Roman"/>
        </w:rPr>
      </w:pPr>
      <w:r w:rsidRPr="00E7589C">
        <w:rPr>
          <w:rStyle w:val="Refdenotaalfinal"/>
          <w:rFonts w:ascii="Verdana" w:hAnsi="Verdana" w:cs="Times New Roman"/>
          <w:sz w:val="22"/>
          <w:vertAlign w:val="baseline"/>
        </w:rPr>
        <w:endnoteRef/>
      </w:r>
      <w:r w:rsidRPr="00E7589C">
        <w:rPr>
          <w:rFonts w:ascii="Verdana" w:hAnsi="Verdana" w:cs="Times New Roman"/>
        </w:rPr>
        <w:t xml:space="preserve">. Moreira-Pérez D, Dueñas-Núñez MV, Alfonso-Moré A. El estilo de vida y su correlación con el índice de masa corporal en estudiantes de 2do año de la comunidad de la universidad de las ciencias informáticas. Rev Cient Olimpia. 2018; 15 (50), 108-118.  Disponible en: </w:t>
      </w:r>
      <w:hyperlink r:id="rId16" w:history="1">
        <w:r w:rsidRPr="00E7589C">
          <w:rPr>
            <w:rStyle w:val="Hipervnculo"/>
            <w:rFonts w:ascii="Verdana" w:hAnsi="Verdana" w:cs="Times New Roman"/>
          </w:rPr>
          <w:t>https://revistas.udg.co.cu/index.php/olimpia/article/view/92</w:t>
        </w:r>
      </w:hyperlink>
    </w:p>
  </w:endnote>
  <w:endnote w:id="20">
    <w:p w:rsidR="003B66B8" w:rsidRPr="00E7589C" w:rsidRDefault="003B66B8" w:rsidP="00457D4D">
      <w:pPr>
        <w:spacing w:after="80" w:line="360" w:lineRule="auto"/>
        <w:ind w:left="284" w:hanging="284"/>
        <w:jc w:val="both"/>
        <w:rPr>
          <w:rFonts w:ascii="Verdana" w:hAnsi="Verdana" w:cs="Times New Roman"/>
        </w:rPr>
      </w:pPr>
      <w:r w:rsidRPr="00E7589C">
        <w:rPr>
          <w:rStyle w:val="Refdenotaalfinal"/>
          <w:rFonts w:ascii="Verdana" w:hAnsi="Verdana" w:cs="Times New Roman"/>
          <w:sz w:val="22"/>
          <w:vertAlign w:val="baseline"/>
        </w:rPr>
        <w:endnoteRef/>
      </w:r>
      <w:r w:rsidRPr="00E7589C">
        <w:rPr>
          <w:rFonts w:ascii="Verdana" w:hAnsi="Verdana" w:cs="Times New Roman"/>
        </w:rPr>
        <w:t xml:space="preserve">. Heeren GA, Jemmott JB, Marange CS, Rumosa GA, Batidzirai JM, Ngwane Z, Mandeya A, Tyler JC. </w:t>
      </w:r>
      <w:r w:rsidRPr="00E7589C">
        <w:rPr>
          <w:rFonts w:ascii="Verdana" w:hAnsi="Verdana" w:cs="Times New Roman"/>
          <w:lang w:val="en-US"/>
        </w:rPr>
        <w:t xml:space="preserve">Health-Promotion Intervention Increases Self-Reported Physical Activity in Sub-Saharan African University Students: A Randomized Controlled Pilot Study. </w:t>
      </w:r>
      <w:r w:rsidRPr="00E7589C">
        <w:rPr>
          <w:rFonts w:ascii="Verdana" w:hAnsi="Verdana" w:cs="Times New Roman"/>
        </w:rPr>
        <w:t xml:space="preserve">Behavioral Medicine. 2019; 44 (4): 297-305. Disponible en: </w:t>
      </w:r>
      <w:hyperlink r:id="rId17" w:history="1">
        <w:r w:rsidRPr="00E7589C">
          <w:rPr>
            <w:rStyle w:val="Hipervnculo"/>
            <w:rFonts w:ascii="Verdana" w:hAnsi="Verdana" w:cs="Times New Roman"/>
          </w:rPr>
          <w:t>https://pubmed.ncbi.nlm.nih.gov/28682186</w:t>
        </w:r>
      </w:hyperlink>
    </w:p>
  </w:endnote>
  <w:endnote w:id="21">
    <w:p w:rsidR="003B66B8" w:rsidRPr="00E7589C" w:rsidRDefault="003B66B8" w:rsidP="00457D4D">
      <w:pPr>
        <w:spacing w:after="80" w:line="360" w:lineRule="auto"/>
        <w:ind w:left="284" w:hanging="284"/>
        <w:jc w:val="both"/>
        <w:rPr>
          <w:rFonts w:ascii="Verdana" w:hAnsi="Verdana" w:cs="Times New Roman"/>
        </w:rPr>
      </w:pPr>
      <w:r w:rsidRPr="00E7589C">
        <w:rPr>
          <w:rStyle w:val="Refdenotaalfinal"/>
          <w:rFonts w:ascii="Verdana" w:hAnsi="Verdana" w:cs="Times New Roman"/>
          <w:sz w:val="22"/>
          <w:vertAlign w:val="baseline"/>
        </w:rPr>
        <w:endnoteRef/>
      </w:r>
      <w:r w:rsidRPr="00E7589C">
        <w:rPr>
          <w:rFonts w:ascii="Verdana" w:hAnsi="Verdana" w:cs="Times New Roman"/>
        </w:rPr>
        <w:t>. Fernández García A, Quiñones La Rosa I, Álvarez Céspedes TM. Estilo de vida y rendimiento académico en Farmacología de los estudiantes de Estomatología. Rev haban cienc méd [Internet]. 2020; 19(3</w:t>
      </w:r>
      <w:proofErr w:type="gramStart"/>
      <w:r w:rsidRPr="00E7589C">
        <w:rPr>
          <w:rFonts w:ascii="Verdana" w:hAnsi="Verdana" w:cs="Times New Roman"/>
        </w:rPr>
        <w:t>):e</w:t>
      </w:r>
      <w:proofErr w:type="gramEnd"/>
      <w:r w:rsidRPr="00E7589C">
        <w:rPr>
          <w:rFonts w:ascii="Verdana" w:hAnsi="Verdana" w:cs="Times New Roman"/>
        </w:rPr>
        <w:t xml:space="preserve">3012. Disponible en: </w:t>
      </w:r>
      <w:hyperlink r:id="rId18" w:history="1">
        <w:r w:rsidRPr="00E7589C">
          <w:rPr>
            <w:rStyle w:val="Hipervnculo"/>
            <w:rFonts w:ascii="Verdana" w:hAnsi="Verdana" w:cs="Times New Roman"/>
          </w:rPr>
          <w:t>http://www.revhabanera.sld.cu/index.php/rhab/article/view/3012</w:t>
        </w:r>
      </w:hyperlink>
    </w:p>
  </w:endnote>
  <w:endnote w:id="22">
    <w:p w:rsidR="003B66B8" w:rsidRPr="00E7589C" w:rsidRDefault="003B66B8" w:rsidP="00457D4D">
      <w:pPr>
        <w:spacing w:after="80" w:line="360" w:lineRule="auto"/>
        <w:ind w:left="284" w:hanging="284"/>
        <w:jc w:val="both"/>
        <w:rPr>
          <w:rFonts w:ascii="Verdana" w:hAnsi="Verdana" w:cs="Times New Roman"/>
        </w:rPr>
      </w:pPr>
      <w:r w:rsidRPr="00E7589C">
        <w:rPr>
          <w:rStyle w:val="Refdenotaalfinal"/>
          <w:rFonts w:ascii="Verdana" w:hAnsi="Verdana" w:cs="Times New Roman"/>
          <w:sz w:val="22"/>
          <w:vertAlign w:val="baseline"/>
        </w:rPr>
        <w:endnoteRef/>
      </w:r>
      <w:r w:rsidRPr="00E7589C">
        <w:rPr>
          <w:rFonts w:ascii="Verdana" w:hAnsi="Verdana" w:cs="Times New Roman"/>
        </w:rPr>
        <w:t xml:space="preserve">. Barceló-Reyna R, Ornelas-Contreras M, Blanco-Vega H. Utilización del cuestionario de Salud SF-36 en personas mayores: Revisión sistemática. Ansiedad y Estrés. 2021; 27: 95-102. </w:t>
      </w:r>
      <w:hyperlink r:id="rId19" w:history="1">
        <w:r w:rsidRPr="00E7589C">
          <w:rPr>
            <w:rStyle w:val="Hipervnculo"/>
            <w:rFonts w:ascii="Verdana" w:hAnsi="Verdana" w:cs="Times New Roman"/>
          </w:rPr>
          <w:t>https://doi.org/10.5093/anyes2021a13</w:t>
        </w:r>
      </w:hyperlink>
    </w:p>
  </w:endnote>
  <w:endnote w:id="23">
    <w:p w:rsidR="003B66B8" w:rsidRDefault="003B66B8" w:rsidP="00457D4D">
      <w:pPr>
        <w:spacing w:after="80" w:line="360" w:lineRule="auto"/>
        <w:ind w:left="284" w:hanging="284"/>
        <w:jc w:val="both"/>
        <w:rPr>
          <w:rStyle w:val="Hipervnculo"/>
          <w:rFonts w:ascii="Verdana" w:hAnsi="Verdana" w:cs="Times New Roman"/>
        </w:rPr>
      </w:pPr>
      <w:r w:rsidRPr="00E7589C">
        <w:rPr>
          <w:rStyle w:val="Refdenotaalfinal"/>
          <w:rFonts w:ascii="Verdana" w:hAnsi="Verdana" w:cs="Times New Roman"/>
          <w:sz w:val="22"/>
          <w:vertAlign w:val="baseline"/>
        </w:rPr>
        <w:endnoteRef/>
      </w:r>
      <w:r w:rsidRPr="00E7589C">
        <w:rPr>
          <w:rFonts w:ascii="Verdana" w:hAnsi="Verdana" w:cs="Times New Roman"/>
        </w:rPr>
        <w:t xml:space="preserve">. Bernardino-Coronado LJ, Alvarez-Rayón G, Bautista-Díaz ML, Ortega-Luyando M, Mancilla-Díaz JM, Amaya-Hernández A. Insatisfacción corporal y calidad de vida: contribución a la ocurrencia de conductas alimentarias anómalas en administrativos hospitalarios. Acta Colomb de Psicolog. </w:t>
      </w:r>
      <w:proofErr w:type="gramStart"/>
      <w:r w:rsidRPr="00E7589C">
        <w:rPr>
          <w:rFonts w:ascii="Verdana" w:hAnsi="Verdana" w:cs="Times New Roman"/>
        </w:rPr>
        <w:t>2020;  23</w:t>
      </w:r>
      <w:proofErr w:type="gramEnd"/>
      <w:r w:rsidRPr="00E7589C">
        <w:rPr>
          <w:rFonts w:ascii="Verdana" w:hAnsi="Verdana" w:cs="Times New Roman"/>
        </w:rPr>
        <w:t xml:space="preserve"> (1), 41-52. </w:t>
      </w:r>
      <w:hyperlink r:id="rId20" w:history="1">
        <w:r w:rsidRPr="00E7589C">
          <w:rPr>
            <w:rStyle w:val="Hipervnculo"/>
            <w:rFonts w:ascii="Verdana" w:hAnsi="Verdana" w:cs="Times New Roman"/>
          </w:rPr>
          <w:t>https://doi.org/10.14718/acp.2020.23.1.3</w:t>
        </w:r>
      </w:hyperlink>
    </w:p>
    <w:p w:rsidR="00E17665" w:rsidRDefault="00E17665" w:rsidP="00E86261">
      <w:pPr>
        <w:spacing w:after="80" w:line="360" w:lineRule="auto"/>
        <w:jc w:val="both"/>
        <w:rPr>
          <w:rFonts w:ascii="Verdana" w:hAnsi="Verdana" w:cs="Times New Roman"/>
        </w:rPr>
      </w:pPr>
    </w:p>
    <w:p w:rsidR="00E17665" w:rsidRDefault="00E17665" w:rsidP="00E86261">
      <w:pPr>
        <w:spacing w:after="80" w:line="360" w:lineRule="auto"/>
        <w:jc w:val="both"/>
        <w:rPr>
          <w:rFonts w:ascii="Verdana" w:hAnsi="Verdana" w:cs="Times New Roman"/>
          <w:b/>
        </w:rPr>
      </w:pPr>
      <w:r w:rsidRPr="00E17665">
        <w:rPr>
          <w:rFonts w:ascii="Verdana" w:hAnsi="Verdana" w:cs="Times New Roman"/>
          <w:b/>
        </w:rPr>
        <w:t>A</w:t>
      </w:r>
      <w:r w:rsidR="00FD116B">
        <w:rPr>
          <w:rFonts w:ascii="Verdana" w:hAnsi="Verdana" w:cs="Times New Roman"/>
          <w:b/>
        </w:rPr>
        <w:t>nexos</w:t>
      </w:r>
    </w:p>
    <w:p w:rsidR="00E17665" w:rsidRPr="00E7589C" w:rsidRDefault="00E17665" w:rsidP="00E17665">
      <w:pPr>
        <w:spacing w:after="80" w:line="360" w:lineRule="auto"/>
        <w:jc w:val="both"/>
        <w:rPr>
          <w:rFonts w:ascii="Verdana" w:hAnsi="Verdana" w:cs="Arial"/>
        </w:rPr>
      </w:pPr>
      <w:r w:rsidRPr="002706A6">
        <w:rPr>
          <w:rFonts w:ascii="Verdana" w:hAnsi="Verdana" w:cs="Arial"/>
          <w:b/>
        </w:rPr>
        <w:t>Tabla 1</w:t>
      </w:r>
      <w:r w:rsidRPr="00E7589C">
        <w:rPr>
          <w:rFonts w:ascii="Verdana" w:hAnsi="Verdana" w:cs="Arial"/>
        </w:rPr>
        <w:t>. Características antropométricas de estudiantes universitarios de la UCMM.</w:t>
      </w:r>
    </w:p>
    <w:tbl>
      <w:tblPr>
        <w:tblStyle w:val="Tablaconcuadrcula"/>
        <w:tblW w:w="7673" w:type="dxa"/>
        <w:jc w:val="center"/>
        <w:tblInd w:w="0" w:type="dxa"/>
        <w:tblLook w:val="04A0" w:firstRow="1" w:lastRow="0" w:firstColumn="1" w:lastColumn="0" w:noHBand="0" w:noVBand="1"/>
      </w:tblPr>
      <w:tblGrid>
        <w:gridCol w:w="2020"/>
        <w:gridCol w:w="1469"/>
        <w:gridCol w:w="1471"/>
        <w:gridCol w:w="1469"/>
        <w:gridCol w:w="1471"/>
      </w:tblGrid>
      <w:tr w:rsidR="00E17665" w:rsidRPr="00E7589C" w:rsidTr="00CF5206">
        <w:trPr>
          <w:trHeight w:val="170"/>
          <w:jc w:val="center"/>
        </w:trPr>
        <w:tc>
          <w:tcPr>
            <w:tcW w:w="1793" w:type="dxa"/>
            <w:vMerge w:val="restar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b/>
                <w:sz w:val="22"/>
                <w:szCs w:val="22"/>
              </w:rPr>
            </w:pPr>
            <w:r w:rsidRPr="00E7589C">
              <w:rPr>
                <w:rFonts w:ascii="Verdana" w:hAnsi="Verdana" w:cs="Arial"/>
                <w:b/>
                <w:sz w:val="22"/>
                <w:szCs w:val="22"/>
              </w:rPr>
              <w:t>Antropometría</w:t>
            </w:r>
          </w:p>
        </w:tc>
        <w:tc>
          <w:tcPr>
            <w:tcW w:w="2940" w:type="dxa"/>
            <w:gridSpan w:val="2"/>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b/>
                <w:sz w:val="22"/>
                <w:szCs w:val="22"/>
              </w:rPr>
            </w:pPr>
            <w:r w:rsidRPr="00E7589C">
              <w:rPr>
                <w:rFonts w:ascii="Verdana" w:hAnsi="Verdana" w:cs="Arial"/>
                <w:b/>
                <w:sz w:val="22"/>
                <w:szCs w:val="22"/>
              </w:rPr>
              <w:t xml:space="preserve">Femeninos </w:t>
            </w:r>
            <w:r w:rsidRPr="00E7589C">
              <w:rPr>
                <w:rFonts w:ascii="Verdana" w:hAnsi="Verdana" w:cs="Arial"/>
                <w:sz w:val="22"/>
                <w:szCs w:val="22"/>
              </w:rPr>
              <w:t>n=31</w:t>
            </w:r>
          </w:p>
        </w:tc>
        <w:tc>
          <w:tcPr>
            <w:tcW w:w="2940" w:type="dxa"/>
            <w:gridSpan w:val="2"/>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b/>
                <w:sz w:val="22"/>
                <w:szCs w:val="22"/>
              </w:rPr>
              <w:t xml:space="preserve">Masculinos </w:t>
            </w:r>
            <w:r w:rsidRPr="00E7589C">
              <w:rPr>
                <w:rFonts w:ascii="Verdana" w:hAnsi="Verdana" w:cs="Arial"/>
                <w:sz w:val="22"/>
                <w:szCs w:val="22"/>
              </w:rPr>
              <w:t>n=16</w:t>
            </w:r>
          </w:p>
        </w:tc>
      </w:tr>
      <w:tr w:rsidR="00E17665" w:rsidRPr="00E7589C" w:rsidTr="00CF5206">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7665" w:rsidRPr="00E7589C" w:rsidRDefault="00E17665" w:rsidP="00E17665">
            <w:pPr>
              <w:spacing w:after="80" w:line="360" w:lineRule="auto"/>
              <w:jc w:val="center"/>
              <w:rPr>
                <w:rFonts w:ascii="Verdana" w:hAnsi="Verdana" w:cs="Arial"/>
                <w:sz w:val="22"/>
                <w:szCs w:val="22"/>
              </w:rPr>
            </w:pPr>
          </w:p>
        </w:tc>
        <w:tc>
          <w:tcPr>
            <w:tcW w:w="1469"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Media</w:t>
            </w:r>
          </w:p>
        </w:tc>
        <w:tc>
          <w:tcPr>
            <w:tcW w:w="1471"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proofErr w:type="spellStart"/>
            <w:r w:rsidRPr="00E7589C">
              <w:rPr>
                <w:rFonts w:ascii="Verdana" w:hAnsi="Verdana" w:cs="Arial"/>
                <w:sz w:val="22"/>
                <w:szCs w:val="22"/>
              </w:rPr>
              <w:t>Desv</w:t>
            </w:r>
            <w:proofErr w:type="spellEnd"/>
            <w:r w:rsidRPr="00E7589C">
              <w:rPr>
                <w:rFonts w:ascii="Verdana" w:hAnsi="Verdana" w:cs="Arial"/>
                <w:sz w:val="22"/>
                <w:szCs w:val="22"/>
              </w:rPr>
              <w:t xml:space="preserve">. </w:t>
            </w:r>
            <w:proofErr w:type="spellStart"/>
            <w:r w:rsidRPr="00E7589C">
              <w:rPr>
                <w:rFonts w:ascii="Verdana" w:hAnsi="Verdana" w:cs="Arial"/>
                <w:sz w:val="22"/>
                <w:szCs w:val="22"/>
              </w:rPr>
              <w:t>típ</w:t>
            </w:r>
            <w:proofErr w:type="spellEnd"/>
            <w:r w:rsidRPr="00E7589C">
              <w:rPr>
                <w:rFonts w:ascii="Verdana" w:hAnsi="Verdana" w:cs="Arial"/>
                <w:sz w:val="22"/>
                <w:szCs w:val="22"/>
              </w:rPr>
              <w:t>.</w:t>
            </w:r>
          </w:p>
        </w:tc>
        <w:tc>
          <w:tcPr>
            <w:tcW w:w="1469"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Media</w:t>
            </w:r>
          </w:p>
        </w:tc>
        <w:tc>
          <w:tcPr>
            <w:tcW w:w="1471"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proofErr w:type="spellStart"/>
            <w:r w:rsidRPr="00E7589C">
              <w:rPr>
                <w:rFonts w:ascii="Verdana" w:hAnsi="Verdana" w:cs="Arial"/>
                <w:sz w:val="22"/>
                <w:szCs w:val="22"/>
              </w:rPr>
              <w:t>Desv</w:t>
            </w:r>
            <w:proofErr w:type="spellEnd"/>
            <w:r w:rsidRPr="00E7589C">
              <w:rPr>
                <w:rFonts w:ascii="Verdana" w:hAnsi="Verdana" w:cs="Arial"/>
                <w:sz w:val="22"/>
                <w:szCs w:val="22"/>
              </w:rPr>
              <w:t xml:space="preserve">. </w:t>
            </w:r>
            <w:proofErr w:type="spellStart"/>
            <w:r w:rsidRPr="00E7589C">
              <w:rPr>
                <w:rFonts w:ascii="Verdana" w:hAnsi="Verdana" w:cs="Arial"/>
                <w:sz w:val="22"/>
                <w:szCs w:val="22"/>
              </w:rPr>
              <w:t>típ</w:t>
            </w:r>
            <w:proofErr w:type="spellEnd"/>
            <w:r w:rsidRPr="00E7589C">
              <w:rPr>
                <w:rFonts w:ascii="Verdana" w:hAnsi="Verdana" w:cs="Arial"/>
                <w:sz w:val="22"/>
                <w:szCs w:val="22"/>
              </w:rPr>
              <w:t>.</w:t>
            </w:r>
          </w:p>
        </w:tc>
      </w:tr>
      <w:tr w:rsidR="00E17665" w:rsidRPr="00E7589C" w:rsidTr="00CF5206">
        <w:trPr>
          <w:trHeight w:val="170"/>
          <w:jc w:val="center"/>
        </w:trPr>
        <w:tc>
          <w:tcPr>
            <w:tcW w:w="1793"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Peso, kg</w:t>
            </w:r>
          </w:p>
        </w:tc>
        <w:tc>
          <w:tcPr>
            <w:tcW w:w="1469"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61,2</w:t>
            </w:r>
          </w:p>
        </w:tc>
        <w:tc>
          <w:tcPr>
            <w:tcW w:w="1471"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12,5</w:t>
            </w:r>
          </w:p>
        </w:tc>
        <w:tc>
          <w:tcPr>
            <w:tcW w:w="1469"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67,1</w:t>
            </w:r>
          </w:p>
        </w:tc>
        <w:tc>
          <w:tcPr>
            <w:tcW w:w="1471"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10,8</w:t>
            </w:r>
          </w:p>
        </w:tc>
      </w:tr>
      <w:tr w:rsidR="00E17665" w:rsidRPr="00E7589C" w:rsidTr="00CF5206">
        <w:trPr>
          <w:trHeight w:val="170"/>
          <w:jc w:val="center"/>
        </w:trPr>
        <w:tc>
          <w:tcPr>
            <w:tcW w:w="1793"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Talla, cm</w:t>
            </w:r>
          </w:p>
        </w:tc>
        <w:tc>
          <w:tcPr>
            <w:tcW w:w="1469"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162,4</w:t>
            </w:r>
          </w:p>
        </w:tc>
        <w:tc>
          <w:tcPr>
            <w:tcW w:w="1471"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6,5</w:t>
            </w:r>
          </w:p>
        </w:tc>
        <w:tc>
          <w:tcPr>
            <w:tcW w:w="1469"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172,2</w:t>
            </w:r>
          </w:p>
        </w:tc>
        <w:tc>
          <w:tcPr>
            <w:tcW w:w="1471"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11,3</w:t>
            </w:r>
          </w:p>
        </w:tc>
      </w:tr>
      <w:tr w:rsidR="00E17665" w:rsidRPr="00E7589C" w:rsidTr="00CF5206">
        <w:trPr>
          <w:trHeight w:val="170"/>
          <w:jc w:val="center"/>
        </w:trPr>
        <w:tc>
          <w:tcPr>
            <w:tcW w:w="1793"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IMC, kg/m</w:t>
            </w:r>
            <w:r w:rsidRPr="00E7589C">
              <w:rPr>
                <w:rFonts w:ascii="Verdana" w:hAnsi="Verdana" w:cs="Arial"/>
                <w:sz w:val="22"/>
                <w:szCs w:val="22"/>
                <w:vertAlign w:val="superscript"/>
              </w:rPr>
              <w:t>2</w:t>
            </w:r>
          </w:p>
        </w:tc>
        <w:tc>
          <w:tcPr>
            <w:tcW w:w="1469"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23,1</w:t>
            </w:r>
          </w:p>
        </w:tc>
        <w:tc>
          <w:tcPr>
            <w:tcW w:w="1471"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4,0</w:t>
            </w:r>
          </w:p>
        </w:tc>
        <w:tc>
          <w:tcPr>
            <w:tcW w:w="1469"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22,8</w:t>
            </w:r>
          </w:p>
        </w:tc>
        <w:tc>
          <w:tcPr>
            <w:tcW w:w="1471"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4,1</w:t>
            </w:r>
          </w:p>
        </w:tc>
      </w:tr>
      <w:tr w:rsidR="00E17665" w:rsidRPr="00E7589C" w:rsidTr="00CF5206">
        <w:trPr>
          <w:trHeight w:val="170"/>
          <w:jc w:val="center"/>
        </w:trPr>
        <w:tc>
          <w:tcPr>
            <w:tcW w:w="1793"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ICC</w:t>
            </w:r>
          </w:p>
        </w:tc>
        <w:tc>
          <w:tcPr>
            <w:tcW w:w="1469"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0,75</w:t>
            </w:r>
          </w:p>
        </w:tc>
        <w:tc>
          <w:tcPr>
            <w:tcW w:w="1471"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0,42</w:t>
            </w:r>
          </w:p>
        </w:tc>
        <w:tc>
          <w:tcPr>
            <w:tcW w:w="1469"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0,80</w:t>
            </w:r>
          </w:p>
        </w:tc>
        <w:tc>
          <w:tcPr>
            <w:tcW w:w="1471"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0,60</w:t>
            </w:r>
          </w:p>
        </w:tc>
      </w:tr>
      <w:tr w:rsidR="00E17665" w:rsidRPr="00E7589C" w:rsidTr="00CF5206">
        <w:trPr>
          <w:trHeight w:val="170"/>
          <w:jc w:val="center"/>
        </w:trPr>
        <w:tc>
          <w:tcPr>
            <w:tcW w:w="1793"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 Grasa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29,8</w:t>
            </w:r>
          </w:p>
        </w:tc>
        <w:tc>
          <w:tcPr>
            <w:tcW w:w="1471"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3,9</w:t>
            </w:r>
          </w:p>
        </w:tc>
        <w:tc>
          <w:tcPr>
            <w:tcW w:w="1469"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17,5</w:t>
            </w:r>
          </w:p>
        </w:tc>
        <w:tc>
          <w:tcPr>
            <w:tcW w:w="1471"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6,0</w:t>
            </w:r>
          </w:p>
        </w:tc>
      </w:tr>
      <w:tr w:rsidR="00E17665" w:rsidRPr="00E7589C" w:rsidTr="00CF5206">
        <w:trPr>
          <w:trHeight w:val="170"/>
          <w:jc w:val="center"/>
        </w:trPr>
        <w:tc>
          <w:tcPr>
            <w:tcW w:w="1793"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Kg MCA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42,8</w:t>
            </w:r>
          </w:p>
        </w:tc>
        <w:tc>
          <w:tcPr>
            <w:tcW w:w="1471"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8,6</w:t>
            </w:r>
          </w:p>
        </w:tc>
        <w:tc>
          <w:tcPr>
            <w:tcW w:w="1469"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55,2</w:t>
            </w:r>
          </w:p>
        </w:tc>
        <w:tc>
          <w:tcPr>
            <w:tcW w:w="1471"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8,5</w:t>
            </w:r>
          </w:p>
        </w:tc>
      </w:tr>
      <w:tr w:rsidR="00E17665" w:rsidRPr="00E7589C" w:rsidTr="00CF5206">
        <w:trPr>
          <w:trHeight w:val="170"/>
          <w:jc w:val="center"/>
        </w:trPr>
        <w:tc>
          <w:tcPr>
            <w:tcW w:w="1793"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Endomorfia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4,7</w:t>
            </w:r>
          </w:p>
        </w:tc>
        <w:tc>
          <w:tcPr>
            <w:tcW w:w="1471"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1,4</w:t>
            </w:r>
          </w:p>
        </w:tc>
        <w:tc>
          <w:tcPr>
            <w:tcW w:w="1469"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3,1</w:t>
            </w:r>
          </w:p>
        </w:tc>
        <w:tc>
          <w:tcPr>
            <w:tcW w:w="1471"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1,4</w:t>
            </w:r>
          </w:p>
        </w:tc>
      </w:tr>
      <w:tr w:rsidR="00E17665" w:rsidRPr="00E7589C" w:rsidTr="00CF5206">
        <w:trPr>
          <w:trHeight w:val="170"/>
          <w:jc w:val="center"/>
        </w:trPr>
        <w:tc>
          <w:tcPr>
            <w:tcW w:w="1793"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Mesomorfia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4,3</w:t>
            </w:r>
          </w:p>
        </w:tc>
        <w:tc>
          <w:tcPr>
            <w:tcW w:w="1471"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1,6</w:t>
            </w:r>
          </w:p>
        </w:tc>
        <w:tc>
          <w:tcPr>
            <w:tcW w:w="1469"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4,3</w:t>
            </w:r>
          </w:p>
        </w:tc>
        <w:tc>
          <w:tcPr>
            <w:tcW w:w="1471"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2,0</w:t>
            </w:r>
          </w:p>
        </w:tc>
      </w:tr>
      <w:tr w:rsidR="00E17665" w:rsidRPr="00E7589C" w:rsidTr="00CF5206">
        <w:trPr>
          <w:trHeight w:val="170"/>
          <w:jc w:val="center"/>
        </w:trPr>
        <w:tc>
          <w:tcPr>
            <w:tcW w:w="1793"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Ectomorfia</w:t>
            </w:r>
          </w:p>
        </w:tc>
        <w:tc>
          <w:tcPr>
            <w:tcW w:w="1469"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1,9</w:t>
            </w:r>
          </w:p>
        </w:tc>
        <w:tc>
          <w:tcPr>
            <w:tcW w:w="1471"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1,7</w:t>
            </w:r>
          </w:p>
        </w:tc>
        <w:tc>
          <w:tcPr>
            <w:tcW w:w="1469"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2,7</w:t>
            </w:r>
          </w:p>
        </w:tc>
        <w:tc>
          <w:tcPr>
            <w:tcW w:w="1471" w:type="dxa"/>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2,4</w:t>
            </w:r>
          </w:p>
        </w:tc>
      </w:tr>
    </w:tbl>
    <w:p w:rsidR="00E17665" w:rsidRDefault="00E17665" w:rsidP="00E86261">
      <w:pPr>
        <w:spacing w:after="80" w:line="360" w:lineRule="auto"/>
        <w:jc w:val="both"/>
        <w:rPr>
          <w:rFonts w:ascii="Verdana" w:hAnsi="Verdana" w:cs="Times New Roman"/>
          <w:b/>
        </w:rPr>
      </w:pPr>
    </w:p>
    <w:p w:rsidR="00E17665" w:rsidRPr="00E7589C" w:rsidRDefault="00E17665" w:rsidP="00E17665">
      <w:pPr>
        <w:spacing w:after="80" w:line="360" w:lineRule="auto"/>
        <w:jc w:val="both"/>
        <w:rPr>
          <w:rFonts w:ascii="Verdana" w:hAnsi="Verdana" w:cs="Arial"/>
        </w:rPr>
      </w:pPr>
      <w:r w:rsidRPr="002706A6">
        <w:rPr>
          <w:rFonts w:ascii="Verdana" w:hAnsi="Verdana" w:cs="Arial"/>
          <w:b/>
        </w:rPr>
        <w:t>Tabla 2</w:t>
      </w:r>
      <w:r w:rsidRPr="00E7589C">
        <w:rPr>
          <w:rFonts w:ascii="Verdana" w:hAnsi="Verdana" w:cs="Arial"/>
        </w:rPr>
        <w:t>. Calidad de vida vs categorías del IMC en estudiantes de UCMM</w:t>
      </w:r>
    </w:p>
    <w:tbl>
      <w:tblPr>
        <w:tblStyle w:val="Tablaconcuadrcula"/>
        <w:tblW w:w="5371" w:type="pct"/>
        <w:tblInd w:w="-5" w:type="dxa"/>
        <w:tblLayout w:type="fixed"/>
        <w:tblLook w:val="04A0" w:firstRow="1" w:lastRow="0" w:firstColumn="1" w:lastColumn="0" w:noHBand="0" w:noVBand="1"/>
      </w:tblPr>
      <w:tblGrid>
        <w:gridCol w:w="915"/>
        <w:gridCol w:w="1183"/>
        <w:gridCol w:w="1304"/>
        <w:gridCol w:w="753"/>
        <w:gridCol w:w="979"/>
        <w:gridCol w:w="1036"/>
        <w:gridCol w:w="979"/>
        <w:gridCol w:w="1165"/>
        <w:gridCol w:w="1150"/>
        <w:gridCol w:w="934"/>
      </w:tblGrid>
      <w:tr w:rsidR="002706A6" w:rsidRPr="00E7589C" w:rsidTr="002706A6">
        <w:trPr>
          <w:trHeight w:val="20"/>
        </w:trPr>
        <w:tc>
          <w:tcPr>
            <w:tcW w:w="1009" w:type="pct"/>
            <w:gridSpan w:val="2"/>
            <w:noWrap/>
            <w:vAlign w:val="center"/>
          </w:tcPr>
          <w:p w:rsidR="00E17665" w:rsidRPr="00E7589C" w:rsidRDefault="00E17665" w:rsidP="00E17665">
            <w:pPr>
              <w:spacing w:after="80" w:line="360" w:lineRule="auto"/>
              <w:jc w:val="center"/>
              <w:rPr>
                <w:rFonts w:ascii="Verdana" w:hAnsi="Verdana" w:cs="Arial"/>
                <w:b/>
                <w:sz w:val="22"/>
                <w:szCs w:val="22"/>
              </w:rPr>
            </w:pPr>
            <w:r w:rsidRPr="00E7589C">
              <w:rPr>
                <w:rFonts w:ascii="Verdana" w:hAnsi="Verdana" w:cs="Arial"/>
                <w:b/>
                <w:sz w:val="22"/>
                <w:szCs w:val="22"/>
              </w:rPr>
              <w:t>Índice de Masa</w:t>
            </w:r>
          </w:p>
          <w:p w:rsidR="00E17665" w:rsidRPr="00E7589C" w:rsidRDefault="00E17665" w:rsidP="00E17665">
            <w:pPr>
              <w:spacing w:after="80" w:line="360" w:lineRule="auto"/>
              <w:jc w:val="center"/>
              <w:rPr>
                <w:rFonts w:ascii="Verdana" w:hAnsi="Verdana" w:cs="Arial"/>
                <w:b/>
                <w:sz w:val="22"/>
                <w:szCs w:val="22"/>
              </w:rPr>
            </w:pPr>
            <w:r w:rsidRPr="00E7589C">
              <w:rPr>
                <w:rFonts w:ascii="Verdana" w:hAnsi="Verdana" w:cs="Arial"/>
                <w:b/>
                <w:sz w:val="22"/>
                <w:szCs w:val="22"/>
              </w:rPr>
              <w:t>Corporal (IMC)</w:t>
            </w:r>
          </w:p>
        </w:tc>
        <w:tc>
          <w:tcPr>
            <w:tcW w:w="627" w:type="pct"/>
            <w:noWrap/>
            <w:vAlign w:val="center"/>
            <w:hideMark/>
          </w:tcPr>
          <w:p w:rsidR="00E17665" w:rsidRPr="00E7589C" w:rsidRDefault="00E17665" w:rsidP="00E17665">
            <w:pPr>
              <w:autoSpaceDE w:val="0"/>
              <w:autoSpaceDN w:val="0"/>
              <w:adjustRightInd w:val="0"/>
              <w:spacing w:after="80" w:line="360" w:lineRule="auto"/>
              <w:ind w:left="-107"/>
              <w:jc w:val="center"/>
              <w:rPr>
                <w:rFonts w:ascii="Verdana" w:hAnsi="Verdana" w:cs="Arial"/>
                <w:b/>
                <w:color w:val="000000"/>
                <w:sz w:val="22"/>
                <w:szCs w:val="22"/>
              </w:rPr>
            </w:pPr>
            <w:r w:rsidRPr="00E7589C">
              <w:rPr>
                <w:rFonts w:ascii="Verdana" w:hAnsi="Verdana" w:cs="Arial"/>
                <w:b/>
                <w:color w:val="000000"/>
                <w:sz w:val="22"/>
                <w:szCs w:val="22"/>
              </w:rPr>
              <w:t>Función</w:t>
            </w:r>
          </w:p>
          <w:p w:rsidR="00E17665" w:rsidRPr="00E7589C" w:rsidRDefault="00E17665" w:rsidP="00E17665">
            <w:pPr>
              <w:autoSpaceDE w:val="0"/>
              <w:autoSpaceDN w:val="0"/>
              <w:adjustRightInd w:val="0"/>
              <w:spacing w:after="80" w:line="360" w:lineRule="auto"/>
              <w:jc w:val="center"/>
              <w:rPr>
                <w:rFonts w:ascii="Verdana" w:hAnsi="Verdana" w:cs="Arial"/>
                <w:b/>
                <w:color w:val="000000"/>
                <w:sz w:val="22"/>
                <w:szCs w:val="22"/>
              </w:rPr>
            </w:pPr>
            <w:r w:rsidRPr="00E7589C">
              <w:rPr>
                <w:rFonts w:ascii="Verdana" w:hAnsi="Verdana" w:cs="Arial"/>
                <w:b/>
                <w:color w:val="000000"/>
                <w:sz w:val="22"/>
                <w:szCs w:val="22"/>
              </w:rPr>
              <w:t>Física</w:t>
            </w:r>
          </w:p>
        </w:tc>
        <w:tc>
          <w:tcPr>
            <w:tcW w:w="362" w:type="pct"/>
            <w:noWrap/>
            <w:vAlign w:val="center"/>
            <w:hideMark/>
          </w:tcPr>
          <w:p w:rsidR="00E17665" w:rsidRPr="00E7589C" w:rsidRDefault="00E17665" w:rsidP="00E17665">
            <w:pPr>
              <w:autoSpaceDE w:val="0"/>
              <w:autoSpaceDN w:val="0"/>
              <w:adjustRightInd w:val="0"/>
              <w:spacing w:after="80" w:line="360" w:lineRule="auto"/>
              <w:jc w:val="center"/>
              <w:rPr>
                <w:rFonts w:ascii="Verdana" w:hAnsi="Verdana" w:cs="Arial"/>
                <w:b/>
                <w:color w:val="000000"/>
                <w:sz w:val="22"/>
                <w:szCs w:val="22"/>
              </w:rPr>
            </w:pPr>
            <w:r w:rsidRPr="00E7589C">
              <w:rPr>
                <w:rFonts w:ascii="Verdana" w:hAnsi="Verdana" w:cs="Arial"/>
                <w:b/>
                <w:color w:val="000000"/>
                <w:sz w:val="22"/>
                <w:szCs w:val="22"/>
              </w:rPr>
              <w:t>Rol</w:t>
            </w:r>
          </w:p>
          <w:p w:rsidR="00E17665" w:rsidRPr="00E7589C" w:rsidRDefault="00E17665" w:rsidP="00E17665">
            <w:pPr>
              <w:autoSpaceDE w:val="0"/>
              <w:autoSpaceDN w:val="0"/>
              <w:adjustRightInd w:val="0"/>
              <w:spacing w:after="80" w:line="360" w:lineRule="auto"/>
              <w:ind w:left="-178" w:right="-117"/>
              <w:jc w:val="right"/>
              <w:rPr>
                <w:rFonts w:ascii="Verdana" w:hAnsi="Verdana" w:cs="Arial"/>
                <w:b/>
                <w:color w:val="000000"/>
                <w:sz w:val="22"/>
                <w:szCs w:val="22"/>
              </w:rPr>
            </w:pPr>
            <w:r w:rsidRPr="00E7589C">
              <w:rPr>
                <w:rFonts w:ascii="Verdana" w:hAnsi="Verdana" w:cs="Arial"/>
                <w:b/>
                <w:color w:val="000000"/>
                <w:sz w:val="22"/>
                <w:szCs w:val="22"/>
              </w:rPr>
              <w:t>Físico</w:t>
            </w:r>
          </w:p>
        </w:tc>
        <w:tc>
          <w:tcPr>
            <w:tcW w:w="471" w:type="pct"/>
            <w:noWrap/>
            <w:vAlign w:val="center"/>
            <w:hideMark/>
          </w:tcPr>
          <w:p w:rsidR="00E17665" w:rsidRPr="00E7589C" w:rsidRDefault="00E17665" w:rsidP="00E17665">
            <w:pPr>
              <w:autoSpaceDE w:val="0"/>
              <w:autoSpaceDN w:val="0"/>
              <w:adjustRightInd w:val="0"/>
              <w:spacing w:after="80" w:line="360" w:lineRule="auto"/>
              <w:jc w:val="center"/>
              <w:rPr>
                <w:rFonts w:ascii="Verdana" w:hAnsi="Verdana" w:cs="Arial"/>
                <w:b/>
                <w:color w:val="000000"/>
                <w:sz w:val="22"/>
                <w:szCs w:val="22"/>
              </w:rPr>
            </w:pPr>
            <w:r w:rsidRPr="00E7589C">
              <w:rPr>
                <w:rFonts w:ascii="Verdana" w:hAnsi="Verdana" w:cs="Arial"/>
                <w:b/>
                <w:color w:val="000000"/>
                <w:sz w:val="22"/>
                <w:szCs w:val="22"/>
              </w:rPr>
              <w:t>Dolor</w:t>
            </w:r>
          </w:p>
          <w:p w:rsidR="00E17665" w:rsidRPr="00E7589C" w:rsidRDefault="00E17665" w:rsidP="00E17665">
            <w:pPr>
              <w:autoSpaceDE w:val="0"/>
              <w:autoSpaceDN w:val="0"/>
              <w:adjustRightInd w:val="0"/>
              <w:spacing w:after="80" w:line="360" w:lineRule="auto"/>
              <w:jc w:val="center"/>
              <w:rPr>
                <w:rFonts w:ascii="Verdana" w:hAnsi="Verdana" w:cs="Arial"/>
                <w:b/>
                <w:color w:val="000000"/>
                <w:sz w:val="22"/>
                <w:szCs w:val="22"/>
              </w:rPr>
            </w:pPr>
            <w:proofErr w:type="spellStart"/>
            <w:r w:rsidRPr="00E7589C">
              <w:rPr>
                <w:rFonts w:ascii="Verdana" w:hAnsi="Verdana" w:cs="Arial"/>
                <w:b/>
                <w:color w:val="000000"/>
                <w:sz w:val="22"/>
                <w:szCs w:val="22"/>
              </w:rPr>
              <w:t>Corp</w:t>
            </w:r>
            <w:proofErr w:type="spellEnd"/>
          </w:p>
        </w:tc>
        <w:tc>
          <w:tcPr>
            <w:tcW w:w="498" w:type="pct"/>
            <w:noWrap/>
            <w:vAlign w:val="center"/>
            <w:hideMark/>
          </w:tcPr>
          <w:p w:rsidR="00E17665" w:rsidRPr="00E7589C" w:rsidRDefault="00E17665" w:rsidP="00E17665">
            <w:pPr>
              <w:autoSpaceDE w:val="0"/>
              <w:autoSpaceDN w:val="0"/>
              <w:adjustRightInd w:val="0"/>
              <w:spacing w:after="80" w:line="360" w:lineRule="auto"/>
              <w:jc w:val="center"/>
              <w:rPr>
                <w:rFonts w:ascii="Verdana" w:hAnsi="Verdana" w:cs="Arial"/>
                <w:b/>
                <w:color w:val="000000"/>
                <w:sz w:val="22"/>
                <w:szCs w:val="22"/>
              </w:rPr>
            </w:pPr>
            <w:r w:rsidRPr="00E7589C">
              <w:rPr>
                <w:rFonts w:ascii="Verdana" w:hAnsi="Verdana" w:cs="Arial"/>
                <w:b/>
                <w:color w:val="000000"/>
                <w:sz w:val="22"/>
                <w:szCs w:val="22"/>
              </w:rPr>
              <w:t>Salud</w:t>
            </w:r>
          </w:p>
          <w:p w:rsidR="00E17665" w:rsidRPr="00E7589C" w:rsidRDefault="00E17665" w:rsidP="00E17665">
            <w:pPr>
              <w:autoSpaceDE w:val="0"/>
              <w:autoSpaceDN w:val="0"/>
              <w:adjustRightInd w:val="0"/>
              <w:spacing w:after="80" w:line="360" w:lineRule="auto"/>
              <w:ind w:left="-93" w:right="-55"/>
              <w:jc w:val="center"/>
              <w:rPr>
                <w:rFonts w:ascii="Verdana" w:hAnsi="Verdana" w:cs="Arial"/>
                <w:b/>
                <w:color w:val="000000"/>
                <w:sz w:val="22"/>
                <w:szCs w:val="22"/>
              </w:rPr>
            </w:pPr>
            <w:r w:rsidRPr="00E7589C">
              <w:rPr>
                <w:rFonts w:ascii="Verdana" w:hAnsi="Verdana" w:cs="Arial"/>
                <w:b/>
                <w:color w:val="000000"/>
                <w:sz w:val="22"/>
                <w:szCs w:val="22"/>
              </w:rPr>
              <w:t>General</w:t>
            </w:r>
          </w:p>
        </w:tc>
        <w:tc>
          <w:tcPr>
            <w:tcW w:w="471" w:type="pct"/>
            <w:noWrap/>
            <w:vAlign w:val="center"/>
          </w:tcPr>
          <w:p w:rsidR="00E17665" w:rsidRPr="00E7589C" w:rsidRDefault="00E17665" w:rsidP="00E17665">
            <w:pPr>
              <w:autoSpaceDE w:val="0"/>
              <w:autoSpaceDN w:val="0"/>
              <w:adjustRightInd w:val="0"/>
              <w:spacing w:after="80" w:line="360" w:lineRule="auto"/>
              <w:jc w:val="center"/>
              <w:rPr>
                <w:rFonts w:ascii="Verdana" w:hAnsi="Verdana" w:cs="Arial"/>
                <w:b/>
                <w:color w:val="000000"/>
                <w:sz w:val="22"/>
                <w:szCs w:val="22"/>
              </w:rPr>
            </w:pPr>
            <w:r w:rsidRPr="00E7589C">
              <w:rPr>
                <w:rFonts w:ascii="Verdana" w:hAnsi="Verdana" w:cs="Arial"/>
                <w:b/>
                <w:color w:val="000000"/>
                <w:sz w:val="22"/>
                <w:szCs w:val="22"/>
              </w:rPr>
              <w:t>Vitali-dad</w:t>
            </w:r>
          </w:p>
        </w:tc>
        <w:tc>
          <w:tcPr>
            <w:tcW w:w="560" w:type="pct"/>
            <w:noWrap/>
            <w:vAlign w:val="center"/>
            <w:hideMark/>
          </w:tcPr>
          <w:p w:rsidR="00E17665" w:rsidRPr="00E7589C" w:rsidRDefault="00E17665" w:rsidP="00E17665">
            <w:pPr>
              <w:autoSpaceDE w:val="0"/>
              <w:autoSpaceDN w:val="0"/>
              <w:adjustRightInd w:val="0"/>
              <w:spacing w:after="80" w:line="360" w:lineRule="auto"/>
              <w:ind w:left="-134" w:right="-98"/>
              <w:jc w:val="center"/>
              <w:rPr>
                <w:rFonts w:ascii="Verdana" w:hAnsi="Verdana" w:cs="Arial"/>
                <w:b/>
                <w:color w:val="000000"/>
                <w:sz w:val="22"/>
                <w:szCs w:val="22"/>
              </w:rPr>
            </w:pPr>
            <w:r w:rsidRPr="00E7589C">
              <w:rPr>
                <w:rFonts w:ascii="Verdana" w:hAnsi="Verdana" w:cs="Arial"/>
                <w:b/>
                <w:color w:val="000000"/>
                <w:sz w:val="22"/>
                <w:szCs w:val="22"/>
              </w:rPr>
              <w:t>Función</w:t>
            </w:r>
          </w:p>
          <w:p w:rsidR="00E17665" w:rsidRPr="00E7589C" w:rsidRDefault="00E17665" w:rsidP="00E17665">
            <w:pPr>
              <w:autoSpaceDE w:val="0"/>
              <w:autoSpaceDN w:val="0"/>
              <w:adjustRightInd w:val="0"/>
              <w:spacing w:after="80" w:line="360" w:lineRule="auto"/>
              <w:jc w:val="center"/>
              <w:rPr>
                <w:rFonts w:ascii="Verdana" w:hAnsi="Verdana" w:cs="Arial"/>
                <w:b/>
                <w:color w:val="000000"/>
                <w:sz w:val="22"/>
                <w:szCs w:val="22"/>
              </w:rPr>
            </w:pPr>
            <w:r w:rsidRPr="00E7589C">
              <w:rPr>
                <w:rFonts w:ascii="Verdana" w:hAnsi="Verdana" w:cs="Arial"/>
                <w:b/>
                <w:color w:val="000000"/>
                <w:sz w:val="22"/>
                <w:szCs w:val="22"/>
              </w:rPr>
              <w:t>Social</w:t>
            </w:r>
          </w:p>
        </w:tc>
        <w:tc>
          <w:tcPr>
            <w:tcW w:w="553" w:type="pct"/>
            <w:noWrap/>
            <w:vAlign w:val="center"/>
            <w:hideMark/>
          </w:tcPr>
          <w:p w:rsidR="00E17665" w:rsidRPr="00E7589C" w:rsidRDefault="00E17665" w:rsidP="00E17665">
            <w:pPr>
              <w:autoSpaceDE w:val="0"/>
              <w:autoSpaceDN w:val="0"/>
              <w:adjustRightInd w:val="0"/>
              <w:spacing w:after="80" w:line="360" w:lineRule="auto"/>
              <w:jc w:val="center"/>
              <w:rPr>
                <w:rFonts w:ascii="Verdana" w:hAnsi="Verdana" w:cs="Arial"/>
                <w:b/>
                <w:color w:val="000000"/>
                <w:sz w:val="22"/>
                <w:szCs w:val="22"/>
              </w:rPr>
            </w:pPr>
            <w:r w:rsidRPr="00E7589C">
              <w:rPr>
                <w:rFonts w:ascii="Verdana" w:hAnsi="Verdana" w:cs="Arial"/>
                <w:b/>
                <w:color w:val="000000"/>
                <w:sz w:val="22"/>
                <w:szCs w:val="22"/>
              </w:rPr>
              <w:t>Rol</w:t>
            </w:r>
          </w:p>
          <w:p w:rsidR="00E17665" w:rsidRPr="00E7589C" w:rsidRDefault="00E17665" w:rsidP="00E17665">
            <w:pPr>
              <w:autoSpaceDE w:val="0"/>
              <w:autoSpaceDN w:val="0"/>
              <w:adjustRightInd w:val="0"/>
              <w:spacing w:after="80" w:line="360" w:lineRule="auto"/>
              <w:jc w:val="center"/>
              <w:rPr>
                <w:rFonts w:ascii="Verdana" w:hAnsi="Verdana" w:cs="Arial"/>
                <w:b/>
                <w:color w:val="000000"/>
                <w:sz w:val="22"/>
                <w:szCs w:val="22"/>
              </w:rPr>
            </w:pPr>
            <w:proofErr w:type="spellStart"/>
            <w:r w:rsidRPr="00E7589C">
              <w:rPr>
                <w:rFonts w:ascii="Verdana" w:hAnsi="Verdana" w:cs="Arial"/>
                <w:b/>
                <w:color w:val="000000"/>
                <w:sz w:val="22"/>
                <w:szCs w:val="22"/>
              </w:rPr>
              <w:t>Emoc</w:t>
            </w:r>
            <w:proofErr w:type="spellEnd"/>
          </w:p>
        </w:tc>
        <w:tc>
          <w:tcPr>
            <w:tcW w:w="450" w:type="pct"/>
            <w:noWrap/>
            <w:vAlign w:val="center"/>
            <w:hideMark/>
          </w:tcPr>
          <w:p w:rsidR="00E17665" w:rsidRPr="00E7589C" w:rsidRDefault="00E17665" w:rsidP="00E17665">
            <w:pPr>
              <w:autoSpaceDE w:val="0"/>
              <w:autoSpaceDN w:val="0"/>
              <w:adjustRightInd w:val="0"/>
              <w:spacing w:after="80" w:line="360" w:lineRule="auto"/>
              <w:jc w:val="center"/>
              <w:rPr>
                <w:rFonts w:ascii="Verdana" w:hAnsi="Verdana" w:cs="Arial"/>
                <w:b/>
                <w:color w:val="000000"/>
                <w:sz w:val="22"/>
                <w:szCs w:val="22"/>
              </w:rPr>
            </w:pPr>
            <w:r w:rsidRPr="00E7589C">
              <w:rPr>
                <w:rFonts w:ascii="Verdana" w:hAnsi="Verdana" w:cs="Arial"/>
                <w:b/>
                <w:color w:val="000000"/>
                <w:sz w:val="22"/>
                <w:szCs w:val="22"/>
              </w:rPr>
              <w:t>Salud</w:t>
            </w:r>
          </w:p>
          <w:p w:rsidR="00E17665" w:rsidRPr="00E7589C" w:rsidRDefault="00E17665" w:rsidP="00E17665">
            <w:pPr>
              <w:autoSpaceDE w:val="0"/>
              <w:autoSpaceDN w:val="0"/>
              <w:adjustRightInd w:val="0"/>
              <w:spacing w:after="80" w:line="360" w:lineRule="auto"/>
              <w:ind w:left="-118"/>
              <w:jc w:val="center"/>
              <w:rPr>
                <w:rFonts w:ascii="Verdana" w:hAnsi="Verdana" w:cs="Arial"/>
                <w:b/>
                <w:color w:val="000000"/>
                <w:sz w:val="22"/>
                <w:szCs w:val="22"/>
              </w:rPr>
            </w:pPr>
            <w:r w:rsidRPr="00E7589C">
              <w:rPr>
                <w:rFonts w:ascii="Verdana" w:hAnsi="Verdana" w:cs="Arial"/>
                <w:b/>
                <w:color w:val="000000"/>
                <w:sz w:val="22"/>
                <w:szCs w:val="22"/>
              </w:rPr>
              <w:t>Mental</w:t>
            </w:r>
          </w:p>
        </w:tc>
      </w:tr>
      <w:tr w:rsidR="002706A6" w:rsidRPr="00E7589C" w:rsidTr="002706A6">
        <w:trPr>
          <w:trHeight w:val="498"/>
        </w:trPr>
        <w:tc>
          <w:tcPr>
            <w:tcW w:w="440" w:type="pct"/>
            <w:vMerge w:val="restart"/>
            <w:noWrap/>
            <w:vAlign w:val="center"/>
            <w:hideMark/>
          </w:tcPr>
          <w:p w:rsidR="00E17665" w:rsidRPr="00E7589C" w:rsidRDefault="00E17665" w:rsidP="00E17665">
            <w:pPr>
              <w:spacing w:after="80" w:line="360" w:lineRule="auto"/>
              <w:ind w:left="-104" w:right="-106"/>
              <w:jc w:val="center"/>
              <w:rPr>
                <w:rFonts w:ascii="Verdana" w:hAnsi="Verdana" w:cs="Arial"/>
                <w:sz w:val="22"/>
                <w:szCs w:val="22"/>
              </w:rPr>
            </w:pPr>
            <w:r w:rsidRPr="00E7589C">
              <w:rPr>
                <w:rFonts w:ascii="Verdana" w:hAnsi="Verdana" w:cs="Arial"/>
                <w:sz w:val="22"/>
                <w:szCs w:val="22"/>
              </w:rPr>
              <w:t>Normal</w:t>
            </w:r>
          </w:p>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n=30</w:t>
            </w:r>
          </w:p>
        </w:tc>
        <w:tc>
          <w:tcPr>
            <w:tcW w:w="569"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Media</w:t>
            </w:r>
          </w:p>
        </w:tc>
        <w:tc>
          <w:tcPr>
            <w:tcW w:w="627"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93,7</w:t>
            </w:r>
          </w:p>
        </w:tc>
        <w:tc>
          <w:tcPr>
            <w:tcW w:w="362"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75,0</w:t>
            </w:r>
          </w:p>
        </w:tc>
        <w:tc>
          <w:tcPr>
            <w:tcW w:w="471"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70,3</w:t>
            </w:r>
          </w:p>
        </w:tc>
        <w:tc>
          <w:tcPr>
            <w:tcW w:w="498"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63,2</w:t>
            </w:r>
          </w:p>
        </w:tc>
        <w:tc>
          <w:tcPr>
            <w:tcW w:w="471"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43,1</w:t>
            </w:r>
          </w:p>
        </w:tc>
        <w:tc>
          <w:tcPr>
            <w:tcW w:w="560"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78,4</w:t>
            </w:r>
          </w:p>
        </w:tc>
        <w:tc>
          <w:tcPr>
            <w:tcW w:w="553"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69,2</w:t>
            </w:r>
          </w:p>
        </w:tc>
        <w:tc>
          <w:tcPr>
            <w:tcW w:w="450"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41,7</w:t>
            </w:r>
          </w:p>
        </w:tc>
      </w:tr>
      <w:tr w:rsidR="002706A6" w:rsidRPr="00E7589C" w:rsidTr="002706A6">
        <w:trPr>
          <w:trHeight w:val="20"/>
        </w:trPr>
        <w:tc>
          <w:tcPr>
            <w:tcW w:w="440" w:type="pct"/>
            <w:vMerge/>
            <w:noWrap/>
            <w:vAlign w:val="center"/>
            <w:hideMark/>
          </w:tcPr>
          <w:p w:rsidR="00E17665" w:rsidRPr="00E7589C" w:rsidRDefault="00E17665" w:rsidP="00E17665">
            <w:pPr>
              <w:spacing w:after="80" w:line="360" w:lineRule="auto"/>
              <w:jc w:val="center"/>
              <w:rPr>
                <w:rFonts w:ascii="Verdana" w:hAnsi="Verdana" w:cs="Arial"/>
                <w:sz w:val="22"/>
                <w:szCs w:val="22"/>
              </w:rPr>
            </w:pPr>
          </w:p>
        </w:tc>
        <w:tc>
          <w:tcPr>
            <w:tcW w:w="569" w:type="pct"/>
            <w:noWrap/>
            <w:vAlign w:val="center"/>
            <w:hideMark/>
          </w:tcPr>
          <w:p w:rsidR="00E17665" w:rsidRPr="00E7589C" w:rsidRDefault="00E17665" w:rsidP="00E17665">
            <w:pPr>
              <w:spacing w:after="80" w:line="360" w:lineRule="auto"/>
              <w:ind w:left="-161" w:right="-135"/>
              <w:jc w:val="center"/>
              <w:rPr>
                <w:rFonts w:ascii="Verdana" w:hAnsi="Verdana" w:cs="Arial"/>
                <w:sz w:val="22"/>
                <w:szCs w:val="22"/>
              </w:rPr>
            </w:pPr>
            <w:proofErr w:type="spellStart"/>
            <w:r w:rsidRPr="00E7589C">
              <w:rPr>
                <w:rFonts w:ascii="Verdana" w:hAnsi="Verdana" w:cs="Arial"/>
                <w:sz w:val="22"/>
                <w:szCs w:val="22"/>
              </w:rPr>
              <w:t>Desv</w:t>
            </w:r>
            <w:proofErr w:type="spellEnd"/>
            <w:r w:rsidRPr="00E7589C">
              <w:rPr>
                <w:rFonts w:ascii="Verdana" w:hAnsi="Verdana" w:cs="Arial"/>
                <w:sz w:val="22"/>
                <w:szCs w:val="22"/>
              </w:rPr>
              <w:t xml:space="preserve">. </w:t>
            </w:r>
            <w:proofErr w:type="spellStart"/>
            <w:r w:rsidRPr="00E7589C">
              <w:rPr>
                <w:rFonts w:ascii="Verdana" w:hAnsi="Verdana" w:cs="Arial"/>
                <w:sz w:val="22"/>
                <w:szCs w:val="22"/>
              </w:rPr>
              <w:t>típ</w:t>
            </w:r>
            <w:proofErr w:type="spellEnd"/>
            <w:r w:rsidRPr="00E7589C">
              <w:rPr>
                <w:rFonts w:ascii="Verdana" w:hAnsi="Verdana" w:cs="Arial"/>
                <w:sz w:val="22"/>
                <w:szCs w:val="22"/>
              </w:rPr>
              <w:t>.</w:t>
            </w:r>
          </w:p>
        </w:tc>
        <w:tc>
          <w:tcPr>
            <w:tcW w:w="627"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11,4</w:t>
            </w:r>
          </w:p>
        </w:tc>
        <w:tc>
          <w:tcPr>
            <w:tcW w:w="362"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32,4</w:t>
            </w:r>
          </w:p>
        </w:tc>
        <w:tc>
          <w:tcPr>
            <w:tcW w:w="471"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17,6</w:t>
            </w:r>
          </w:p>
        </w:tc>
        <w:tc>
          <w:tcPr>
            <w:tcW w:w="498"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19,5</w:t>
            </w:r>
          </w:p>
        </w:tc>
        <w:tc>
          <w:tcPr>
            <w:tcW w:w="471"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9,8</w:t>
            </w:r>
          </w:p>
        </w:tc>
        <w:tc>
          <w:tcPr>
            <w:tcW w:w="560"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20,5</w:t>
            </w:r>
          </w:p>
        </w:tc>
        <w:tc>
          <w:tcPr>
            <w:tcW w:w="553"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43,1</w:t>
            </w:r>
          </w:p>
        </w:tc>
        <w:tc>
          <w:tcPr>
            <w:tcW w:w="450"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11,5</w:t>
            </w:r>
          </w:p>
        </w:tc>
      </w:tr>
      <w:tr w:rsidR="002706A6" w:rsidRPr="00E7589C" w:rsidTr="002706A6">
        <w:trPr>
          <w:trHeight w:val="408"/>
        </w:trPr>
        <w:tc>
          <w:tcPr>
            <w:tcW w:w="440" w:type="pct"/>
            <w:vMerge w:val="restar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Bajo peso</w:t>
            </w:r>
          </w:p>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n=5</w:t>
            </w:r>
          </w:p>
        </w:tc>
        <w:tc>
          <w:tcPr>
            <w:tcW w:w="569"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Media</w:t>
            </w:r>
          </w:p>
        </w:tc>
        <w:tc>
          <w:tcPr>
            <w:tcW w:w="627"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95,0</w:t>
            </w:r>
          </w:p>
        </w:tc>
        <w:tc>
          <w:tcPr>
            <w:tcW w:w="362"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100</w:t>
            </w:r>
          </w:p>
        </w:tc>
        <w:tc>
          <w:tcPr>
            <w:tcW w:w="471"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77,4</w:t>
            </w:r>
          </w:p>
        </w:tc>
        <w:tc>
          <w:tcPr>
            <w:tcW w:w="498"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71,0</w:t>
            </w:r>
          </w:p>
        </w:tc>
        <w:tc>
          <w:tcPr>
            <w:tcW w:w="471"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54,0</w:t>
            </w:r>
          </w:p>
        </w:tc>
        <w:tc>
          <w:tcPr>
            <w:tcW w:w="560"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77,5</w:t>
            </w:r>
          </w:p>
        </w:tc>
        <w:tc>
          <w:tcPr>
            <w:tcW w:w="553"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73,3</w:t>
            </w:r>
          </w:p>
        </w:tc>
        <w:tc>
          <w:tcPr>
            <w:tcW w:w="450"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41,6</w:t>
            </w:r>
          </w:p>
        </w:tc>
      </w:tr>
      <w:tr w:rsidR="002706A6" w:rsidRPr="00E7589C" w:rsidTr="002706A6">
        <w:trPr>
          <w:trHeight w:val="20"/>
        </w:trPr>
        <w:tc>
          <w:tcPr>
            <w:tcW w:w="440" w:type="pct"/>
            <w:vMerge/>
            <w:noWrap/>
            <w:vAlign w:val="center"/>
            <w:hideMark/>
          </w:tcPr>
          <w:p w:rsidR="00E17665" w:rsidRPr="00E7589C" w:rsidRDefault="00E17665" w:rsidP="00E17665">
            <w:pPr>
              <w:spacing w:after="80" w:line="360" w:lineRule="auto"/>
              <w:jc w:val="center"/>
              <w:rPr>
                <w:rFonts w:ascii="Verdana" w:hAnsi="Verdana" w:cs="Arial"/>
                <w:sz w:val="22"/>
                <w:szCs w:val="22"/>
              </w:rPr>
            </w:pPr>
          </w:p>
        </w:tc>
        <w:tc>
          <w:tcPr>
            <w:tcW w:w="569" w:type="pct"/>
            <w:noWrap/>
            <w:vAlign w:val="center"/>
            <w:hideMark/>
          </w:tcPr>
          <w:p w:rsidR="00E17665" w:rsidRPr="00E7589C" w:rsidRDefault="00E17665" w:rsidP="00E17665">
            <w:pPr>
              <w:spacing w:after="80" w:line="360" w:lineRule="auto"/>
              <w:ind w:left="-161" w:right="-135"/>
              <w:jc w:val="center"/>
              <w:rPr>
                <w:rFonts w:ascii="Verdana" w:hAnsi="Verdana" w:cs="Arial"/>
                <w:sz w:val="22"/>
                <w:szCs w:val="22"/>
              </w:rPr>
            </w:pPr>
            <w:proofErr w:type="spellStart"/>
            <w:r w:rsidRPr="00E7589C">
              <w:rPr>
                <w:rFonts w:ascii="Verdana" w:hAnsi="Verdana" w:cs="Arial"/>
                <w:sz w:val="22"/>
                <w:szCs w:val="22"/>
              </w:rPr>
              <w:t>Desv</w:t>
            </w:r>
            <w:proofErr w:type="spellEnd"/>
            <w:r w:rsidRPr="00E7589C">
              <w:rPr>
                <w:rFonts w:ascii="Verdana" w:hAnsi="Verdana" w:cs="Arial"/>
                <w:sz w:val="22"/>
                <w:szCs w:val="22"/>
              </w:rPr>
              <w:t xml:space="preserve">. </w:t>
            </w:r>
            <w:proofErr w:type="spellStart"/>
            <w:r w:rsidRPr="00E7589C">
              <w:rPr>
                <w:rFonts w:ascii="Verdana" w:hAnsi="Verdana" w:cs="Arial"/>
                <w:sz w:val="22"/>
                <w:szCs w:val="22"/>
              </w:rPr>
              <w:t>típ</w:t>
            </w:r>
            <w:proofErr w:type="spellEnd"/>
            <w:r w:rsidRPr="00E7589C">
              <w:rPr>
                <w:rFonts w:ascii="Verdana" w:hAnsi="Verdana" w:cs="Arial"/>
                <w:sz w:val="22"/>
                <w:szCs w:val="22"/>
              </w:rPr>
              <w:t>.</w:t>
            </w:r>
          </w:p>
        </w:tc>
        <w:tc>
          <w:tcPr>
            <w:tcW w:w="627"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3,5</w:t>
            </w:r>
          </w:p>
        </w:tc>
        <w:tc>
          <w:tcPr>
            <w:tcW w:w="362"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0,0</w:t>
            </w:r>
          </w:p>
        </w:tc>
        <w:tc>
          <w:tcPr>
            <w:tcW w:w="471"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16,5</w:t>
            </w:r>
          </w:p>
        </w:tc>
        <w:tc>
          <w:tcPr>
            <w:tcW w:w="498"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13,4</w:t>
            </w:r>
          </w:p>
        </w:tc>
        <w:tc>
          <w:tcPr>
            <w:tcW w:w="471"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10,8</w:t>
            </w:r>
          </w:p>
        </w:tc>
        <w:tc>
          <w:tcPr>
            <w:tcW w:w="560"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18,5</w:t>
            </w:r>
          </w:p>
        </w:tc>
        <w:tc>
          <w:tcPr>
            <w:tcW w:w="553"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43,5</w:t>
            </w:r>
          </w:p>
        </w:tc>
        <w:tc>
          <w:tcPr>
            <w:tcW w:w="450"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9,2</w:t>
            </w:r>
          </w:p>
        </w:tc>
      </w:tr>
      <w:tr w:rsidR="002706A6" w:rsidRPr="00E7589C" w:rsidTr="002706A6">
        <w:trPr>
          <w:trHeight w:val="421"/>
        </w:trPr>
        <w:tc>
          <w:tcPr>
            <w:tcW w:w="440" w:type="pct"/>
            <w:vMerge w:val="restart"/>
            <w:noWrap/>
            <w:vAlign w:val="center"/>
            <w:hideMark/>
          </w:tcPr>
          <w:p w:rsidR="00E17665" w:rsidRPr="00E7589C" w:rsidRDefault="00E17665" w:rsidP="00E17665">
            <w:pPr>
              <w:spacing w:after="80" w:line="360" w:lineRule="auto"/>
              <w:jc w:val="center"/>
              <w:rPr>
                <w:rFonts w:ascii="Verdana" w:hAnsi="Verdana" w:cs="Arial"/>
                <w:sz w:val="22"/>
                <w:szCs w:val="22"/>
              </w:rPr>
            </w:pPr>
            <w:proofErr w:type="spellStart"/>
            <w:r w:rsidRPr="00E7589C">
              <w:rPr>
                <w:rFonts w:ascii="Verdana" w:hAnsi="Verdana" w:cs="Arial"/>
                <w:sz w:val="22"/>
                <w:szCs w:val="22"/>
              </w:rPr>
              <w:t>Sobre-peso</w:t>
            </w:r>
            <w:proofErr w:type="spellEnd"/>
          </w:p>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n=12</w:t>
            </w:r>
          </w:p>
        </w:tc>
        <w:tc>
          <w:tcPr>
            <w:tcW w:w="569"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Media</w:t>
            </w:r>
          </w:p>
        </w:tc>
        <w:tc>
          <w:tcPr>
            <w:tcW w:w="627"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96,5</w:t>
            </w:r>
          </w:p>
        </w:tc>
        <w:tc>
          <w:tcPr>
            <w:tcW w:w="362"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95,0</w:t>
            </w:r>
          </w:p>
        </w:tc>
        <w:tc>
          <w:tcPr>
            <w:tcW w:w="471"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71,5</w:t>
            </w:r>
          </w:p>
        </w:tc>
        <w:tc>
          <w:tcPr>
            <w:tcW w:w="498"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65,9</w:t>
            </w:r>
          </w:p>
        </w:tc>
        <w:tc>
          <w:tcPr>
            <w:tcW w:w="471"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52,0</w:t>
            </w:r>
          </w:p>
        </w:tc>
        <w:tc>
          <w:tcPr>
            <w:tcW w:w="560"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88,8</w:t>
            </w:r>
          </w:p>
        </w:tc>
        <w:tc>
          <w:tcPr>
            <w:tcW w:w="553"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93,3</w:t>
            </w:r>
          </w:p>
        </w:tc>
        <w:tc>
          <w:tcPr>
            <w:tcW w:w="450"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46,8</w:t>
            </w:r>
          </w:p>
        </w:tc>
      </w:tr>
      <w:tr w:rsidR="002706A6" w:rsidRPr="00E7589C" w:rsidTr="002706A6">
        <w:trPr>
          <w:trHeight w:val="20"/>
        </w:trPr>
        <w:tc>
          <w:tcPr>
            <w:tcW w:w="440" w:type="pct"/>
            <w:vMerge/>
            <w:noWrap/>
            <w:vAlign w:val="center"/>
            <w:hideMark/>
          </w:tcPr>
          <w:p w:rsidR="00E17665" w:rsidRPr="00E7589C" w:rsidRDefault="00E17665" w:rsidP="00E17665">
            <w:pPr>
              <w:spacing w:after="80" w:line="360" w:lineRule="auto"/>
              <w:jc w:val="center"/>
              <w:rPr>
                <w:rFonts w:ascii="Verdana" w:hAnsi="Verdana" w:cs="Arial"/>
                <w:sz w:val="22"/>
                <w:szCs w:val="22"/>
              </w:rPr>
            </w:pPr>
          </w:p>
        </w:tc>
        <w:tc>
          <w:tcPr>
            <w:tcW w:w="569" w:type="pct"/>
            <w:noWrap/>
            <w:vAlign w:val="center"/>
            <w:hideMark/>
          </w:tcPr>
          <w:p w:rsidR="00E17665" w:rsidRPr="00E7589C" w:rsidRDefault="00E17665" w:rsidP="00E17665">
            <w:pPr>
              <w:spacing w:after="80" w:line="360" w:lineRule="auto"/>
              <w:ind w:left="-161" w:right="-135"/>
              <w:jc w:val="center"/>
              <w:rPr>
                <w:rFonts w:ascii="Verdana" w:hAnsi="Verdana" w:cs="Arial"/>
                <w:sz w:val="22"/>
                <w:szCs w:val="22"/>
              </w:rPr>
            </w:pPr>
            <w:proofErr w:type="spellStart"/>
            <w:r w:rsidRPr="00E7589C">
              <w:rPr>
                <w:rFonts w:ascii="Verdana" w:hAnsi="Verdana" w:cs="Arial"/>
                <w:sz w:val="22"/>
                <w:szCs w:val="22"/>
              </w:rPr>
              <w:t>Desv</w:t>
            </w:r>
            <w:proofErr w:type="spellEnd"/>
            <w:r w:rsidRPr="00E7589C">
              <w:rPr>
                <w:rFonts w:ascii="Verdana" w:hAnsi="Verdana" w:cs="Arial"/>
                <w:sz w:val="22"/>
                <w:szCs w:val="22"/>
              </w:rPr>
              <w:t xml:space="preserve">. </w:t>
            </w:r>
            <w:proofErr w:type="spellStart"/>
            <w:r w:rsidRPr="00E7589C">
              <w:rPr>
                <w:rFonts w:ascii="Verdana" w:hAnsi="Verdana" w:cs="Arial"/>
                <w:sz w:val="22"/>
                <w:szCs w:val="22"/>
              </w:rPr>
              <w:t>típ</w:t>
            </w:r>
            <w:proofErr w:type="spellEnd"/>
            <w:r w:rsidRPr="00E7589C">
              <w:rPr>
                <w:rFonts w:ascii="Verdana" w:hAnsi="Verdana" w:cs="Arial"/>
                <w:sz w:val="22"/>
                <w:szCs w:val="22"/>
              </w:rPr>
              <w:t>.</w:t>
            </w:r>
          </w:p>
        </w:tc>
        <w:tc>
          <w:tcPr>
            <w:tcW w:w="627"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4,7</w:t>
            </w:r>
          </w:p>
        </w:tc>
        <w:tc>
          <w:tcPr>
            <w:tcW w:w="362"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10,5</w:t>
            </w:r>
          </w:p>
        </w:tc>
        <w:tc>
          <w:tcPr>
            <w:tcW w:w="471"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21,4</w:t>
            </w:r>
          </w:p>
        </w:tc>
        <w:tc>
          <w:tcPr>
            <w:tcW w:w="498"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9,5</w:t>
            </w:r>
          </w:p>
        </w:tc>
        <w:tc>
          <w:tcPr>
            <w:tcW w:w="471"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16,0</w:t>
            </w:r>
          </w:p>
        </w:tc>
        <w:tc>
          <w:tcPr>
            <w:tcW w:w="560"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16,1</w:t>
            </w:r>
          </w:p>
        </w:tc>
        <w:tc>
          <w:tcPr>
            <w:tcW w:w="553"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21,1</w:t>
            </w:r>
          </w:p>
        </w:tc>
        <w:tc>
          <w:tcPr>
            <w:tcW w:w="450"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17,7</w:t>
            </w:r>
          </w:p>
        </w:tc>
      </w:tr>
      <w:tr w:rsidR="002706A6" w:rsidRPr="00E7589C" w:rsidTr="002706A6">
        <w:trPr>
          <w:trHeight w:val="432"/>
        </w:trPr>
        <w:tc>
          <w:tcPr>
            <w:tcW w:w="440" w:type="pct"/>
            <w:vMerge w:val="restar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Total</w:t>
            </w:r>
          </w:p>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n=47</w:t>
            </w:r>
          </w:p>
        </w:tc>
        <w:tc>
          <w:tcPr>
            <w:tcW w:w="569"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Media</w:t>
            </w:r>
          </w:p>
        </w:tc>
        <w:tc>
          <w:tcPr>
            <w:tcW w:w="627"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94,5</w:t>
            </w:r>
          </w:p>
        </w:tc>
        <w:tc>
          <w:tcPr>
            <w:tcW w:w="362"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82,9</w:t>
            </w:r>
          </w:p>
        </w:tc>
        <w:tc>
          <w:tcPr>
            <w:tcW w:w="471"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71,5</w:t>
            </w:r>
          </w:p>
        </w:tc>
        <w:tc>
          <w:tcPr>
            <w:tcW w:w="498"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64,8</w:t>
            </w:r>
          </w:p>
        </w:tc>
        <w:tc>
          <w:tcPr>
            <w:tcW w:w="471"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46,6</w:t>
            </w:r>
          </w:p>
        </w:tc>
        <w:tc>
          <w:tcPr>
            <w:tcW w:w="560"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80,8</w:t>
            </w:r>
          </w:p>
        </w:tc>
        <w:tc>
          <w:tcPr>
            <w:tcW w:w="553"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75,6</w:t>
            </w:r>
          </w:p>
        </w:tc>
        <w:tc>
          <w:tcPr>
            <w:tcW w:w="450"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42,9</w:t>
            </w:r>
          </w:p>
        </w:tc>
      </w:tr>
      <w:tr w:rsidR="002706A6" w:rsidRPr="00E7589C" w:rsidTr="002706A6">
        <w:trPr>
          <w:trHeight w:val="20"/>
        </w:trPr>
        <w:tc>
          <w:tcPr>
            <w:tcW w:w="440" w:type="pct"/>
            <w:vMerge/>
            <w:noWrap/>
            <w:vAlign w:val="center"/>
            <w:hideMark/>
          </w:tcPr>
          <w:p w:rsidR="00E17665" w:rsidRPr="00E7589C" w:rsidRDefault="00E17665" w:rsidP="00E17665">
            <w:pPr>
              <w:spacing w:after="80" w:line="360" w:lineRule="auto"/>
              <w:jc w:val="center"/>
              <w:rPr>
                <w:rFonts w:ascii="Verdana" w:hAnsi="Verdana" w:cs="Arial"/>
                <w:sz w:val="22"/>
                <w:szCs w:val="22"/>
              </w:rPr>
            </w:pPr>
          </w:p>
        </w:tc>
        <w:tc>
          <w:tcPr>
            <w:tcW w:w="569" w:type="pct"/>
            <w:noWrap/>
            <w:vAlign w:val="center"/>
            <w:hideMark/>
          </w:tcPr>
          <w:p w:rsidR="00E17665" w:rsidRPr="00E7589C" w:rsidRDefault="00E17665" w:rsidP="00E17665">
            <w:pPr>
              <w:spacing w:after="80" w:line="360" w:lineRule="auto"/>
              <w:ind w:left="-161" w:right="-135"/>
              <w:jc w:val="center"/>
              <w:rPr>
                <w:rFonts w:ascii="Verdana" w:hAnsi="Verdana" w:cs="Arial"/>
                <w:sz w:val="22"/>
                <w:szCs w:val="22"/>
              </w:rPr>
            </w:pPr>
            <w:proofErr w:type="spellStart"/>
            <w:r w:rsidRPr="00E7589C">
              <w:rPr>
                <w:rFonts w:ascii="Verdana" w:hAnsi="Verdana" w:cs="Arial"/>
                <w:sz w:val="22"/>
                <w:szCs w:val="22"/>
              </w:rPr>
              <w:t>Desv</w:t>
            </w:r>
            <w:proofErr w:type="spellEnd"/>
            <w:r w:rsidRPr="00E7589C">
              <w:rPr>
                <w:rFonts w:ascii="Verdana" w:hAnsi="Verdana" w:cs="Arial"/>
                <w:sz w:val="22"/>
                <w:szCs w:val="22"/>
              </w:rPr>
              <w:t xml:space="preserve">. </w:t>
            </w:r>
            <w:proofErr w:type="spellStart"/>
            <w:r w:rsidRPr="00E7589C">
              <w:rPr>
                <w:rFonts w:ascii="Verdana" w:hAnsi="Verdana" w:cs="Arial"/>
                <w:sz w:val="22"/>
                <w:szCs w:val="22"/>
              </w:rPr>
              <w:t>típ</w:t>
            </w:r>
            <w:proofErr w:type="spellEnd"/>
            <w:r w:rsidRPr="00E7589C">
              <w:rPr>
                <w:rFonts w:ascii="Verdana" w:hAnsi="Verdana" w:cs="Arial"/>
                <w:sz w:val="22"/>
                <w:szCs w:val="22"/>
              </w:rPr>
              <w:t>.</w:t>
            </w:r>
          </w:p>
        </w:tc>
        <w:tc>
          <w:tcPr>
            <w:tcW w:w="627"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9,4</w:t>
            </w:r>
          </w:p>
        </w:tc>
        <w:tc>
          <w:tcPr>
            <w:tcW w:w="362"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28,2</w:t>
            </w:r>
          </w:p>
        </w:tc>
        <w:tc>
          <w:tcPr>
            <w:tcW w:w="471"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18,1</w:t>
            </w:r>
          </w:p>
        </w:tc>
        <w:tc>
          <w:tcPr>
            <w:tcW w:w="498"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16,8</w:t>
            </w:r>
          </w:p>
        </w:tc>
        <w:tc>
          <w:tcPr>
            <w:tcW w:w="471"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12,3</w:t>
            </w:r>
          </w:p>
        </w:tc>
        <w:tc>
          <w:tcPr>
            <w:tcW w:w="560"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19,4</w:t>
            </w:r>
          </w:p>
        </w:tc>
        <w:tc>
          <w:tcPr>
            <w:tcW w:w="553"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39,5</w:t>
            </w:r>
          </w:p>
        </w:tc>
        <w:tc>
          <w:tcPr>
            <w:tcW w:w="450"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12,9</w:t>
            </w:r>
          </w:p>
        </w:tc>
      </w:tr>
      <w:tr w:rsidR="002706A6" w:rsidRPr="00E7589C" w:rsidTr="002706A6">
        <w:trPr>
          <w:trHeight w:val="428"/>
        </w:trPr>
        <w:tc>
          <w:tcPr>
            <w:tcW w:w="1009" w:type="pct"/>
            <w:gridSpan w:val="2"/>
            <w:noWrap/>
            <w:vAlign w:val="center"/>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Sig.</w:t>
            </w:r>
          </w:p>
        </w:tc>
        <w:tc>
          <w:tcPr>
            <w:tcW w:w="627"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0,539</w:t>
            </w:r>
          </w:p>
        </w:tc>
        <w:tc>
          <w:tcPr>
            <w:tcW w:w="362" w:type="pct"/>
            <w:noWrap/>
            <w:vAlign w:val="center"/>
            <w:hideMark/>
          </w:tcPr>
          <w:p w:rsidR="00E17665" w:rsidRPr="00E7589C" w:rsidRDefault="00E17665" w:rsidP="00E17665">
            <w:pPr>
              <w:spacing w:after="80" w:line="360" w:lineRule="auto"/>
              <w:ind w:left="-119"/>
              <w:jc w:val="center"/>
              <w:rPr>
                <w:rFonts w:ascii="Verdana" w:hAnsi="Verdana" w:cs="Arial"/>
                <w:sz w:val="22"/>
                <w:szCs w:val="22"/>
              </w:rPr>
            </w:pPr>
            <w:r w:rsidRPr="00E7589C">
              <w:rPr>
                <w:rFonts w:ascii="Verdana" w:hAnsi="Verdana" w:cs="Arial"/>
                <w:sz w:val="22"/>
                <w:szCs w:val="22"/>
              </w:rPr>
              <w:t>0,04*</w:t>
            </w:r>
          </w:p>
        </w:tc>
        <w:tc>
          <w:tcPr>
            <w:tcW w:w="471"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0,689</w:t>
            </w:r>
          </w:p>
        </w:tc>
        <w:tc>
          <w:tcPr>
            <w:tcW w:w="498"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0,634</w:t>
            </w:r>
          </w:p>
        </w:tc>
        <w:tc>
          <w:tcPr>
            <w:tcW w:w="471"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0,05</w:t>
            </w:r>
          </w:p>
        </w:tc>
        <w:tc>
          <w:tcPr>
            <w:tcW w:w="560" w:type="pct"/>
            <w:noWrap/>
            <w:vAlign w:val="center"/>
            <w:hideMark/>
          </w:tcPr>
          <w:p w:rsidR="00E17665" w:rsidRPr="00E7589C" w:rsidRDefault="00E17665" w:rsidP="00E17665">
            <w:pPr>
              <w:spacing w:after="80" w:line="360" w:lineRule="auto"/>
              <w:ind w:left="-125"/>
              <w:jc w:val="center"/>
              <w:rPr>
                <w:rFonts w:ascii="Verdana" w:hAnsi="Verdana" w:cs="Arial"/>
                <w:sz w:val="22"/>
                <w:szCs w:val="22"/>
              </w:rPr>
            </w:pPr>
            <w:r w:rsidRPr="00E7589C">
              <w:rPr>
                <w:rFonts w:ascii="Verdana" w:hAnsi="Verdana" w:cs="Arial"/>
                <w:sz w:val="22"/>
                <w:szCs w:val="22"/>
              </w:rPr>
              <w:t>0,304</w:t>
            </w:r>
          </w:p>
        </w:tc>
        <w:tc>
          <w:tcPr>
            <w:tcW w:w="553"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0,229</w:t>
            </w:r>
          </w:p>
        </w:tc>
        <w:tc>
          <w:tcPr>
            <w:tcW w:w="450" w:type="pct"/>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0,564</w:t>
            </w:r>
          </w:p>
        </w:tc>
      </w:tr>
    </w:tbl>
    <w:p w:rsidR="00E17665" w:rsidRPr="00E7589C" w:rsidRDefault="00E17665" w:rsidP="00E17665">
      <w:pPr>
        <w:spacing w:after="80" w:line="360" w:lineRule="auto"/>
        <w:ind w:left="-284"/>
        <w:jc w:val="both"/>
        <w:rPr>
          <w:rFonts w:ascii="Verdana" w:hAnsi="Verdana" w:cs="Arial"/>
        </w:rPr>
      </w:pPr>
    </w:p>
    <w:p w:rsidR="00E17665" w:rsidRPr="00E7589C" w:rsidRDefault="00E17665" w:rsidP="00E17665">
      <w:pPr>
        <w:spacing w:after="80" w:line="360" w:lineRule="auto"/>
        <w:jc w:val="both"/>
        <w:rPr>
          <w:rFonts w:ascii="Verdana" w:hAnsi="Verdana" w:cs="Arial"/>
        </w:rPr>
      </w:pPr>
      <w:r w:rsidRPr="002706A6">
        <w:rPr>
          <w:rFonts w:ascii="Verdana" w:hAnsi="Verdana" w:cs="Arial"/>
          <w:b/>
        </w:rPr>
        <w:t>Tabla 3</w:t>
      </w:r>
      <w:r w:rsidRPr="00E7589C">
        <w:rPr>
          <w:rFonts w:ascii="Verdana" w:hAnsi="Verdana" w:cs="Arial"/>
        </w:rPr>
        <w:t>. Características antropométricas según la calidad de vida global de estudiantes de UCMM. Femenino</w:t>
      </w:r>
    </w:p>
    <w:tbl>
      <w:tblPr>
        <w:tblStyle w:val="Tablaconcuadrcula"/>
        <w:tblW w:w="5000" w:type="pct"/>
        <w:jc w:val="center"/>
        <w:tblInd w:w="0" w:type="dxa"/>
        <w:tblLook w:val="04A0" w:firstRow="1" w:lastRow="0" w:firstColumn="1" w:lastColumn="0" w:noHBand="0" w:noVBand="1"/>
      </w:tblPr>
      <w:tblGrid>
        <w:gridCol w:w="2112"/>
        <w:gridCol w:w="863"/>
        <w:gridCol w:w="1283"/>
        <w:gridCol w:w="863"/>
        <w:gridCol w:w="1283"/>
        <w:gridCol w:w="863"/>
        <w:gridCol w:w="1283"/>
        <w:gridCol w:w="1130"/>
      </w:tblGrid>
      <w:tr w:rsidR="00E17665" w:rsidRPr="00E7589C" w:rsidTr="00CF5206">
        <w:trPr>
          <w:trHeight w:val="113"/>
          <w:jc w:val="center"/>
        </w:trPr>
        <w:tc>
          <w:tcPr>
            <w:tcW w:w="1070" w:type="pct"/>
            <w:vMerge w:val="restart"/>
            <w:tcBorders>
              <w:top w:val="single" w:sz="4" w:space="0" w:color="auto"/>
              <w:left w:val="single" w:sz="4" w:space="0" w:color="auto"/>
              <w:bottom w:val="single" w:sz="4" w:space="0" w:color="auto"/>
              <w:right w:val="single" w:sz="4" w:space="0" w:color="auto"/>
            </w:tcBorders>
            <w:noWrap/>
            <w:vAlign w:val="center"/>
          </w:tcPr>
          <w:p w:rsidR="00E17665" w:rsidRPr="00E7589C" w:rsidRDefault="00E17665" w:rsidP="00E17665">
            <w:pPr>
              <w:spacing w:after="80" w:line="360" w:lineRule="auto"/>
              <w:jc w:val="center"/>
              <w:rPr>
                <w:rFonts w:ascii="Verdana" w:hAnsi="Verdana" w:cs="Arial"/>
                <w:b/>
                <w:sz w:val="22"/>
                <w:szCs w:val="22"/>
              </w:rPr>
            </w:pPr>
            <w:r w:rsidRPr="00E7589C">
              <w:rPr>
                <w:rFonts w:ascii="Verdana" w:hAnsi="Verdana" w:cs="Arial"/>
                <w:b/>
                <w:sz w:val="22"/>
                <w:szCs w:val="22"/>
              </w:rPr>
              <w:t>Antropometría</w:t>
            </w:r>
          </w:p>
        </w:tc>
        <w:tc>
          <w:tcPr>
            <w:tcW w:w="1085" w:type="pct"/>
            <w:gridSpan w:val="2"/>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b/>
                <w:sz w:val="22"/>
                <w:szCs w:val="22"/>
              </w:rPr>
              <w:t>Regular</w:t>
            </w:r>
            <w:r w:rsidRPr="00E7589C">
              <w:rPr>
                <w:rFonts w:ascii="Verdana" w:hAnsi="Verdana" w:cs="Arial"/>
                <w:sz w:val="22"/>
                <w:szCs w:val="22"/>
              </w:rPr>
              <w:t xml:space="preserve"> n=8</w:t>
            </w:r>
          </w:p>
        </w:tc>
        <w:tc>
          <w:tcPr>
            <w:tcW w:w="1085" w:type="pct"/>
            <w:gridSpan w:val="2"/>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b/>
                <w:sz w:val="22"/>
                <w:szCs w:val="22"/>
              </w:rPr>
              <w:t>Bien</w:t>
            </w:r>
            <w:r w:rsidRPr="00E7589C">
              <w:rPr>
                <w:rFonts w:ascii="Verdana" w:hAnsi="Verdana" w:cs="Arial"/>
                <w:sz w:val="22"/>
                <w:szCs w:val="22"/>
              </w:rPr>
              <w:t xml:space="preserve"> n=9</w:t>
            </w:r>
          </w:p>
        </w:tc>
        <w:tc>
          <w:tcPr>
            <w:tcW w:w="1085" w:type="pct"/>
            <w:gridSpan w:val="2"/>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b/>
                <w:sz w:val="22"/>
                <w:szCs w:val="22"/>
              </w:rPr>
              <w:t>Muy bien</w:t>
            </w:r>
            <w:r w:rsidRPr="00E7589C">
              <w:rPr>
                <w:rFonts w:ascii="Verdana" w:hAnsi="Verdana" w:cs="Arial"/>
                <w:sz w:val="22"/>
                <w:szCs w:val="22"/>
              </w:rPr>
              <w:t xml:space="preserve"> n=9</w:t>
            </w:r>
          </w:p>
        </w:tc>
        <w:tc>
          <w:tcPr>
            <w:tcW w:w="675" w:type="pct"/>
            <w:vMerge w:val="restart"/>
            <w:tcBorders>
              <w:top w:val="single" w:sz="4" w:space="0" w:color="auto"/>
              <w:left w:val="single" w:sz="4" w:space="0" w:color="auto"/>
              <w:right w:val="single" w:sz="4" w:space="0" w:color="auto"/>
            </w:tcBorders>
            <w:vAlign w:val="center"/>
          </w:tcPr>
          <w:p w:rsidR="00E17665" w:rsidRPr="00E7589C" w:rsidRDefault="00E17665" w:rsidP="00E17665">
            <w:pPr>
              <w:spacing w:after="80" w:line="360" w:lineRule="auto"/>
              <w:jc w:val="center"/>
              <w:rPr>
                <w:rFonts w:ascii="Verdana" w:hAnsi="Verdana" w:cs="Arial"/>
                <w:b/>
                <w:sz w:val="22"/>
                <w:szCs w:val="22"/>
                <w:vertAlign w:val="superscript"/>
              </w:rPr>
            </w:pPr>
            <w:r w:rsidRPr="00E7589C">
              <w:rPr>
                <w:rFonts w:ascii="Verdana" w:hAnsi="Verdana" w:cs="Arial"/>
                <w:b/>
                <w:sz w:val="22"/>
                <w:szCs w:val="22"/>
              </w:rPr>
              <w:t>Sig.</w:t>
            </w:r>
            <w:r w:rsidRPr="00E7589C">
              <w:rPr>
                <w:rFonts w:ascii="Verdana" w:hAnsi="Verdana" w:cs="Arial"/>
                <w:b/>
                <w:sz w:val="22"/>
                <w:szCs w:val="22"/>
                <w:vertAlign w:val="superscript"/>
              </w:rPr>
              <w:t>*</w:t>
            </w:r>
          </w:p>
        </w:tc>
      </w:tr>
      <w:tr w:rsidR="00E17665" w:rsidRPr="00E7589C" w:rsidTr="00CF5206">
        <w:trPr>
          <w:trHeight w:val="113"/>
          <w:jc w:val="center"/>
        </w:trPr>
        <w:tc>
          <w:tcPr>
            <w:tcW w:w="1070" w:type="pct"/>
            <w:vMerge/>
            <w:tcBorders>
              <w:top w:val="single" w:sz="4" w:space="0" w:color="auto"/>
              <w:left w:val="single" w:sz="4" w:space="0" w:color="auto"/>
              <w:bottom w:val="single" w:sz="4" w:space="0" w:color="auto"/>
              <w:right w:val="single" w:sz="4" w:space="0" w:color="auto"/>
            </w:tcBorders>
            <w:vAlign w:val="center"/>
            <w:hideMark/>
          </w:tcPr>
          <w:p w:rsidR="00E17665" w:rsidRPr="00E7589C" w:rsidRDefault="00E17665" w:rsidP="00E17665">
            <w:pPr>
              <w:spacing w:after="80" w:line="360" w:lineRule="auto"/>
              <w:jc w:val="center"/>
              <w:rPr>
                <w:rFonts w:ascii="Verdana" w:hAnsi="Verdana" w:cs="Arial"/>
                <w:sz w:val="22"/>
                <w:szCs w:val="22"/>
              </w:rPr>
            </w:pP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Media</w:t>
            </w:r>
          </w:p>
        </w:tc>
        <w:tc>
          <w:tcPr>
            <w:tcW w:w="635"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proofErr w:type="spellStart"/>
            <w:r w:rsidRPr="00E7589C">
              <w:rPr>
                <w:rFonts w:ascii="Verdana" w:hAnsi="Verdana" w:cs="Arial"/>
                <w:sz w:val="22"/>
                <w:szCs w:val="22"/>
              </w:rPr>
              <w:t>Desv</w:t>
            </w:r>
            <w:proofErr w:type="spellEnd"/>
            <w:r w:rsidRPr="00E7589C">
              <w:rPr>
                <w:rFonts w:ascii="Verdana" w:hAnsi="Verdana" w:cs="Arial"/>
                <w:sz w:val="22"/>
                <w:szCs w:val="22"/>
              </w:rPr>
              <w:t xml:space="preserve">. </w:t>
            </w:r>
            <w:proofErr w:type="spellStart"/>
            <w:r w:rsidRPr="00E7589C">
              <w:rPr>
                <w:rFonts w:ascii="Verdana" w:hAnsi="Verdana" w:cs="Arial"/>
                <w:sz w:val="22"/>
                <w:szCs w:val="22"/>
              </w:rPr>
              <w:t>típ</w:t>
            </w:r>
            <w:proofErr w:type="spellEnd"/>
            <w:r w:rsidRPr="00E7589C">
              <w:rPr>
                <w:rFonts w:ascii="Verdana" w:hAnsi="Verdana" w:cs="Arial"/>
                <w:sz w:val="22"/>
                <w:szCs w:val="22"/>
              </w:rPr>
              <w:t>.</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Media</w:t>
            </w:r>
          </w:p>
        </w:tc>
        <w:tc>
          <w:tcPr>
            <w:tcW w:w="636"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proofErr w:type="spellStart"/>
            <w:r w:rsidRPr="00E7589C">
              <w:rPr>
                <w:rFonts w:ascii="Verdana" w:hAnsi="Verdana" w:cs="Arial"/>
                <w:sz w:val="22"/>
                <w:szCs w:val="22"/>
              </w:rPr>
              <w:t>Desv</w:t>
            </w:r>
            <w:proofErr w:type="spellEnd"/>
            <w:r w:rsidRPr="00E7589C">
              <w:rPr>
                <w:rFonts w:ascii="Verdana" w:hAnsi="Verdana" w:cs="Arial"/>
                <w:sz w:val="22"/>
                <w:szCs w:val="22"/>
              </w:rPr>
              <w:t xml:space="preserve">. </w:t>
            </w:r>
            <w:proofErr w:type="spellStart"/>
            <w:r w:rsidRPr="00E7589C">
              <w:rPr>
                <w:rFonts w:ascii="Verdana" w:hAnsi="Verdana" w:cs="Arial"/>
                <w:sz w:val="22"/>
                <w:szCs w:val="22"/>
              </w:rPr>
              <w:t>típ</w:t>
            </w:r>
            <w:proofErr w:type="spellEnd"/>
            <w:r w:rsidRPr="00E7589C">
              <w:rPr>
                <w:rFonts w:ascii="Verdana" w:hAnsi="Verdana" w:cs="Arial"/>
                <w:sz w:val="22"/>
                <w:szCs w:val="22"/>
              </w:rPr>
              <w:t>.</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Media</w:t>
            </w:r>
          </w:p>
        </w:tc>
        <w:tc>
          <w:tcPr>
            <w:tcW w:w="636"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proofErr w:type="spellStart"/>
            <w:r w:rsidRPr="00E7589C">
              <w:rPr>
                <w:rFonts w:ascii="Verdana" w:hAnsi="Verdana" w:cs="Arial"/>
                <w:sz w:val="22"/>
                <w:szCs w:val="22"/>
              </w:rPr>
              <w:t>Desv</w:t>
            </w:r>
            <w:proofErr w:type="spellEnd"/>
            <w:r w:rsidRPr="00E7589C">
              <w:rPr>
                <w:rFonts w:ascii="Verdana" w:hAnsi="Verdana" w:cs="Arial"/>
                <w:sz w:val="22"/>
                <w:szCs w:val="22"/>
              </w:rPr>
              <w:t xml:space="preserve">. </w:t>
            </w:r>
            <w:proofErr w:type="spellStart"/>
            <w:r w:rsidRPr="00E7589C">
              <w:rPr>
                <w:rFonts w:ascii="Verdana" w:hAnsi="Verdana" w:cs="Arial"/>
                <w:sz w:val="22"/>
                <w:szCs w:val="22"/>
              </w:rPr>
              <w:t>típ</w:t>
            </w:r>
            <w:proofErr w:type="spellEnd"/>
            <w:r w:rsidRPr="00E7589C">
              <w:rPr>
                <w:rFonts w:ascii="Verdana" w:hAnsi="Verdana" w:cs="Arial"/>
                <w:sz w:val="22"/>
                <w:szCs w:val="22"/>
              </w:rPr>
              <w:t>.</w:t>
            </w:r>
          </w:p>
        </w:tc>
        <w:tc>
          <w:tcPr>
            <w:tcW w:w="675" w:type="pct"/>
            <w:vMerge/>
            <w:tcBorders>
              <w:left w:val="single" w:sz="4" w:space="0" w:color="auto"/>
              <w:bottom w:val="single" w:sz="4" w:space="0" w:color="auto"/>
              <w:right w:val="single" w:sz="4" w:space="0" w:color="auto"/>
            </w:tcBorders>
          </w:tcPr>
          <w:p w:rsidR="00E17665" w:rsidRPr="00E7589C" w:rsidRDefault="00E17665" w:rsidP="00E17665">
            <w:pPr>
              <w:spacing w:after="80" w:line="360" w:lineRule="auto"/>
              <w:jc w:val="center"/>
              <w:rPr>
                <w:rFonts w:ascii="Verdana" w:hAnsi="Verdana" w:cs="Arial"/>
                <w:sz w:val="22"/>
                <w:szCs w:val="22"/>
              </w:rPr>
            </w:pPr>
          </w:p>
        </w:tc>
      </w:tr>
      <w:tr w:rsidR="00E17665" w:rsidRPr="00E7589C" w:rsidTr="00CF5206">
        <w:trPr>
          <w:trHeight w:val="113"/>
          <w:jc w:val="center"/>
        </w:trPr>
        <w:tc>
          <w:tcPr>
            <w:tcW w:w="1070"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Endomorfia</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4,3</w:t>
            </w:r>
          </w:p>
        </w:tc>
        <w:tc>
          <w:tcPr>
            <w:tcW w:w="635"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0,9</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3,8</w:t>
            </w:r>
          </w:p>
        </w:tc>
        <w:tc>
          <w:tcPr>
            <w:tcW w:w="636"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1,0</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5,7</w:t>
            </w:r>
          </w:p>
        </w:tc>
        <w:tc>
          <w:tcPr>
            <w:tcW w:w="636"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1,2</w:t>
            </w:r>
          </w:p>
        </w:tc>
        <w:tc>
          <w:tcPr>
            <w:tcW w:w="675" w:type="pct"/>
            <w:tcBorders>
              <w:top w:val="single" w:sz="4" w:space="0" w:color="auto"/>
              <w:left w:val="single" w:sz="4" w:space="0" w:color="auto"/>
              <w:bottom w:val="single" w:sz="4" w:space="0" w:color="auto"/>
              <w:right w:val="single" w:sz="4" w:space="0" w:color="auto"/>
            </w:tcBorders>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0,008*</w:t>
            </w:r>
          </w:p>
        </w:tc>
      </w:tr>
      <w:tr w:rsidR="00E17665" w:rsidRPr="00E7589C" w:rsidTr="00CF5206">
        <w:trPr>
          <w:trHeight w:val="113"/>
          <w:jc w:val="center"/>
        </w:trPr>
        <w:tc>
          <w:tcPr>
            <w:tcW w:w="1070"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Mesomorfia</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3,6</w:t>
            </w:r>
          </w:p>
        </w:tc>
        <w:tc>
          <w:tcPr>
            <w:tcW w:w="635"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0,9</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3,6</w:t>
            </w:r>
          </w:p>
        </w:tc>
        <w:tc>
          <w:tcPr>
            <w:tcW w:w="636"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2,0</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5,6</w:t>
            </w:r>
          </w:p>
        </w:tc>
        <w:tc>
          <w:tcPr>
            <w:tcW w:w="636"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1,0</w:t>
            </w:r>
          </w:p>
        </w:tc>
        <w:tc>
          <w:tcPr>
            <w:tcW w:w="675" w:type="pct"/>
            <w:tcBorders>
              <w:top w:val="single" w:sz="4" w:space="0" w:color="auto"/>
              <w:left w:val="single" w:sz="4" w:space="0" w:color="auto"/>
              <w:bottom w:val="single" w:sz="4" w:space="0" w:color="auto"/>
              <w:right w:val="single" w:sz="4" w:space="0" w:color="auto"/>
            </w:tcBorders>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0,011*</w:t>
            </w:r>
          </w:p>
        </w:tc>
      </w:tr>
      <w:tr w:rsidR="00E17665" w:rsidRPr="00E7589C" w:rsidTr="00CF5206">
        <w:trPr>
          <w:trHeight w:val="113"/>
          <w:jc w:val="center"/>
        </w:trPr>
        <w:tc>
          <w:tcPr>
            <w:tcW w:w="1070"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Ectomorfia</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2,6</w:t>
            </w:r>
          </w:p>
        </w:tc>
        <w:tc>
          <w:tcPr>
            <w:tcW w:w="635"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1,1</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2,6</w:t>
            </w:r>
          </w:p>
        </w:tc>
        <w:tc>
          <w:tcPr>
            <w:tcW w:w="636"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2,2</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0,5</w:t>
            </w:r>
          </w:p>
        </w:tc>
        <w:tc>
          <w:tcPr>
            <w:tcW w:w="636"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0,7</w:t>
            </w:r>
          </w:p>
        </w:tc>
        <w:tc>
          <w:tcPr>
            <w:tcW w:w="675" w:type="pct"/>
            <w:tcBorders>
              <w:top w:val="single" w:sz="4" w:space="0" w:color="auto"/>
              <w:left w:val="single" w:sz="4" w:space="0" w:color="auto"/>
              <w:bottom w:val="single" w:sz="4" w:space="0" w:color="auto"/>
              <w:right w:val="single" w:sz="4" w:space="0" w:color="auto"/>
            </w:tcBorders>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0,007*</w:t>
            </w:r>
          </w:p>
        </w:tc>
      </w:tr>
      <w:tr w:rsidR="00E17665" w:rsidRPr="00E7589C" w:rsidTr="00CF5206">
        <w:trPr>
          <w:trHeight w:val="113"/>
          <w:jc w:val="center"/>
        </w:trPr>
        <w:tc>
          <w:tcPr>
            <w:tcW w:w="1070"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Suma_6_PL, mm</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100,7</w:t>
            </w:r>
          </w:p>
        </w:tc>
        <w:tc>
          <w:tcPr>
            <w:tcW w:w="635"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24,1</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88,9</w:t>
            </w:r>
          </w:p>
        </w:tc>
        <w:tc>
          <w:tcPr>
            <w:tcW w:w="636"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23,4</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135,3</w:t>
            </w:r>
          </w:p>
        </w:tc>
        <w:tc>
          <w:tcPr>
            <w:tcW w:w="636"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31,6</w:t>
            </w:r>
          </w:p>
        </w:tc>
        <w:tc>
          <w:tcPr>
            <w:tcW w:w="675" w:type="pct"/>
            <w:tcBorders>
              <w:top w:val="single" w:sz="4" w:space="0" w:color="auto"/>
              <w:left w:val="single" w:sz="4" w:space="0" w:color="auto"/>
              <w:bottom w:val="single" w:sz="4" w:space="0" w:color="auto"/>
              <w:right w:val="single" w:sz="4" w:space="0" w:color="auto"/>
            </w:tcBorders>
          </w:tcPr>
          <w:p w:rsidR="00E17665" w:rsidRPr="00E7589C" w:rsidRDefault="00E17665" w:rsidP="00E17665">
            <w:pPr>
              <w:spacing w:after="80" w:line="360" w:lineRule="auto"/>
              <w:jc w:val="center"/>
              <w:rPr>
                <w:rFonts w:ascii="Verdana" w:hAnsi="Verdana" w:cs="Arial"/>
                <w:sz w:val="22"/>
                <w:szCs w:val="22"/>
                <w:vertAlign w:val="superscript"/>
              </w:rPr>
            </w:pPr>
            <w:r w:rsidRPr="00E7589C">
              <w:rPr>
                <w:rFonts w:ascii="Verdana" w:hAnsi="Verdana" w:cs="Arial"/>
                <w:sz w:val="22"/>
                <w:szCs w:val="22"/>
              </w:rPr>
              <w:t>0,007*</w:t>
            </w:r>
          </w:p>
        </w:tc>
      </w:tr>
      <w:tr w:rsidR="00E17665" w:rsidRPr="00E7589C" w:rsidTr="00CF5206">
        <w:trPr>
          <w:trHeight w:val="113"/>
          <w:jc w:val="center"/>
        </w:trPr>
        <w:tc>
          <w:tcPr>
            <w:tcW w:w="1070"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Suma_8_PL, mm</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124,2</w:t>
            </w:r>
          </w:p>
        </w:tc>
        <w:tc>
          <w:tcPr>
            <w:tcW w:w="635"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28,9</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111,7</w:t>
            </w:r>
          </w:p>
        </w:tc>
        <w:tc>
          <w:tcPr>
            <w:tcW w:w="636"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26,9</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168</w:t>
            </w:r>
          </w:p>
        </w:tc>
        <w:tc>
          <w:tcPr>
            <w:tcW w:w="636"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40,3</w:t>
            </w:r>
          </w:p>
        </w:tc>
        <w:tc>
          <w:tcPr>
            <w:tcW w:w="675" w:type="pct"/>
            <w:tcBorders>
              <w:top w:val="single" w:sz="4" w:space="0" w:color="auto"/>
              <w:left w:val="single" w:sz="4" w:space="0" w:color="auto"/>
              <w:bottom w:val="single" w:sz="4" w:space="0" w:color="auto"/>
              <w:right w:val="single" w:sz="4" w:space="0" w:color="auto"/>
            </w:tcBorders>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0,008*</w:t>
            </w:r>
          </w:p>
        </w:tc>
      </w:tr>
      <w:tr w:rsidR="00E17665" w:rsidRPr="00E7589C" w:rsidTr="00CF5206">
        <w:trPr>
          <w:trHeight w:val="113"/>
          <w:jc w:val="center"/>
        </w:trPr>
        <w:tc>
          <w:tcPr>
            <w:tcW w:w="1070"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IMC, kg/m</w:t>
            </w:r>
            <w:r w:rsidRPr="00E7589C">
              <w:rPr>
                <w:rFonts w:ascii="Verdana" w:hAnsi="Verdana" w:cs="Arial"/>
                <w:sz w:val="22"/>
                <w:szCs w:val="22"/>
                <w:vertAlign w:val="superscript"/>
              </w:rPr>
              <w:t>2</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21,1</w:t>
            </w:r>
          </w:p>
        </w:tc>
        <w:tc>
          <w:tcPr>
            <w:tcW w:w="635"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1,9</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21,5</w:t>
            </w:r>
          </w:p>
        </w:tc>
        <w:tc>
          <w:tcPr>
            <w:tcW w:w="636"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4,6</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26,2</w:t>
            </w:r>
          </w:p>
        </w:tc>
        <w:tc>
          <w:tcPr>
            <w:tcW w:w="636"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2,9</w:t>
            </w:r>
          </w:p>
        </w:tc>
        <w:tc>
          <w:tcPr>
            <w:tcW w:w="675" w:type="pct"/>
            <w:tcBorders>
              <w:top w:val="single" w:sz="4" w:space="0" w:color="auto"/>
              <w:left w:val="single" w:sz="4" w:space="0" w:color="auto"/>
              <w:bottom w:val="single" w:sz="4" w:space="0" w:color="auto"/>
              <w:right w:val="single" w:sz="4" w:space="0" w:color="auto"/>
            </w:tcBorders>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0,008*</w:t>
            </w:r>
          </w:p>
        </w:tc>
      </w:tr>
      <w:tr w:rsidR="00E17665" w:rsidRPr="00E7589C" w:rsidTr="00CF5206">
        <w:trPr>
          <w:trHeight w:val="113"/>
          <w:jc w:val="center"/>
        </w:trPr>
        <w:tc>
          <w:tcPr>
            <w:tcW w:w="1070"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ICC</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0,74</w:t>
            </w:r>
          </w:p>
        </w:tc>
        <w:tc>
          <w:tcPr>
            <w:tcW w:w="635"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0,04</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0,74</w:t>
            </w:r>
          </w:p>
        </w:tc>
        <w:tc>
          <w:tcPr>
            <w:tcW w:w="636"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0,03</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0,75</w:t>
            </w:r>
          </w:p>
        </w:tc>
        <w:tc>
          <w:tcPr>
            <w:tcW w:w="636"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0,04</w:t>
            </w:r>
          </w:p>
        </w:tc>
        <w:tc>
          <w:tcPr>
            <w:tcW w:w="675" w:type="pct"/>
            <w:tcBorders>
              <w:top w:val="single" w:sz="4" w:space="0" w:color="auto"/>
              <w:left w:val="single" w:sz="4" w:space="0" w:color="auto"/>
              <w:bottom w:val="single" w:sz="4" w:space="0" w:color="auto"/>
              <w:right w:val="single" w:sz="4" w:space="0" w:color="auto"/>
            </w:tcBorders>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0,956</w:t>
            </w:r>
          </w:p>
        </w:tc>
      </w:tr>
      <w:tr w:rsidR="00E17665" w:rsidRPr="00E7589C" w:rsidTr="00CF5206">
        <w:trPr>
          <w:trHeight w:val="113"/>
          <w:jc w:val="center"/>
        </w:trPr>
        <w:tc>
          <w:tcPr>
            <w:tcW w:w="1070"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 Grasa</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28,9</w:t>
            </w:r>
          </w:p>
        </w:tc>
        <w:tc>
          <w:tcPr>
            <w:tcW w:w="635"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2,7</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28,5</w:t>
            </w:r>
          </w:p>
        </w:tc>
        <w:tc>
          <w:tcPr>
            <w:tcW w:w="636"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2,3</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32,6</w:t>
            </w:r>
          </w:p>
        </w:tc>
        <w:tc>
          <w:tcPr>
            <w:tcW w:w="636"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3,4</w:t>
            </w:r>
          </w:p>
        </w:tc>
        <w:tc>
          <w:tcPr>
            <w:tcW w:w="675" w:type="pct"/>
            <w:tcBorders>
              <w:top w:val="single" w:sz="4" w:space="0" w:color="auto"/>
              <w:left w:val="single" w:sz="4" w:space="0" w:color="auto"/>
              <w:bottom w:val="single" w:sz="4" w:space="0" w:color="auto"/>
              <w:right w:val="single" w:sz="4" w:space="0" w:color="auto"/>
            </w:tcBorders>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0,023*</w:t>
            </w:r>
          </w:p>
        </w:tc>
      </w:tr>
    </w:tbl>
    <w:p w:rsidR="00E17665" w:rsidRPr="00E7589C" w:rsidRDefault="00E17665" w:rsidP="00E17665">
      <w:pPr>
        <w:spacing w:after="80" w:line="360" w:lineRule="auto"/>
        <w:jc w:val="both"/>
        <w:rPr>
          <w:rFonts w:ascii="Verdana" w:hAnsi="Verdana" w:cs="Arial"/>
        </w:rPr>
      </w:pPr>
      <w:r w:rsidRPr="00E7589C">
        <w:rPr>
          <w:rFonts w:ascii="Verdana" w:hAnsi="Verdana" w:cs="Arial"/>
        </w:rPr>
        <w:t xml:space="preserve">* Significación estadística de la prueba de </w:t>
      </w:r>
      <w:proofErr w:type="spellStart"/>
      <w:r w:rsidRPr="00E7589C">
        <w:rPr>
          <w:rFonts w:ascii="Verdana" w:hAnsi="Verdana" w:cs="Arial"/>
        </w:rPr>
        <w:t>Kruskar</w:t>
      </w:r>
      <w:proofErr w:type="spellEnd"/>
      <w:r w:rsidRPr="00E7589C">
        <w:rPr>
          <w:rFonts w:ascii="Verdana" w:hAnsi="Verdana" w:cs="Arial"/>
        </w:rPr>
        <w:t>- Wallis</w:t>
      </w:r>
    </w:p>
    <w:p w:rsidR="00E17665" w:rsidRPr="00E7589C" w:rsidRDefault="00E17665" w:rsidP="00E17665">
      <w:pPr>
        <w:spacing w:after="80" w:line="360" w:lineRule="auto"/>
        <w:jc w:val="both"/>
        <w:rPr>
          <w:rFonts w:ascii="Verdana" w:hAnsi="Verdana" w:cs="Arial"/>
        </w:rPr>
      </w:pPr>
      <w:r w:rsidRPr="002706A6">
        <w:rPr>
          <w:rFonts w:ascii="Verdana" w:hAnsi="Verdana" w:cs="Arial"/>
          <w:b/>
        </w:rPr>
        <w:t>Tabla 4</w:t>
      </w:r>
      <w:r w:rsidRPr="00E7589C">
        <w:rPr>
          <w:rFonts w:ascii="Verdana" w:hAnsi="Verdana" w:cs="Arial"/>
        </w:rPr>
        <w:t>. Características antropométricas según la calidad de vida global de estudiantes de UCMM. Masculino</w:t>
      </w:r>
    </w:p>
    <w:tbl>
      <w:tblPr>
        <w:tblStyle w:val="Tablaconcuadrcula"/>
        <w:tblW w:w="4746" w:type="pct"/>
        <w:jc w:val="center"/>
        <w:tblInd w:w="0" w:type="dxa"/>
        <w:tblLook w:val="04A0" w:firstRow="1" w:lastRow="0" w:firstColumn="1" w:lastColumn="0" w:noHBand="0" w:noVBand="1"/>
      </w:tblPr>
      <w:tblGrid>
        <w:gridCol w:w="2112"/>
        <w:gridCol w:w="863"/>
        <w:gridCol w:w="1283"/>
        <w:gridCol w:w="863"/>
        <w:gridCol w:w="1283"/>
        <w:gridCol w:w="863"/>
        <w:gridCol w:w="1283"/>
        <w:gridCol w:w="856"/>
      </w:tblGrid>
      <w:tr w:rsidR="00E17665" w:rsidRPr="00E7589C" w:rsidTr="00CF5206">
        <w:trPr>
          <w:trHeight w:val="171"/>
          <w:jc w:val="center"/>
        </w:trPr>
        <w:tc>
          <w:tcPr>
            <w:tcW w:w="1127" w:type="pct"/>
            <w:vMerge w:val="restart"/>
            <w:tcBorders>
              <w:top w:val="single" w:sz="4" w:space="0" w:color="auto"/>
              <w:left w:val="single" w:sz="4" w:space="0" w:color="auto"/>
              <w:bottom w:val="single" w:sz="4" w:space="0" w:color="auto"/>
              <w:right w:val="single" w:sz="4" w:space="0" w:color="auto"/>
            </w:tcBorders>
            <w:noWrap/>
            <w:vAlign w:val="center"/>
          </w:tcPr>
          <w:p w:rsidR="00E17665" w:rsidRPr="00E7589C" w:rsidRDefault="00E17665" w:rsidP="00E17665">
            <w:pPr>
              <w:spacing w:after="80" w:line="360" w:lineRule="auto"/>
              <w:jc w:val="center"/>
              <w:rPr>
                <w:rFonts w:ascii="Verdana" w:hAnsi="Verdana" w:cs="Arial"/>
                <w:b/>
                <w:sz w:val="22"/>
                <w:szCs w:val="22"/>
              </w:rPr>
            </w:pPr>
            <w:r w:rsidRPr="00E7589C">
              <w:rPr>
                <w:rFonts w:ascii="Verdana" w:hAnsi="Verdana" w:cs="Arial"/>
                <w:b/>
                <w:sz w:val="22"/>
                <w:szCs w:val="22"/>
              </w:rPr>
              <w:t>Antropometría</w:t>
            </w:r>
          </w:p>
        </w:tc>
        <w:tc>
          <w:tcPr>
            <w:tcW w:w="1143" w:type="pct"/>
            <w:gridSpan w:val="2"/>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b/>
                <w:sz w:val="22"/>
                <w:szCs w:val="22"/>
              </w:rPr>
            </w:pPr>
            <w:r w:rsidRPr="00E7589C">
              <w:rPr>
                <w:rFonts w:ascii="Verdana" w:hAnsi="Verdana" w:cs="Arial"/>
                <w:b/>
                <w:sz w:val="22"/>
                <w:szCs w:val="22"/>
              </w:rPr>
              <w:t xml:space="preserve">Regular </w:t>
            </w:r>
            <w:r w:rsidRPr="00E7589C">
              <w:rPr>
                <w:rFonts w:ascii="Verdana" w:hAnsi="Verdana" w:cs="Arial"/>
                <w:sz w:val="22"/>
                <w:szCs w:val="22"/>
              </w:rPr>
              <w:t>n=3</w:t>
            </w:r>
          </w:p>
        </w:tc>
        <w:tc>
          <w:tcPr>
            <w:tcW w:w="1143" w:type="pct"/>
            <w:gridSpan w:val="2"/>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b/>
                <w:sz w:val="22"/>
                <w:szCs w:val="22"/>
              </w:rPr>
            </w:pPr>
            <w:r w:rsidRPr="00E7589C">
              <w:rPr>
                <w:rFonts w:ascii="Verdana" w:hAnsi="Verdana" w:cs="Arial"/>
                <w:b/>
                <w:sz w:val="22"/>
                <w:szCs w:val="22"/>
              </w:rPr>
              <w:t xml:space="preserve">Bien </w:t>
            </w:r>
            <w:r w:rsidRPr="00E7589C">
              <w:rPr>
                <w:rFonts w:ascii="Verdana" w:hAnsi="Verdana" w:cs="Arial"/>
                <w:sz w:val="22"/>
                <w:szCs w:val="22"/>
              </w:rPr>
              <w:t>n=10</w:t>
            </w:r>
          </w:p>
        </w:tc>
        <w:tc>
          <w:tcPr>
            <w:tcW w:w="1143" w:type="pct"/>
            <w:gridSpan w:val="2"/>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b/>
                <w:sz w:val="22"/>
                <w:szCs w:val="22"/>
              </w:rPr>
            </w:pPr>
            <w:r w:rsidRPr="00E7589C">
              <w:rPr>
                <w:rFonts w:ascii="Verdana" w:hAnsi="Verdana" w:cs="Arial"/>
                <w:b/>
                <w:sz w:val="22"/>
                <w:szCs w:val="22"/>
              </w:rPr>
              <w:t xml:space="preserve">Muy bien </w:t>
            </w:r>
            <w:r w:rsidRPr="00E7589C">
              <w:rPr>
                <w:rFonts w:ascii="Verdana" w:hAnsi="Verdana" w:cs="Arial"/>
                <w:sz w:val="22"/>
                <w:szCs w:val="22"/>
              </w:rPr>
              <w:t>n=2</w:t>
            </w:r>
          </w:p>
        </w:tc>
        <w:tc>
          <w:tcPr>
            <w:tcW w:w="445" w:type="pct"/>
            <w:vMerge w:val="restart"/>
            <w:tcBorders>
              <w:top w:val="single" w:sz="4" w:space="0" w:color="auto"/>
              <w:left w:val="single" w:sz="4" w:space="0" w:color="auto"/>
              <w:right w:val="single" w:sz="4" w:space="0" w:color="auto"/>
            </w:tcBorders>
            <w:vAlign w:val="center"/>
          </w:tcPr>
          <w:p w:rsidR="00E17665" w:rsidRPr="00E7589C" w:rsidRDefault="00E17665" w:rsidP="00E17665">
            <w:pPr>
              <w:spacing w:after="80" w:line="360" w:lineRule="auto"/>
              <w:jc w:val="center"/>
              <w:rPr>
                <w:rFonts w:ascii="Verdana" w:hAnsi="Verdana" w:cs="Arial"/>
                <w:b/>
                <w:sz w:val="22"/>
                <w:szCs w:val="22"/>
                <w:vertAlign w:val="superscript"/>
              </w:rPr>
            </w:pPr>
            <w:proofErr w:type="spellStart"/>
            <w:r w:rsidRPr="00E7589C">
              <w:rPr>
                <w:rFonts w:ascii="Verdana" w:hAnsi="Verdana" w:cs="Arial"/>
                <w:b/>
                <w:sz w:val="22"/>
                <w:szCs w:val="22"/>
              </w:rPr>
              <w:t>Sig</w:t>
            </w:r>
            <w:proofErr w:type="spellEnd"/>
            <w:r w:rsidRPr="00E7589C">
              <w:rPr>
                <w:rFonts w:ascii="Verdana" w:hAnsi="Verdana" w:cs="Arial"/>
                <w:b/>
                <w:sz w:val="22"/>
                <w:szCs w:val="22"/>
                <w:vertAlign w:val="superscript"/>
              </w:rPr>
              <w:t>*</w:t>
            </w:r>
          </w:p>
        </w:tc>
      </w:tr>
      <w:tr w:rsidR="00E17665" w:rsidRPr="00E7589C" w:rsidTr="00CF5206">
        <w:trPr>
          <w:trHeight w:val="171"/>
          <w:jc w:val="center"/>
        </w:trPr>
        <w:tc>
          <w:tcPr>
            <w:tcW w:w="1127" w:type="pct"/>
            <w:vMerge/>
            <w:tcBorders>
              <w:top w:val="single" w:sz="4" w:space="0" w:color="auto"/>
              <w:left w:val="single" w:sz="4" w:space="0" w:color="auto"/>
              <w:bottom w:val="single" w:sz="4" w:space="0" w:color="auto"/>
              <w:right w:val="single" w:sz="4" w:space="0" w:color="auto"/>
            </w:tcBorders>
            <w:vAlign w:val="center"/>
            <w:hideMark/>
          </w:tcPr>
          <w:p w:rsidR="00E17665" w:rsidRPr="00E7589C" w:rsidRDefault="00E17665" w:rsidP="00E17665">
            <w:pPr>
              <w:spacing w:after="80" w:line="360" w:lineRule="auto"/>
              <w:jc w:val="center"/>
              <w:rPr>
                <w:rFonts w:ascii="Verdana" w:hAnsi="Verdana" w:cs="Arial"/>
                <w:sz w:val="22"/>
                <w:szCs w:val="22"/>
              </w:rPr>
            </w:pP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Media</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proofErr w:type="spellStart"/>
            <w:r w:rsidRPr="00E7589C">
              <w:rPr>
                <w:rFonts w:ascii="Verdana" w:hAnsi="Verdana" w:cs="Arial"/>
                <w:sz w:val="22"/>
                <w:szCs w:val="22"/>
              </w:rPr>
              <w:t>Desv</w:t>
            </w:r>
            <w:proofErr w:type="spellEnd"/>
            <w:r w:rsidRPr="00E7589C">
              <w:rPr>
                <w:rFonts w:ascii="Verdana" w:hAnsi="Verdana" w:cs="Arial"/>
                <w:sz w:val="22"/>
                <w:szCs w:val="22"/>
              </w:rPr>
              <w:t xml:space="preserve">. </w:t>
            </w:r>
            <w:proofErr w:type="spellStart"/>
            <w:r w:rsidRPr="00E7589C">
              <w:rPr>
                <w:rFonts w:ascii="Verdana" w:hAnsi="Verdana" w:cs="Arial"/>
                <w:sz w:val="22"/>
                <w:szCs w:val="22"/>
              </w:rPr>
              <w:t>típ</w:t>
            </w:r>
            <w:proofErr w:type="spellEnd"/>
            <w:r w:rsidRPr="00E7589C">
              <w:rPr>
                <w:rFonts w:ascii="Verdana" w:hAnsi="Verdana" w:cs="Arial"/>
                <w:sz w:val="22"/>
                <w:szCs w:val="22"/>
              </w:rPr>
              <w:t>.</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Media</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proofErr w:type="spellStart"/>
            <w:r w:rsidRPr="00E7589C">
              <w:rPr>
                <w:rFonts w:ascii="Verdana" w:hAnsi="Verdana" w:cs="Arial"/>
                <w:sz w:val="22"/>
                <w:szCs w:val="22"/>
              </w:rPr>
              <w:t>Desv</w:t>
            </w:r>
            <w:proofErr w:type="spellEnd"/>
            <w:r w:rsidRPr="00E7589C">
              <w:rPr>
                <w:rFonts w:ascii="Verdana" w:hAnsi="Verdana" w:cs="Arial"/>
                <w:sz w:val="22"/>
                <w:szCs w:val="22"/>
              </w:rPr>
              <w:t xml:space="preserve">. </w:t>
            </w:r>
            <w:proofErr w:type="spellStart"/>
            <w:r w:rsidRPr="00E7589C">
              <w:rPr>
                <w:rFonts w:ascii="Verdana" w:hAnsi="Verdana" w:cs="Arial"/>
                <w:sz w:val="22"/>
                <w:szCs w:val="22"/>
              </w:rPr>
              <w:t>típ</w:t>
            </w:r>
            <w:proofErr w:type="spellEnd"/>
            <w:r w:rsidRPr="00E7589C">
              <w:rPr>
                <w:rFonts w:ascii="Verdana" w:hAnsi="Verdana" w:cs="Arial"/>
                <w:sz w:val="22"/>
                <w:szCs w:val="22"/>
              </w:rPr>
              <w:t>.</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Media</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proofErr w:type="spellStart"/>
            <w:r w:rsidRPr="00E7589C">
              <w:rPr>
                <w:rFonts w:ascii="Verdana" w:hAnsi="Verdana" w:cs="Arial"/>
                <w:sz w:val="22"/>
                <w:szCs w:val="22"/>
              </w:rPr>
              <w:t>Desv</w:t>
            </w:r>
            <w:proofErr w:type="spellEnd"/>
            <w:r w:rsidRPr="00E7589C">
              <w:rPr>
                <w:rFonts w:ascii="Verdana" w:hAnsi="Verdana" w:cs="Arial"/>
                <w:sz w:val="22"/>
                <w:szCs w:val="22"/>
              </w:rPr>
              <w:t xml:space="preserve">. </w:t>
            </w:r>
            <w:proofErr w:type="spellStart"/>
            <w:r w:rsidRPr="00E7589C">
              <w:rPr>
                <w:rFonts w:ascii="Verdana" w:hAnsi="Verdana" w:cs="Arial"/>
                <w:sz w:val="22"/>
                <w:szCs w:val="22"/>
              </w:rPr>
              <w:t>típ</w:t>
            </w:r>
            <w:proofErr w:type="spellEnd"/>
            <w:r w:rsidRPr="00E7589C">
              <w:rPr>
                <w:rFonts w:ascii="Verdana" w:hAnsi="Verdana" w:cs="Arial"/>
                <w:sz w:val="22"/>
                <w:szCs w:val="22"/>
              </w:rPr>
              <w:t>.</w:t>
            </w:r>
          </w:p>
        </w:tc>
        <w:tc>
          <w:tcPr>
            <w:tcW w:w="445" w:type="pct"/>
            <w:vMerge/>
            <w:tcBorders>
              <w:left w:val="single" w:sz="4" w:space="0" w:color="auto"/>
              <w:bottom w:val="single" w:sz="4" w:space="0" w:color="auto"/>
              <w:right w:val="single" w:sz="4" w:space="0" w:color="auto"/>
            </w:tcBorders>
          </w:tcPr>
          <w:p w:rsidR="00E17665" w:rsidRPr="00E7589C" w:rsidRDefault="00E17665" w:rsidP="00E17665">
            <w:pPr>
              <w:spacing w:after="80" w:line="360" w:lineRule="auto"/>
              <w:jc w:val="center"/>
              <w:rPr>
                <w:rFonts w:ascii="Verdana" w:hAnsi="Verdana" w:cs="Arial"/>
                <w:sz w:val="22"/>
                <w:szCs w:val="22"/>
              </w:rPr>
            </w:pPr>
          </w:p>
        </w:tc>
      </w:tr>
      <w:tr w:rsidR="00E17665" w:rsidRPr="00E7589C" w:rsidTr="00CF5206">
        <w:trPr>
          <w:trHeight w:val="171"/>
          <w:jc w:val="center"/>
        </w:trPr>
        <w:tc>
          <w:tcPr>
            <w:tcW w:w="1127"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Endomorfia</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3,3</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2,7</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2,9</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0,5</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2,6</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1,9</w:t>
            </w:r>
          </w:p>
        </w:tc>
        <w:tc>
          <w:tcPr>
            <w:tcW w:w="445" w:type="pct"/>
            <w:tcBorders>
              <w:top w:val="single" w:sz="4" w:space="0" w:color="auto"/>
              <w:left w:val="single" w:sz="4" w:space="0" w:color="auto"/>
              <w:bottom w:val="single" w:sz="4" w:space="0" w:color="auto"/>
              <w:right w:val="single" w:sz="4" w:space="0" w:color="auto"/>
            </w:tcBorders>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0,880</w:t>
            </w:r>
          </w:p>
        </w:tc>
      </w:tr>
      <w:tr w:rsidR="00E17665" w:rsidRPr="00E7589C" w:rsidTr="00CF5206">
        <w:trPr>
          <w:trHeight w:val="171"/>
          <w:jc w:val="center"/>
        </w:trPr>
        <w:tc>
          <w:tcPr>
            <w:tcW w:w="1127"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Mesomorfia</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4,1</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3,0</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4,3</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1,3</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4,2</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4,7</w:t>
            </w:r>
          </w:p>
        </w:tc>
        <w:tc>
          <w:tcPr>
            <w:tcW w:w="445" w:type="pct"/>
            <w:tcBorders>
              <w:top w:val="single" w:sz="4" w:space="0" w:color="auto"/>
              <w:left w:val="single" w:sz="4" w:space="0" w:color="auto"/>
              <w:bottom w:val="single" w:sz="4" w:space="0" w:color="auto"/>
              <w:right w:val="single" w:sz="4" w:space="0" w:color="auto"/>
            </w:tcBorders>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0,934</w:t>
            </w:r>
          </w:p>
        </w:tc>
      </w:tr>
      <w:tr w:rsidR="00E17665" w:rsidRPr="00E7589C" w:rsidTr="00CF5206">
        <w:trPr>
          <w:trHeight w:val="171"/>
          <w:jc w:val="center"/>
        </w:trPr>
        <w:tc>
          <w:tcPr>
            <w:tcW w:w="1127"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Ectomorfia</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4,6</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3,9</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2,0</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0,8</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3,8</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4,7</w:t>
            </w:r>
          </w:p>
        </w:tc>
        <w:tc>
          <w:tcPr>
            <w:tcW w:w="445" w:type="pct"/>
            <w:tcBorders>
              <w:top w:val="single" w:sz="4" w:space="0" w:color="auto"/>
              <w:left w:val="single" w:sz="4" w:space="0" w:color="auto"/>
              <w:bottom w:val="single" w:sz="4" w:space="0" w:color="auto"/>
              <w:right w:val="single" w:sz="4" w:space="0" w:color="auto"/>
            </w:tcBorders>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0,513</w:t>
            </w:r>
          </w:p>
        </w:tc>
      </w:tr>
      <w:tr w:rsidR="00E17665" w:rsidRPr="00E7589C" w:rsidTr="00CF5206">
        <w:trPr>
          <w:trHeight w:val="171"/>
          <w:jc w:val="center"/>
        </w:trPr>
        <w:tc>
          <w:tcPr>
            <w:tcW w:w="1127"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Suma_6_PL, mm</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78,6</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60,2</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70,6</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11,5</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66,0</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44,5</w:t>
            </w:r>
          </w:p>
        </w:tc>
        <w:tc>
          <w:tcPr>
            <w:tcW w:w="445" w:type="pct"/>
            <w:tcBorders>
              <w:top w:val="single" w:sz="4" w:space="0" w:color="auto"/>
              <w:left w:val="single" w:sz="4" w:space="0" w:color="auto"/>
              <w:bottom w:val="single" w:sz="4" w:space="0" w:color="auto"/>
              <w:right w:val="single" w:sz="4" w:space="0" w:color="auto"/>
            </w:tcBorders>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0,812</w:t>
            </w:r>
          </w:p>
        </w:tc>
      </w:tr>
      <w:tr w:rsidR="00E17665" w:rsidRPr="00E7589C" w:rsidTr="00CF5206">
        <w:trPr>
          <w:trHeight w:val="171"/>
          <w:jc w:val="center"/>
        </w:trPr>
        <w:tc>
          <w:tcPr>
            <w:tcW w:w="1127"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Suma_8_PL, mm</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101,8</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80,3</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88,5</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18,0</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82,5</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56,5</w:t>
            </w:r>
          </w:p>
        </w:tc>
        <w:tc>
          <w:tcPr>
            <w:tcW w:w="445" w:type="pct"/>
            <w:tcBorders>
              <w:top w:val="single" w:sz="4" w:space="0" w:color="auto"/>
              <w:left w:val="single" w:sz="4" w:space="0" w:color="auto"/>
              <w:bottom w:val="single" w:sz="4" w:space="0" w:color="auto"/>
              <w:right w:val="single" w:sz="4" w:space="0" w:color="auto"/>
            </w:tcBorders>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0,880</w:t>
            </w:r>
          </w:p>
        </w:tc>
      </w:tr>
      <w:tr w:rsidR="00E17665" w:rsidRPr="00E7589C" w:rsidTr="00CF5206">
        <w:trPr>
          <w:trHeight w:val="171"/>
          <w:jc w:val="center"/>
        </w:trPr>
        <w:tc>
          <w:tcPr>
            <w:tcW w:w="1127"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IMC, kg/m</w:t>
            </w:r>
            <w:r w:rsidRPr="00E7589C">
              <w:rPr>
                <w:rFonts w:ascii="Verdana" w:hAnsi="Verdana" w:cs="Arial"/>
                <w:sz w:val="22"/>
                <w:szCs w:val="22"/>
                <w:vertAlign w:val="superscript"/>
              </w:rPr>
              <w:t>2</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20,1</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5,2</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23,2</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1,7</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24,2</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1,5</w:t>
            </w:r>
          </w:p>
        </w:tc>
        <w:tc>
          <w:tcPr>
            <w:tcW w:w="445" w:type="pct"/>
            <w:tcBorders>
              <w:top w:val="single" w:sz="4" w:space="0" w:color="auto"/>
              <w:left w:val="single" w:sz="4" w:space="0" w:color="auto"/>
              <w:bottom w:val="single" w:sz="4" w:space="0" w:color="auto"/>
              <w:right w:val="single" w:sz="4" w:space="0" w:color="auto"/>
            </w:tcBorders>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0,513</w:t>
            </w:r>
          </w:p>
        </w:tc>
      </w:tr>
      <w:tr w:rsidR="00E17665" w:rsidRPr="00E7589C" w:rsidTr="00CF5206">
        <w:trPr>
          <w:trHeight w:val="171"/>
          <w:jc w:val="center"/>
        </w:trPr>
        <w:tc>
          <w:tcPr>
            <w:tcW w:w="1127"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ICC</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0,82</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0,04</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0,80</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0,06</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0,84</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0,07</w:t>
            </w:r>
          </w:p>
        </w:tc>
        <w:tc>
          <w:tcPr>
            <w:tcW w:w="445" w:type="pct"/>
            <w:tcBorders>
              <w:top w:val="single" w:sz="4" w:space="0" w:color="auto"/>
              <w:left w:val="single" w:sz="4" w:space="0" w:color="auto"/>
              <w:bottom w:val="single" w:sz="4" w:space="0" w:color="auto"/>
              <w:right w:val="single" w:sz="4" w:space="0" w:color="auto"/>
            </w:tcBorders>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0,611</w:t>
            </w:r>
          </w:p>
        </w:tc>
      </w:tr>
      <w:tr w:rsidR="00E17665" w:rsidRPr="00E7589C" w:rsidTr="00CF5206">
        <w:trPr>
          <w:trHeight w:val="171"/>
          <w:jc w:val="center"/>
        </w:trPr>
        <w:tc>
          <w:tcPr>
            <w:tcW w:w="1127"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 Grasa</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17,6</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11,8</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17,1</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3,4</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15,0</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8,9</w:t>
            </w:r>
          </w:p>
        </w:tc>
        <w:tc>
          <w:tcPr>
            <w:tcW w:w="445" w:type="pct"/>
            <w:tcBorders>
              <w:top w:val="single" w:sz="4" w:space="0" w:color="auto"/>
              <w:left w:val="single" w:sz="4" w:space="0" w:color="auto"/>
              <w:bottom w:val="single" w:sz="4" w:space="0" w:color="auto"/>
              <w:right w:val="single" w:sz="4" w:space="0" w:color="auto"/>
            </w:tcBorders>
          </w:tcPr>
          <w:p w:rsidR="00E17665" w:rsidRPr="00E7589C" w:rsidRDefault="00E17665" w:rsidP="00E17665">
            <w:pPr>
              <w:spacing w:after="80" w:line="360" w:lineRule="auto"/>
              <w:jc w:val="center"/>
              <w:rPr>
                <w:rFonts w:ascii="Verdana" w:hAnsi="Verdana" w:cs="Arial"/>
                <w:sz w:val="22"/>
                <w:szCs w:val="22"/>
              </w:rPr>
            </w:pPr>
            <w:r w:rsidRPr="00E7589C">
              <w:rPr>
                <w:rFonts w:ascii="Verdana" w:hAnsi="Verdana" w:cs="Arial"/>
                <w:sz w:val="22"/>
                <w:szCs w:val="22"/>
              </w:rPr>
              <w:t>0,970</w:t>
            </w:r>
          </w:p>
        </w:tc>
      </w:tr>
    </w:tbl>
    <w:p w:rsidR="00E17665" w:rsidRPr="00E7589C" w:rsidRDefault="00E17665" w:rsidP="00E17665">
      <w:pPr>
        <w:spacing w:after="80" w:line="360" w:lineRule="auto"/>
        <w:jc w:val="both"/>
        <w:rPr>
          <w:rFonts w:ascii="Verdana" w:hAnsi="Verdana" w:cs="Arial"/>
        </w:rPr>
      </w:pPr>
    </w:p>
    <w:p w:rsidR="00310533" w:rsidRPr="00E7589C" w:rsidRDefault="00310533" w:rsidP="00310533">
      <w:pPr>
        <w:spacing w:after="80" w:line="360" w:lineRule="auto"/>
        <w:jc w:val="both"/>
        <w:rPr>
          <w:rFonts w:ascii="Verdana" w:hAnsi="Verdana" w:cs="Arial"/>
        </w:rPr>
      </w:pPr>
      <w:r w:rsidRPr="00E7589C">
        <w:rPr>
          <w:rFonts w:ascii="Verdana" w:hAnsi="Verdana" w:cs="Arial"/>
          <w:noProof/>
          <w:lang w:eastAsia="es-ES"/>
        </w:rPr>
        <w:drawing>
          <wp:inline distT="0" distB="0" distL="0" distR="0" wp14:anchorId="47EA67BC" wp14:editId="069A73E9">
            <wp:extent cx="6152403" cy="2897579"/>
            <wp:effectExtent l="0" t="0" r="1270" b="0"/>
            <wp:docPr id="1026"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21" cstate="print"/>
                    <a:srcRect/>
                    <a:stretch/>
                  </pic:blipFill>
                  <pic:spPr>
                    <a:xfrm>
                      <a:off x="0" y="0"/>
                      <a:ext cx="6152403" cy="2897579"/>
                    </a:xfrm>
                    <a:prstGeom prst="rect">
                      <a:avLst/>
                    </a:prstGeom>
                    <a:ln>
                      <a:noFill/>
                    </a:ln>
                  </pic:spPr>
                </pic:pic>
              </a:graphicData>
            </a:graphic>
          </wp:inline>
        </w:drawing>
      </w:r>
    </w:p>
    <w:p w:rsidR="00310533" w:rsidRPr="00E7589C" w:rsidRDefault="00310533" w:rsidP="00310533">
      <w:pPr>
        <w:autoSpaceDE w:val="0"/>
        <w:autoSpaceDN w:val="0"/>
        <w:adjustRightInd w:val="0"/>
        <w:spacing w:after="80" w:line="360" w:lineRule="auto"/>
        <w:jc w:val="both"/>
        <w:rPr>
          <w:rFonts w:ascii="Verdana" w:hAnsi="Verdana" w:cs="Arial"/>
          <w:color w:val="000000"/>
        </w:rPr>
      </w:pPr>
      <w:r w:rsidRPr="00E7589C">
        <w:rPr>
          <w:rFonts w:ascii="Verdana" w:hAnsi="Verdana" w:cs="Arial"/>
          <w:b/>
          <w:color w:val="000000"/>
        </w:rPr>
        <w:t xml:space="preserve">Figura 1. </w:t>
      </w:r>
      <w:r w:rsidRPr="00E7589C">
        <w:rPr>
          <w:rFonts w:ascii="Verdana" w:hAnsi="Verdana" w:cs="Arial"/>
          <w:color w:val="000000"/>
        </w:rPr>
        <w:t xml:space="preserve">Distribución del somatotipo antropométrico en relación a la evaluación de la calidad de vida global en estudiantes del sexo femenino (A) y masculinos (B): ● (Calidad de vida regular); ∆ (Calidad de vida buena); ◊ (Calidad de vida muy buena) </w:t>
      </w:r>
    </w:p>
    <w:p w:rsidR="00E17665" w:rsidRPr="00E17665" w:rsidRDefault="00E17665" w:rsidP="00E86261">
      <w:pPr>
        <w:spacing w:after="80" w:line="360" w:lineRule="auto"/>
        <w:jc w:val="both"/>
        <w:rPr>
          <w:rFonts w:ascii="Verdana" w:hAnsi="Verdana" w:cs="Times New Roman"/>
          <w: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6462424"/>
      <w:docPartObj>
        <w:docPartGallery w:val="Page Numbers (Bottom of Page)"/>
        <w:docPartUnique/>
      </w:docPartObj>
    </w:sdtPr>
    <w:sdtContent>
      <w:p w:rsidR="007751C8" w:rsidRDefault="007751C8">
        <w:pPr>
          <w:pStyle w:val="Piedepgina"/>
          <w:jc w:val="right"/>
        </w:pPr>
        <w:r>
          <w:fldChar w:fldCharType="begin"/>
        </w:r>
        <w:r>
          <w:instrText>PAGE   \* MERGEFORMAT</w:instrText>
        </w:r>
        <w:r>
          <w:fldChar w:fldCharType="separate"/>
        </w:r>
        <w:r>
          <w:t>2</w:t>
        </w:r>
        <w:r>
          <w:fldChar w:fldCharType="end"/>
        </w:r>
      </w:p>
    </w:sdtContent>
  </w:sdt>
  <w:p w:rsidR="003B66B8" w:rsidRDefault="003B66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A2F" w:rsidRDefault="001D6A2F">
      <w:pPr>
        <w:spacing w:after="0" w:line="240" w:lineRule="auto"/>
      </w:pPr>
      <w:r>
        <w:separator/>
      </w:r>
    </w:p>
  </w:footnote>
  <w:footnote w:type="continuationSeparator" w:id="0">
    <w:p w:rsidR="001D6A2F" w:rsidRDefault="001D6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9E66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CC0310"/>
    <w:multiLevelType w:val="hybridMultilevel"/>
    <w:tmpl w:val="077A140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3D"/>
    <w:rsid w:val="0002522B"/>
    <w:rsid w:val="00041148"/>
    <w:rsid w:val="00066730"/>
    <w:rsid w:val="000911AF"/>
    <w:rsid w:val="000C1AE7"/>
    <w:rsid w:val="000E3E1B"/>
    <w:rsid w:val="000E6F79"/>
    <w:rsid w:val="001042E0"/>
    <w:rsid w:val="00114027"/>
    <w:rsid w:val="00124607"/>
    <w:rsid w:val="001415C0"/>
    <w:rsid w:val="00155316"/>
    <w:rsid w:val="001660F1"/>
    <w:rsid w:val="0019778A"/>
    <w:rsid w:val="001A6BBE"/>
    <w:rsid w:val="001B1D74"/>
    <w:rsid w:val="001C75D3"/>
    <w:rsid w:val="001D0439"/>
    <w:rsid w:val="001D215E"/>
    <w:rsid w:val="001D6A2F"/>
    <w:rsid w:val="001F38F7"/>
    <w:rsid w:val="00220540"/>
    <w:rsid w:val="00226B38"/>
    <w:rsid w:val="0023365F"/>
    <w:rsid w:val="00240E74"/>
    <w:rsid w:val="00241478"/>
    <w:rsid w:val="002706A6"/>
    <w:rsid w:val="0028259E"/>
    <w:rsid w:val="00294A61"/>
    <w:rsid w:val="002A4A99"/>
    <w:rsid w:val="002A69E9"/>
    <w:rsid w:val="002D6819"/>
    <w:rsid w:val="002E55E1"/>
    <w:rsid w:val="00310533"/>
    <w:rsid w:val="00321A7B"/>
    <w:rsid w:val="0036423C"/>
    <w:rsid w:val="00365005"/>
    <w:rsid w:val="00365A26"/>
    <w:rsid w:val="00373C11"/>
    <w:rsid w:val="00391D0B"/>
    <w:rsid w:val="003B66B8"/>
    <w:rsid w:val="00401D5D"/>
    <w:rsid w:val="00417493"/>
    <w:rsid w:val="00420E2B"/>
    <w:rsid w:val="0045700E"/>
    <w:rsid w:val="00457D4D"/>
    <w:rsid w:val="0046773A"/>
    <w:rsid w:val="00473194"/>
    <w:rsid w:val="00474D83"/>
    <w:rsid w:val="004A47F6"/>
    <w:rsid w:val="004D5019"/>
    <w:rsid w:val="00515AC9"/>
    <w:rsid w:val="00542581"/>
    <w:rsid w:val="00544AED"/>
    <w:rsid w:val="00577F06"/>
    <w:rsid w:val="00597944"/>
    <w:rsid w:val="005D4BF9"/>
    <w:rsid w:val="005E1B47"/>
    <w:rsid w:val="005F1580"/>
    <w:rsid w:val="00617A82"/>
    <w:rsid w:val="006512BE"/>
    <w:rsid w:val="00687809"/>
    <w:rsid w:val="00693F0B"/>
    <w:rsid w:val="006B08BC"/>
    <w:rsid w:val="006B54DC"/>
    <w:rsid w:val="006D678A"/>
    <w:rsid w:val="006F52FE"/>
    <w:rsid w:val="0074184A"/>
    <w:rsid w:val="00741B14"/>
    <w:rsid w:val="007751C8"/>
    <w:rsid w:val="00797FEA"/>
    <w:rsid w:val="007A619B"/>
    <w:rsid w:val="007E4090"/>
    <w:rsid w:val="008044FF"/>
    <w:rsid w:val="00837115"/>
    <w:rsid w:val="008432F6"/>
    <w:rsid w:val="008605AB"/>
    <w:rsid w:val="008746C9"/>
    <w:rsid w:val="009278FD"/>
    <w:rsid w:val="009351DF"/>
    <w:rsid w:val="00951037"/>
    <w:rsid w:val="00951415"/>
    <w:rsid w:val="009A3FCF"/>
    <w:rsid w:val="009C2278"/>
    <w:rsid w:val="009D3B00"/>
    <w:rsid w:val="009F2C1B"/>
    <w:rsid w:val="00A22329"/>
    <w:rsid w:val="00A27C82"/>
    <w:rsid w:val="00A46BFB"/>
    <w:rsid w:val="00A572EA"/>
    <w:rsid w:val="00A5795F"/>
    <w:rsid w:val="00A634B5"/>
    <w:rsid w:val="00AC1D2B"/>
    <w:rsid w:val="00AE575B"/>
    <w:rsid w:val="00B1512F"/>
    <w:rsid w:val="00B35BC5"/>
    <w:rsid w:val="00B373E6"/>
    <w:rsid w:val="00B97014"/>
    <w:rsid w:val="00BA482C"/>
    <w:rsid w:val="00BA67E6"/>
    <w:rsid w:val="00BB1601"/>
    <w:rsid w:val="00C07897"/>
    <w:rsid w:val="00C1551A"/>
    <w:rsid w:val="00C1747D"/>
    <w:rsid w:val="00C7750A"/>
    <w:rsid w:val="00D44B73"/>
    <w:rsid w:val="00D52D75"/>
    <w:rsid w:val="00D57729"/>
    <w:rsid w:val="00DB2CB9"/>
    <w:rsid w:val="00DB6853"/>
    <w:rsid w:val="00DD715E"/>
    <w:rsid w:val="00E05E4F"/>
    <w:rsid w:val="00E17665"/>
    <w:rsid w:val="00E2033D"/>
    <w:rsid w:val="00E34D5D"/>
    <w:rsid w:val="00E55EF7"/>
    <w:rsid w:val="00E7589C"/>
    <w:rsid w:val="00E83876"/>
    <w:rsid w:val="00E85FFD"/>
    <w:rsid w:val="00E86261"/>
    <w:rsid w:val="00EC1089"/>
    <w:rsid w:val="00EE13CD"/>
    <w:rsid w:val="00F23959"/>
    <w:rsid w:val="00F25612"/>
    <w:rsid w:val="00F42A4E"/>
    <w:rsid w:val="00F62E05"/>
    <w:rsid w:val="00F72A38"/>
    <w:rsid w:val="00F74F4C"/>
    <w:rsid w:val="00F82133"/>
    <w:rsid w:val="00F821AC"/>
    <w:rsid w:val="00FA5795"/>
    <w:rsid w:val="00FB3EED"/>
    <w:rsid w:val="00FD116B"/>
    <w:rsid w:val="00FD3AD4"/>
    <w:rsid w:val="00FE5D14"/>
    <w:rsid w:val="00FE7992"/>
    <w:rsid w:val="00FF147F"/>
    <w:rsid w:val="00FF16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404D9"/>
  <w15:docId w15:val="{C6F5BD7C-9D8B-4179-B84F-C5EFFF31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rPr>
      <w:rFonts w:ascii="Arial" w:hAnsi="Arial"/>
      <w:sz w:val="24"/>
      <w:vertAlign w:val="superscript"/>
    </w:rPr>
  </w:style>
  <w:style w:type="paragraph" w:styleId="Textonotaalfinal">
    <w:name w:val="endnote text"/>
    <w:basedOn w:val="Normal"/>
    <w:link w:val="TextonotaalfinalCar"/>
    <w:uiPriority w:val="99"/>
    <w:pPr>
      <w:spacing w:after="0" w:line="240" w:lineRule="auto"/>
    </w:pPr>
    <w:rPr>
      <w:sz w:val="20"/>
      <w:szCs w:val="20"/>
    </w:rPr>
  </w:style>
  <w:style w:type="character" w:customStyle="1" w:styleId="TextonotaalfinalCar">
    <w:name w:val="Texto nota al final Car"/>
    <w:basedOn w:val="Fuentedeprrafopredeter"/>
    <w:link w:val="Textonotaalfinal"/>
    <w:uiPriority w:val="99"/>
    <w:rPr>
      <w:sz w:val="20"/>
      <w:szCs w:val="20"/>
    </w:rPr>
  </w:style>
  <w:style w:type="table" w:styleId="Tablaconcuadrcula">
    <w:name w:val="Table Grid"/>
    <w:basedOn w:val="Tablanormal"/>
    <w:uiPriority w:val="3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Pr>
      <w:color w:val="0563C1"/>
      <w:u w:val="single"/>
    </w:rPr>
  </w:style>
  <w:style w:type="paragraph" w:styleId="Prrafodelista">
    <w:name w:val="List Paragraph"/>
    <w:basedOn w:val="Normal"/>
    <w:uiPriority w:val="34"/>
    <w:qFormat/>
    <w:pPr>
      <w:ind w:left="720"/>
      <w:contextualSpacing/>
    </w:pPr>
  </w:style>
  <w:style w:type="character" w:customStyle="1" w:styleId="Mencinsinresolver1">
    <w:name w:val="Mención sin resolver1"/>
    <w:basedOn w:val="Fuentedeprrafopredeter"/>
    <w:uiPriority w:val="99"/>
    <w:rPr>
      <w:color w:val="605E5C"/>
      <w:shd w:val="clear" w:color="auto" w:fill="E1DFDD"/>
    </w:r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notapie">
    <w:name w:val="footnote text"/>
    <w:basedOn w:val="Normal"/>
    <w:link w:val="TextonotapieCar"/>
    <w:uiPriority w:val="99"/>
    <w:pPr>
      <w:spacing w:after="0" w:line="240" w:lineRule="auto"/>
    </w:pPr>
    <w:rPr>
      <w:sz w:val="20"/>
      <w:szCs w:val="20"/>
    </w:rPr>
  </w:style>
  <w:style w:type="character" w:customStyle="1" w:styleId="TextonotapieCar">
    <w:name w:val="Texto nota pie Car"/>
    <w:basedOn w:val="Fuentedeprrafopredeter"/>
    <w:link w:val="Textonotapie"/>
    <w:uiPriority w:val="99"/>
    <w:rPr>
      <w:sz w:val="20"/>
      <w:szCs w:val="20"/>
    </w:rPr>
  </w:style>
  <w:style w:type="character" w:styleId="Refdenotaalpie">
    <w:name w:val="footnote reference"/>
    <w:basedOn w:val="Fuentedeprrafopredeter"/>
    <w:uiPriority w:val="99"/>
    <w:rPr>
      <w:vertAlign w:val="superscript"/>
    </w:rPr>
  </w:style>
  <w:style w:type="character" w:styleId="Mencinsinresolver">
    <w:name w:val="Unresolved Mention"/>
    <w:basedOn w:val="Fuentedeprrafopredeter"/>
    <w:uiPriority w:val="99"/>
    <w:semiHidden/>
    <w:unhideWhenUsed/>
    <w:rsid w:val="00E86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136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b.mtz@infomed.sld.c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renc.es/imagenes/auxiliar/files/RENC_2021_1_03._-20-0042.pdf" TargetMode="External"/><Relationship Id="rId13" Type="http://schemas.openxmlformats.org/officeDocument/2006/relationships/hyperlink" Target="http://scielo.sld.cu/scielo.php?script=sci_arttext&amp;pid=S0138-6" TargetMode="External"/><Relationship Id="rId18" Type="http://schemas.openxmlformats.org/officeDocument/2006/relationships/hyperlink" Target="http://www.revhabanera.sld.cu/index.php/rhab/article/view/3012" TargetMode="External"/><Relationship Id="rId3" Type="http://schemas.openxmlformats.org/officeDocument/2006/relationships/hyperlink" Target="http://www.revistaespacios.com/a20v41n42/20414201.html" TargetMode="External"/><Relationship Id="rId21" Type="http://schemas.openxmlformats.org/officeDocument/2006/relationships/image" Target="media/image1.jpeg"/><Relationship Id="rId7" Type="http://schemas.openxmlformats.org/officeDocument/2006/relationships/hyperlink" Target="http://www.revhabanera.sld.cu/index.php/rhab/article/view/2929" TargetMode="External"/><Relationship Id="rId12" Type="http://schemas.openxmlformats.org/officeDocument/2006/relationships/hyperlink" Target="http://www.ems.sld.cu/index.php/ems/article/view/218" TargetMode="External"/><Relationship Id="rId17" Type="http://schemas.openxmlformats.org/officeDocument/2006/relationships/hyperlink" Target="https://pubmed.ncbi.nlm.nih.gov/28682186" TargetMode="External"/><Relationship Id="rId2" Type="http://schemas.openxmlformats.org/officeDocument/2006/relationships/hyperlink" Target="https://doi.org/10.18270/rsb.v10i1.2785" TargetMode="External"/><Relationship Id="rId16" Type="http://schemas.openxmlformats.org/officeDocument/2006/relationships/hyperlink" Target="https://revistas.udg.co.cu/index.php/olimpia/article/view/92" TargetMode="External"/><Relationship Id="rId20" Type="http://schemas.openxmlformats.org/officeDocument/2006/relationships/hyperlink" Target="https://doi.org/10.14718/acp.2020.23.1.3" TargetMode="External"/><Relationship Id="rId1" Type="http://schemas.openxmlformats.org/officeDocument/2006/relationships/hyperlink" Target="http://www.revhabanera.sld.cu/index.php/rhab/article/view/2418" TargetMode="External"/><Relationship Id="rId6" Type="http://schemas.openxmlformats.org/officeDocument/2006/relationships/hyperlink" Target="http://scielo.sld.cu/scielo.php?script=sci_abstract&amp;pid=S2218-36202019000100410" TargetMode="External"/><Relationship Id="rId11" Type="http://schemas.openxmlformats.org/officeDocument/2006/relationships/hyperlink" Target="http://bvs.sld.cu/revistas/recursos/helsinki.pdf" TargetMode="External"/><Relationship Id="rId5" Type="http://schemas.openxmlformats.org/officeDocument/2006/relationships/hyperlink" Target="https://pubmed.ncbi.nlm.nih.gov/32481594/" TargetMode="External"/><Relationship Id="rId15" Type="http://schemas.openxmlformats.org/officeDocument/2006/relationships/hyperlink" Target="http://dx.doi.org/10.18273/revsal.v52n2-2020005" TargetMode="External"/><Relationship Id="rId10" Type="http://schemas.openxmlformats.org/officeDocument/2006/relationships/hyperlink" Target="https://dl-manual.com/doc/16-11-27-manual-isak-27-11-16-donx1pnld2vq" TargetMode="External"/><Relationship Id="rId19" Type="http://schemas.openxmlformats.org/officeDocument/2006/relationships/hyperlink" Target="https://doi.org/10.5093/anyes2021a13" TargetMode="External"/><Relationship Id="rId4" Type="http://schemas.openxmlformats.org/officeDocument/2006/relationships/hyperlink" Target="http://www.ems.sld.cu/index.php/ems/article/view/2129" TargetMode="External"/><Relationship Id="rId9" Type="http://schemas.openxmlformats.org/officeDocument/2006/relationships/hyperlink" Target="https://www.medigraphic.com/cgi-bin/new/resumen.cgi?IDARTICULO=101505" TargetMode="External"/><Relationship Id="rId14" Type="http://schemas.openxmlformats.org/officeDocument/2006/relationships/hyperlink" Target="http://www.revcmpinar.sld.cu/index.php/publicaciones/article/view/5091/4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020B6-0B9F-4903-93DC-CD92CEFCE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3065</Words>
  <Characters>16861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Dr</cp:lastModifiedBy>
  <cp:revision>2</cp:revision>
  <dcterms:created xsi:type="dcterms:W3CDTF">2022-11-29T11:10:00Z</dcterms:created>
  <dcterms:modified xsi:type="dcterms:W3CDTF">2022-11-29T11:10:00Z</dcterms:modified>
</cp:coreProperties>
</file>