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996" w:rsidRPr="001D0C1C" w:rsidRDefault="00567996" w:rsidP="00373797">
      <w:pPr>
        <w:tabs>
          <w:tab w:val="left" w:pos="2268"/>
        </w:tabs>
        <w:spacing w:line="276" w:lineRule="auto"/>
        <w:ind w:right="-13"/>
        <w:jc w:val="center"/>
        <w:rPr>
          <w:rFonts w:ascii="Times New Roman" w:hAnsi="Times New Roman" w:cs="Times New Roman"/>
          <w:b/>
          <w:color w:val="C45911"/>
        </w:rPr>
      </w:pPr>
      <w:r w:rsidRPr="001D0C1C">
        <w:rPr>
          <w:rFonts w:ascii="Times New Roman" w:hAnsi="Times New Roman" w:cs="Times New Roman"/>
          <w:b/>
          <w:color w:val="C45911"/>
        </w:rPr>
        <w:t>Morfovirtual 2022</w:t>
      </w:r>
    </w:p>
    <w:p w:rsidR="00567996" w:rsidRPr="001D0C1C" w:rsidRDefault="00567996" w:rsidP="00373797">
      <w:pPr>
        <w:tabs>
          <w:tab w:val="left" w:pos="2268"/>
        </w:tabs>
        <w:spacing w:line="276" w:lineRule="auto"/>
        <w:ind w:right="-13"/>
        <w:jc w:val="center"/>
        <w:rPr>
          <w:rFonts w:ascii="Times New Roman" w:hAnsi="Times New Roman" w:cs="Times New Roman"/>
          <w:b/>
          <w:color w:val="C45911"/>
        </w:rPr>
      </w:pPr>
      <w:r w:rsidRPr="001D0C1C">
        <w:rPr>
          <w:rFonts w:ascii="Times New Roman" w:hAnsi="Times New Roman" w:cs="Times New Roman"/>
          <w:b/>
          <w:color w:val="C45911"/>
        </w:rPr>
        <w:t>VI Congreso virtual de Ciencias Morfológicas.</w:t>
      </w:r>
    </w:p>
    <w:p w:rsidR="00567996" w:rsidRPr="001D0C1C" w:rsidRDefault="00567996" w:rsidP="00373797">
      <w:pPr>
        <w:spacing w:line="276" w:lineRule="auto"/>
        <w:ind w:right="-13"/>
        <w:jc w:val="center"/>
        <w:rPr>
          <w:rFonts w:ascii="Times New Roman" w:hAnsi="Times New Roman" w:cs="Times New Roman"/>
          <w:b/>
          <w:color w:val="C45911"/>
        </w:rPr>
      </w:pPr>
      <w:r w:rsidRPr="001D0C1C">
        <w:rPr>
          <w:rFonts w:ascii="Times New Roman" w:hAnsi="Times New Roman" w:cs="Times New Roman"/>
          <w:b/>
          <w:color w:val="C45911"/>
        </w:rPr>
        <w:t>Sexta Jornada Científica de la Cátedra Santiago Ramón y Cajal.</w:t>
      </w:r>
    </w:p>
    <w:p w:rsidR="00AE4390" w:rsidRPr="001D0C1C" w:rsidRDefault="00AE4390" w:rsidP="00373797">
      <w:pPr>
        <w:spacing w:line="276" w:lineRule="auto"/>
        <w:jc w:val="center"/>
        <w:rPr>
          <w:rFonts w:ascii="Times New Roman" w:hAnsi="Times New Roman" w:cs="Times New Roman"/>
        </w:rPr>
      </w:pPr>
    </w:p>
    <w:p w:rsidR="00045922" w:rsidRDefault="00045922" w:rsidP="00373797">
      <w:pPr>
        <w:spacing w:line="276" w:lineRule="auto"/>
        <w:jc w:val="center"/>
        <w:rPr>
          <w:rFonts w:ascii="Times New Roman" w:hAnsi="Times New Roman" w:cs="Times New Roman"/>
          <w:b/>
        </w:rPr>
      </w:pPr>
      <w:r w:rsidRPr="001D0C1C">
        <w:rPr>
          <w:rFonts w:ascii="Times New Roman" w:hAnsi="Times New Roman" w:cs="Times New Roman"/>
          <w:b/>
        </w:rPr>
        <w:t xml:space="preserve">REHABILITACIÓN CON LESIONES DE HOMBRO Y RODILLA: PROPUESTA CON </w:t>
      </w:r>
      <w:r w:rsidR="00AC12DB" w:rsidRPr="001D0C1C">
        <w:rPr>
          <w:rFonts w:ascii="Times New Roman" w:hAnsi="Times New Roman" w:cs="Times New Roman"/>
          <w:b/>
        </w:rPr>
        <w:t>ENTRENADOR EN SUSPENSIÓN</w:t>
      </w:r>
    </w:p>
    <w:p w:rsidR="00045922" w:rsidRPr="001D0C1C" w:rsidRDefault="00373797" w:rsidP="00373797">
      <w:pPr>
        <w:spacing w:line="276" w:lineRule="auto"/>
        <w:jc w:val="center"/>
        <w:rPr>
          <w:rFonts w:ascii="Times New Roman" w:hAnsi="Times New Roman" w:cs="Times New Roman"/>
        </w:rPr>
      </w:pPr>
      <w:r w:rsidRPr="00373797">
        <w:rPr>
          <w:rFonts w:ascii="Times New Roman" w:hAnsi="Times New Roman" w:cs="Times New Roman"/>
        </w:rPr>
        <w:t>REHABILITATION WITH SHOULDER AND KNEE INJURIES: PROPOSAL WITH A SUSPENSION TRAINER</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b/>
        </w:rPr>
        <w:t>Autores:</w:t>
      </w:r>
      <w:r w:rsidRPr="001D0C1C">
        <w:rPr>
          <w:rFonts w:ascii="Times New Roman" w:hAnsi="Times New Roman" w:cs="Times New Roman"/>
        </w:rPr>
        <w:t xml:space="preserve"> </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 xml:space="preserve">Amilcar </w:t>
      </w:r>
      <w:r w:rsidR="002674A7" w:rsidRPr="001D0C1C">
        <w:rPr>
          <w:rFonts w:ascii="Times New Roman" w:hAnsi="Times New Roman" w:cs="Times New Roman"/>
        </w:rPr>
        <w:t>Aníbal</w:t>
      </w:r>
      <w:r w:rsidR="00371F43" w:rsidRPr="001D0C1C">
        <w:rPr>
          <w:rFonts w:ascii="Times New Roman" w:hAnsi="Times New Roman" w:cs="Times New Roman"/>
        </w:rPr>
        <w:t xml:space="preserve"> Andrés-</w:t>
      </w:r>
      <w:r w:rsidRPr="001D0C1C">
        <w:rPr>
          <w:rFonts w:ascii="Times New Roman" w:hAnsi="Times New Roman" w:cs="Times New Roman"/>
        </w:rPr>
        <w:t>Bravo</w:t>
      </w:r>
      <w:r w:rsidR="00371F43" w:rsidRPr="001D0C1C">
        <w:rPr>
          <w:rFonts w:ascii="Times New Roman" w:hAnsi="Times New Roman" w:cs="Times New Roman"/>
          <w:vertAlign w:val="superscript"/>
        </w:rPr>
        <w:t>1</w:t>
      </w:r>
      <w:r w:rsidR="00371F43" w:rsidRPr="001D0C1C">
        <w:rPr>
          <w:rFonts w:ascii="Times New Roman" w:hAnsi="Times New Roman" w:cs="Times New Roman"/>
        </w:rPr>
        <w:t>;</w:t>
      </w:r>
      <w:r w:rsidRPr="001D0C1C">
        <w:rPr>
          <w:rFonts w:ascii="Times New Roman" w:hAnsi="Times New Roman" w:cs="Times New Roman"/>
        </w:rPr>
        <w:t xml:space="preserve"> Raydel</w:t>
      </w:r>
      <w:r w:rsidR="00371F43" w:rsidRPr="001D0C1C">
        <w:rPr>
          <w:rFonts w:ascii="Times New Roman" w:hAnsi="Times New Roman" w:cs="Times New Roman"/>
        </w:rPr>
        <w:t xml:space="preserve"> Pérez-</w:t>
      </w:r>
      <w:r w:rsidRPr="001D0C1C">
        <w:rPr>
          <w:rFonts w:ascii="Times New Roman" w:hAnsi="Times New Roman" w:cs="Times New Roman"/>
        </w:rPr>
        <w:t>Castillo</w:t>
      </w:r>
      <w:r w:rsidR="00371F43" w:rsidRPr="001D0C1C">
        <w:rPr>
          <w:rFonts w:ascii="Times New Roman" w:hAnsi="Times New Roman" w:cs="Times New Roman"/>
          <w:vertAlign w:val="superscript"/>
        </w:rPr>
        <w:t>2</w:t>
      </w:r>
      <w:r w:rsidR="0034532D">
        <w:rPr>
          <w:rFonts w:ascii="Times New Roman" w:hAnsi="Times New Roman" w:cs="Times New Roman"/>
          <w:vertAlign w:val="superscript"/>
        </w:rPr>
        <w:t xml:space="preserve"> ; </w:t>
      </w:r>
      <w:r w:rsidR="0034532D">
        <w:rPr>
          <w:rFonts w:ascii="Times New Roman" w:hAnsi="Times New Roman" w:cs="Times New Roman"/>
        </w:rPr>
        <w:t xml:space="preserve">Julio Cesar </w:t>
      </w:r>
      <w:r w:rsidR="0034532D" w:rsidRPr="0034532D">
        <w:rPr>
          <w:rFonts w:ascii="Times New Roman" w:hAnsi="Times New Roman" w:cs="Times New Roman"/>
        </w:rPr>
        <w:t>Martínez</w:t>
      </w:r>
      <w:r w:rsidR="0034532D">
        <w:rPr>
          <w:rFonts w:ascii="Times New Roman" w:hAnsi="Times New Roman" w:cs="Times New Roman"/>
        </w:rPr>
        <w:t>-Olmaza</w:t>
      </w:r>
      <w:r w:rsidR="0034532D" w:rsidRPr="0034532D">
        <w:rPr>
          <w:rFonts w:ascii="Times New Roman" w:hAnsi="Times New Roman" w:cs="Times New Roman"/>
          <w:vertAlign w:val="superscript"/>
        </w:rPr>
        <w:t>3</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 xml:space="preserve"> 1-Médico</w:t>
      </w:r>
      <w:r w:rsidR="00371F43" w:rsidRPr="001D0C1C">
        <w:rPr>
          <w:rFonts w:ascii="Times New Roman" w:hAnsi="Times New Roman" w:cs="Times New Roman"/>
        </w:rPr>
        <w:t>.</w:t>
      </w:r>
      <w:r w:rsidRPr="001D0C1C">
        <w:rPr>
          <w:rFonts w:ascii="Times New Roman" w:hAnsi="Times New Roman" w:cs="Times New Roman"/>
        </w:rPr>
        <w:t xml:space="preserve"> Especialista en Primer Grado en Medicina General Integral y Primer Grado en Terapia Física y Rehabilitación. Departamento de Ciencias Aplicadas</w:t>
      </w:r>
      <w:r w:rsidR="00371F43" w:rsidRPr="001D0C1C">
        <w:rPr>
          <w:rFonts w:ascii="Times New Roman" w:hAnsi="Times New Roman" w:cs="Times New Roman"/>
        </w:rPr>
        <w:t>.</w:t>
      </w:r>
      <w:r w:rsidRPr="001D0C1C">
        <w:rPr>
          <w:rFonts w:ascii="Times New Roman" w:hAnsi="Times New Roman" w:cs="Times New Roman"/>
        </w:rPr>
        <w:t xml:space="preserve"> Centro de Investigación del Deporte Cubano (CIDC). </w:t>
      </w:r>
      <w:hyperlink r:id="rId8" w:history="1">
        <w:r w:rsidR="00BD7A70" w:rsidRPr="001D0C1C">
          <w:rPr>
            <w:rStyle w:val="Hipervnculo"/>
            <w:rFonts w:ascii="Times New Roman" w:hAnsi="Times New Roman" w:cs="Times New Roman"/>
          </w:rPr>
          <w:t>https://orcid.org/0000-0002-8521-0298</w:t>
        </w:r>
      </w:hyperlink>
      <w:r w:rsidR="004B5FE2" w:rsidRPr="001D0C1C">
        <w:rPr>
          <w:rFonts w:ascii="Times New Roman" w:hAnsi="Times New Roman" w:cs="Times New Roman"/>
        </w:rPr>
        <w:t xml:space="preserve"> </w:t>
      </w:r>
      <w:r w:rsidR="00FB4839">
        <w:rPr>
          <w:rFonts w:ascii="Times New Roman" w:hAnsi="Times New Roman" w:cs="Times New Roman"/>
        </w:rPr>
        <w:t xml:space="preserve">Email: </w:t>
      </w:r>
      <w:hyperlink r:id="rId9" w:history="1">
        <w:r w:rsidR="00FB4839" w:rsidRPr="00233B54">
          <w:rPr>
            <w:rStyle w:val="Hipervnculo"/>
            <w:rFonts w:ascii="Times New Roman" w:hAnsi="Times New Roman" w:cs="Times New Roman"/>
          </w:rPr>
          <w:t>amilcarandresbravo@gmail.com</w:t>
        </w:r>
      </w:hyperlink>
      <w:r w:rsidR="00FB4839">
        <w:rPr>
          <w:rFonts w:ascii="Times New Roman" w:hAnsi="Times New Roman" w:cs="Times New Roman"/>
        </w:rPr>
        <w:t xml:space="preserve"> </w:t>
      </w:r>
    </w:p>
    <w:p w:rsidR="0034532D" w:rsidRPr="00423AA0" w:rsidRDefault="00045922" w:rsidP="00373797">
      <w:pPr>
        <w:spacing w:line="276" w:lineRule="auto"/>
        <w:jc w:val="both"/>
        <w:rPr>
          <w:rFonts w:ascii="Times New Roman" w:hAnsi="Times New Roman" w:cs="Times New Roman"/>
        </w:rPr>
      </w:pPr>
      <w:r w:rsidRPr="001D0C1C">
        <w:rPr>
          <w:rFonts w:ascii="Times New Roman" w:hAnsi="Times New Roman" w:cs="Times New Roman"/>
        </w:rPr>
        <w:t>2-Médico</w:t>
      </w:r>
      <w:r w:rsidR="00371F43" w:rsidRPr="001D0C1C">
        <w:rPr>
          <w:rFonts w:ascii="Times New Roman" w:hAnsi="Times New Roman" w:cs="Times New Roman"/>
        </w:rPr>
        <w:t>.</w:t>
      </w:r>
      <w:r w:rsidRPr="001D0C1C">
        <w:rPr>
          <w:rFonts w:ascii="Times New Roman" w:hAnsi="Times New Roman" w:cs="Times New Roman"/>
        </w:rPr>
        <w:t xml:space="preserve"> Especialista en Segundo Grado en Medicina General Integral y Primer Grado en Medicina Deportiva. Departamento de Ciencias Aplicadas</w:t>
      </w:r>
      <w:r w:rsidR="00371F43" w:rsidRPr="001D0C1C">
        <w:rPr>
          <w:rFonts w:ascii="Times New Roman" w:hAnsi="Times New Roman" w:cs="Times New Roman"/>
        </w:rPr>
        <w:t>.</w:t>
      </w:r>
      <w:r w:rsidRPr="001D0C1C">
        <w:rPr>
          <w:rFonts w:ascii="Times New Roman" w:hAnsi="Times New Roman" w:cs="Times New Roman"/>
        </w:rPr>
        <w:t xml:space="preserve"> Centro de Investigación del Deporte Cubano (CIDC). </w:t>
      </w:r>
      <w:r w:rsidR="0034532D" w:rsidRPr="00423AA0">
        <w:rPr>
          <w:rFonts w:ascii="Times New Roman" w:hAnsi="Times New Roman" w:cs="Times New Roman"/>
        </w:rPr>
        <w:t xml:space="preserve">https://orcid.org/0000-0001-9454-5375 </w:t>
      </w:r>
    </w:p>
    <w:p w:rsidR="0034532D" w:rsidRPr="001D0C1C" w:rsidRDefault="0034532D" w:rsidP="00373797">
      <w:pPr>
        <w:spacing w:line="276" w:lineRule="auto"/>
        <w:jc w:val="both"/>
        <w:rPr>
          <w:rFonts w:ascii="Times New Roman" w:hAnsi="Times New Roman" w:cs="Times New Roman"/>
        </w:rPr>
      </w:pPr>
      <w:bookmarkStart w:id="0" w:name="_GoBack"/>
      <w:r w:rsidRPr="00423AA0">
        <w:rPr>
          <w:rFonts w:ascii="Times New Roman" w:hAnsi="Times New Roman" w:cs="Times New Roman"/>
        </w:rPr>
        <w:t>3</w:t>
      </w:r>
      <w:bookmarkEnd w:id="0"/>
      <w:r>
        <w:rPr>
          <w:rFonts w:ascii="Times New Roman" w:hAnsi="Times New Roman" w:cs="Times New Roman"/>
        </w:rPr>
        <w:t xml:space="preserve">. </w:t>
      </w:r>
      <w:r w:rsidRPr="0034532D">
        <w:rPr>
          <w:rFonts w:ascii="Times New Roman" w:hAnsi="Times New Roman" w:cs="Times New Roman"/>
        </w:rPr>
        <w:t xml:space="preserve">Médico. </w:t>
      </w:r>
      <w:r w:rsidR="00685717" w:rsidRPr="001D0C1C">
        <w:rPr>
          <w:rFonts w:ascii="Times New Roman" w:hAnsi="Times New Roman" w:cs="Times New Roman"/>
        </w:rPr>
        <w:t xml:space="preserve">Especialista en Primer Grado en Medicina General Integral y Primer Grado </w:t>
      </w:r>
      <w:r w:rsidRPr="0034532D">
        <w:rPr>
          <w:rFonts w:ascii="Times New Roman" w:hAnsi="Times New Roman" w:cs="Times New Roman"/>
        </w:rPr>
        <w:t>en Medicina Deportiva. Departamento de C</w:t>
      </w:r>
      <w:r w:rsidR="00685717">
        <w:rPr>
          <w:rFonts w:ascii="Times New Roman" w:hAnsi="Times New Roman" w:cs="Times New Roman"/>
        </w:rPr>
        <w:t>ontrol Médico. Centro Provincial de Medicina Deportiva de La Habana (CEPROMEDE_HABANA</w:t>
      </w:r>
      <w:r w:rsidRPr="0034532D">
        <w:rPr>
          <w:rFonts w:ascii="Times New Roman" w:hAnsi="Times New Roman" w:cs="Times New Roman"/>
        </w:rPr>
        <w:t>).</w:t>
      </w:r>
    </w:p>
    <w:p w:rsidR="00045922" w:rsidRPr="001D0C1C" w:rsidRDefault="00045922" w:rsidP="00373797">
      <w:pPr>
        <w:spacing w:line="276" w:lineRule="auto"/>
        <w:jc w:val="both"/>
        <w:rPr>
          <w:rFonts w:ascii="Times New Roman" w:hAnsi="Times New Roman" w:cs="Times New Roman"/>
        </w:rPr>
      </w:pPr>
    </w:p>
    <w:p w:rsidR="00045922" w:rsidRPr="001D0C1C" w:rsidRDefault="00045922" w:rsidP="00373797">
      <w:pPr>
        <w:spacing w:line="276" w:lineRule="auto"/>
        <w:jc w:val="both"/>
        <w:rPr>
          <w:rFonts w:ascii="Times New Roman" w:hAnsi="Times New Roman" w:cs="Times New Roman"/>
          <w:b/>
        </w:rPr>
      </w:pPr>
      <w:r w:rsidRPr="001D0C1C">
        <w:rPr>
          <w:rFonts w:ascii="Times New Roman" w:hAnsi="Times New Roman" w:cs="Times New Roman"/>
          <w:b/>
        </w:rPr>
        <w:t>RESUMEN</w:t>
      </w:r>
    </w:p>
    <w:p w:rsidR="00F107B2" w:rsidRPr="00F107B2" w:rsidRDefault="00045922" w:rsidP="00373797">
      <w:pPr>
        <w:spacing w:line="276" w:lineRule="auto"/>
        <w:jc w:val="both"/>
        <w:rPr>
          <w:rFonts w:ascii="Times New Roman" w:hAnsi="Times New Roman" w:cs="Times New Roman"/>
        </w:rPr>
      </w:pPr>
      <w:r w:rsidRPr="001D0C1C">
        <w:rPr>
          <w:rFonts w:ascii="Times New Roman" w:hAnsi="Times New Roman" w:cs="Times New Roman"/>
        </w:rPr>
        <w:t>El presente estudio tiene como objetivo</w:t>
      </w:r>
      <w:r w:rsidR="00460BF8" w:rsidRPr="001D0C1C">
        <w:rPr>
          <w:rFonts w:ascii="Times New Roman" w:hAnsi="Times New Roman" w:cs="Times New Roman"/>
        </w:rPr>
        <w:t xml:space="preserve"> </w:t>
      </w:r>
      <w:r w:rsidR="001728AF" w:rsidRPr="001D0C1C">
        <w:rPr>
          <w:rFonts w:ascii="Times New Roman" w:hAnsi="Times New Roman" w:cs="Times New Roman"/>
        </w:rPr>
        <w:t xml:space="preserve">diseñar un protocolo </w:t>
      </w:r>
      <w:r w:rsidR="009D06D1" w:rsidRPr="001D0C1C">
        <w:rPr>
          <w:rFonts w:ascii="Times New Roman" w:hAnsi="Times New Roman" w:cs="Times New Roman"/>
        </w:rPr>
        <w:t>de</w:t>
      </w:r>
      <w:r w:rsidRPr="001D0C1C">
        <w:rPr>
          <w:rFonts w:ascii="Times New Roman" w:hAnsi="Times New Roman" w:cs="Times New Roman"/>
        </w:rPr>
        <w:t xml:space="preserve"> ejercicios específicos con método de </w:t>
      </w:r>
      <w:r w:rsidR="00AC12DB" w:rsidRPr="001D0C1C">
        <w:rPr>
          <w:rFonts w:ascii="Times New Roman" w:hAnsi="Times New Roman" w:cs="Times New Roman"/>
        </w:rPr>
        <w:t>entrenador en suspensión (</w:t>
      </w:r>
      <w:r w:rsidRPr="001D0C1C">
        <w:rPr>
          <w:rFonts w:ascii="Times New Roman" w:hAnsi="Times New Roman" w:cs="Times New Roman"/>
        </w:rPr>
        <w:t>TRX</w:t>
      </w:r>
      <w:r w:rsidR="00AC12DB" w:rsidRPr="001D0C1C">
        <w:rPr>
          <w:rFonts w:ascii="Times New Roman" w:hAnsi="Times New Roman" w:cs="Times New Roman"/>
        </w:rPr>
        <w:t>)</w:t>
      </w:r>
      <w:r w:rsidRPr="001D0C1C">
        <w:rPr>
          <w:rFonts w:ascii="Times New Roman" w:hAnsi="Times New Roman" w:cs="Times New Roman"/>
        </w:rPr>
        <w:t xml:space="preserve"> para rehabilitar a deportistas con lesiones de Hombro o Rodilla. El universo para la investigación estará constituido por todos los deportistas que acudan a consulta en el periodo de estudio con el diagnóstico de lesiones de partes blandas de Hombro o Rodilla.</w:t>
      </w:r>
      <w:r w:rsidR="004B5FE2" w:rsidRPr="001D0C1C">
        <w:rPr>
          <w:rFonts w:ascii="Times New Roman" w:hAnsi="Times New Roman" w:cs="Times New Roman"/>
        </w:rPr>
        <w:t xml:space="preserve"> </w:t>
      </w:r>
      <w:r w:rsidRPr="001D0C1C">
        <w:rPr>
          <w:rFonts w:ascii="Times New Roman" w:hAnsi="Times New Roman" w:cs="Times New Roman"/>
        </w:rPr>
        <w:t xml:space="preserve">La muestra se seleccionará según los criterios de elegibilidad, </w:t>
      </w:r>
      <w:r w:rsidR="00724218" w:rsidRPr="001D0C1C">
        <w:rPr>
          <w:rFonts w:ascii="Times New Roman" w:hAnsi="Times New Roman" w:cs="Times New Roman"/>
        </w:rPr>
        <w:t>sin aleatorización. S</w:t>
      </w:r>
      <w:r w:rsidRPr="001D0C1C">
        <w:rPr>
          <w:rFonts w:ascii="Times New Roman" w:hAnsi="Times New Roman" w:cs="Times New Roman"/>
        </w:rPr>
        <w:t>e realiza</w:t>
      </w:r>
      <w:r w:rsidR="00724218" w:rsidRPr="001D0C1C">
        <w:rPr>
          <w:rFonts w:ascii="Times New Roman" w:hAnsi="Times New Roman" w:cs="Times New Roman"/>
        </w:rPr>
        <w:t>rá</w:t>
      </w:r>
      <w:r w:rsidRPr="001D0C1C">
        <w:rPr>
          <w:rFonts w:ascii="Times New Roman" w:hAnsi="Times New Roman" w:cs="Times New Roman"/>
        </w:rPr>
        <w:t xml:space="preserve"> medición pretest y postest de la </w:t>
      </w:r>
      <w:r w:rsidR="00724218" w:rsidRPr="001D0C1C">
        <w:rPr>
          <w:rFonts w:ascii="Times New Roman" w:hAnsi="Times New Roman" w:cs="Times New Roman"/>
        </w:rPr>
        <w:t>c</w:t>
      </w:r>
      <w:r w:rsidRPr="001D0C1C">
        <w:rPr>
          <w:rFonts w:ascii="Times New Roman" w:hAnsi="Times New Roman" w:cs="Times New Roman"/>
        </w:rPr>
        <w:t>a</w:t>
      </w:r>
      <w:r w:rsidR="00724218" w:rsidRPr="001D0C1C">
        <w:rPr>
          <w:rFonts w:ascii="Times New Roman" w:hAnsi="Times New Roman" w:cs="Times New Roman"/>
        </w:rPr>
        <w:t>pacidad de movilidad articular</w:t>
      </w:r>
      <w:r w:rsidRPr="001D0C1C">
        <w:rPr>
          <w:rFonts w:ascii="Times New Roman" w:hAnsi="Times New Roman" w:cs="Times New Roman"/>
        </w:rPr>
        <w:t>, ganancia de la amplitud articular y fuerza muscular</w:t>
      </w:r>
      <w:r w:rsidR="002012B0" w:rsidRPr="001D0C1C">
        <w:rPr>
          <w:rFonts w:ascii="Times New Roman" w:hAnsi="Times New Roman" w:cs="Times New Roman"/>
        </w:rPr>
        <w:t>.</w:t>
      </w:r>
      <w:r w:rsidRPr="001D0C1C">
        <w:rPr>
          <w:rFonts w:ascii="Times New Roman" w:hAnsi="Times New Roman" w:cs="Times New Roman"/>
        </w:rPr>
        <w:t xml:space="preserve"> Se considerará efectiva la implementación del TRX si más del 60 % de los deportistas presentan recuperación de la </w:t>
      </w:r>
      <w:r w:rsidR="002012B0" w:rsidRPr="001D0C1C">
        <w:rPr>
          <w:rFonts w:ascii="Times New Roman" w:hAnsi="Times New Roman" w:cs="Times New Roman"/>
        </w:rPr>
        <w:t>amplitud articular</w:t>
      </w:r>
      <w:r w:rsidRPr="001D0C1C">
        <w:rPr>
          <w:rFonts w:ascii="Times New Roman" w:hAnsi="Times New Roman" w:cs="Times New Roman"/>
        </w:rPr>
        <w:t xml:space="preserve"> de un 90-100 % y una mejoría de la </w:t>
      </w:r>
      <w:r w:rsidR="002012B0" w:rsidRPr="001D0C1C">
        <w:rPr>
          <w:rFonts w:ascii="Times New Roman" w:hAnsi="Times New Roman" w:cs="Times New Roman"/>
        </w:rPr>
        <w:t>fuerza muscular</w:t>
      </w:r>
      <w:r w:rsidRPr="001D0C1C">
        <w:rPr>
          <w:rFonts w:ascii="Times New Roman" w:hAnsi="Times New Roman" w:cs="Times New Roman"/>
        </w:rPr>
        <w:t xml:space="preserve"> con nota 4 o 5 según el Test de Daniels.</w:t>
      </w:r>
      <w:r w:rsidR="00F107B2">
        <w:rPr>
          <w:rFonts w:ascii="Times New Roman" w:hAnsi="Times New Roman" w:cs="Times New Roman"/>
        </w:rPr>
        <w:t xml:space="preserve"> </w:t>
      </w:r>
      <w:r w:rsidR="00F107B2" w:rsidRPr="00F107B2">
        <w:rPr>
          <w:rFonts w:ascii="Times New Roman" w:hAnsi="Times New Roman" w:cs="Times New Roman"/>
        </w:rPr>
        <w:t>La implementación de un programa de ejercicios para lesiones de partes blanda de rodilla y hombro con el uso del método de TRX en los procesos de rehabilitación aporta un abordaje completo, sencillo y fácil de utilizar.</w:t>
      </w:r>
    </w:p>
    <w:p w:rsidR="00045922" w:rsidRPr="001D0C1C" w:rsidRDefault="00045922" w:rsidP="00373797">
      <w:pPr>
        <w:spacing w:line="276" w:lineRule="auto"/>
        <w:jc w:val="both"/>
        <w:rPr>
          <w:rFonts w:ascii="Times New Roman" w:hAnsi="Times New Roman" w:cs="Times New Roman"/>
        </w:rPr>
      </w:pPr>
    </w:p>
    <w:p w:rsidR="00045922" w:rsidRPr="001D0C1C" w:rsidRDefault="00045922" w:rsidP="00373797">
      <w:pPr>
        <w:spacing w:line="276" w:lineRule="auto"/>
        <w:jc w:val="both"/>
        <w:rPr>
          <w:rFonts w:ascii="Times New Roman" w:hAnsi="Times New Roman" w:cs="Times New Roman"/>
          <w:bCs/>
        </w:rPr>
      </w:pPr>
      <w:r w:rsidRPr="001D0C1C">
        <w:rPr>
          <w:rFonts w:ascii="Times New Roman" w:hAnsi="Times New Roman" w:cs="Times New Roman"/>
          <w:b/>
          <w:bCs/>
        </w:rPr>
        <w:t xml:space="preserve">Palabras Claves: </w:t>
      </w:r>
      <w:r w:rsidRPr="001D0C1C">
        <w:rPr>
          <w:rFonts w:ascii="Times New Roman" w:hAnsi="Times New Roman" w:cs="Times New Roman"/>
          <w:bCs/>
        </w:rPr>
        <w:t>Deporte; Escala Visual Analógica; Hombro; Rodilla; Fuerza Muscular</w:t>
      </w:r>
    </w:p>
    <w:p w:rsidR="00045922" w:rsidRPr="001D0C1C" w:rsidRDefault="00045922" w:rsidP="00373797">
      <w:pPr>
        <w:spacing w:line="276" w:lineRule="auto"/>
        <w:jc w:val="both"/>
        <w:rPr>
          <w:rFonts w:ascii="Times New Roman" w:hAnsi="Times New Roman" w:cs="Times New Roman"/>
          <w:b/>
          <w:bCs/>
          <w:lang w:val="en-US"/>
        </w:rPr>
      </w:pPr>
      <w:r w:rsidRPr="001D0C1C">
        <w:rPr>
          <w:rFonts w:ascii="Times New Roman" w:hAnsi="Times New Roman" w:cs="Times New Roman"/>
          <w:b/>
          <w:bCs/>
          <w:lang w:val="en-US"/>
        </w:rPr>
        <w:t>ABSTRACT</w:t>
      </w:r>
    </w:p>
    <w:p w:rsidR="00373797" w:rsidRDefault="00373797" w:rsidP="00373797">
      <w:pPr>
        <w:spacing w:line="276" w:lineRule="auto"/>
        <w:jc w:val="both"/>
        <w:rPr>
          <w:rFonts w:ascii="Times New Roman" w:hAnsi="Times New Roman" w:cs="Times New Roman"/>
          <w:bCs/>
          <w:lang w:val="en-US"/>
        </w:rPr>
      </w:pPr>
      <w:r w:rsidRPr="00373797">
        <w:rPr>
          <w:rFonts w:ascii="Times New Roman" w:hAnsi="Times New Roman" w:cs="Times New Roman"/>
          <w:bCs/>
          <w:lang w:val="en-US"/>
        </w:rPr>
        <w:t>The objective of this study is to design a protocol of specific exercises with the suspension trainer method (TRX) to rehabilitate athletes with Shoulder or Knee injuries. The universe for the investigation will be made up of all athletes who come to the clinic during the study period with a diagnosis of shoulder or knee soft tissue injuries. The sample will be selected according to the eligibility criteria, without randomization. Pretest and posttest measurement of joint mobility capacity, gain in joint amplitude and muscle strength will be performed. The implementation of TRX will be considered effective if more than 60% of the athlete’s present recovery of the joint amplitude of 90-100% and an improvement in muscle strength with a score of 4 or 5 according to the Daniels Test. The implementation of an exercise program for knee and shoulder soft tissue injuries with the use of the TRX method in the rehabilitation processes provides a complete, simple and easy-to-use approach.</w:t>
      </w:r>
    </w:p>
    <w:p w:rsidR="00045922" w:rsidRPr="001D0C1C" w:rsidRDefault="00045922" w:rsidP="00373797">
      <w:pPr>
        <w:spacing w:line="276" w:lineRule="auto"/>
        <w:jc w:val="both"/>
        <w:rPr>
          <w:rFonts w:ascii="Times New Roman" w:hAnsi="Times New Roman" w:cs="Times New Roman"/>
          <w:bCs/>
          <w:lang w:val="en-US"/>
        </w:rPr>
      </w:pPr>
      <w:r w:rsidRPr="001D0C1C">
        <w:rPr>
          <w:rFonts w:ascii="Times New Roman" w:hAnsi="Times New Roman" w:cs="Times New Roman"/>
          <w:b/>
          <w:bCs/>
          <w:lang w:val="en-US"/>
        </w:rPr>
        <w:lastRenderedPageBreak/>
        <w:t>Keywords</w:t>
      </w:r>
      <w:r w:rsidRPr="001D0C1C">
        <w:rPr>
          <w:rFonts w:ascii="Times New Roman" w:hAnsi="Times New Roman" w:cs="Times New Roman"/>
          <w:bCs/>
          <w:lang w:val="en-US"/>
        </w:rPr>
        <w:t>: Sport; Visual Analogue Scale; Shoulder; Knee; Muscular strength</w:t>
      </w:r>
    </w:p>
    <w:p w:rsidR="006914D3" w:rsidRPr="001D0C1C" w:rsidRDefault="006914D3" w:rsidP="00373797">
      <w:pPr>
        <w:spacing w:line="276" w:lineRule="auto"/>
        <w:jc w:val="both"/>
        <w:rPr>
          <w:rFonts w:ascii="Times New Roman" w:hAnsi="Times New Roman" w:cs="Times New Roman"/>
          <w:bCs/>
          <w:lang w:val="en-US"/>
        </w:rPr>
      </w:pPr>
    </w:p>
    <w:p w:rsidR="00045922" w:rsidRPr="001D0C1C" w:rsidRDefault="00BD7A70" w:rsidP="00373797">
      <w:pPr>
        <w:pStyle w:val="Ttulo2"/>
        <w:jc w:val="both"/>
      </w:pPr>
      <w:r w:rsidRPr="001D0C1C">
        <w:t>INTRODUCCIÓN</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 xml:space="preserve">El Entrenador en Suspensión (TRX) fue creado por Hetrick y sus compañeros de la marina de los EE. UU, quienes necesitaban una manera de mantenerse en condiciones físicas óptimas durante sus misiones, donde el espacio era limitado y no tenían acceso a equipos de entrenamiento. Utilizaron las correas de un paracaídas y un cinturón viejo de Jiu-jitsu, hasta realizar la primera versión del hoy conocido TRX, el cual supondría el lanzamiento de un equipamiento totalmente nuevo en la preparación física </w:t>
      </w:r>
      <w:r w:rsidRPr="001D0C1C">
        <w:rPr>
          <w:rFonts w:ascii="Times New Roman" w:hAnsi="Times New Roman" w:cs="Times New Roman"/>
        </w:rPr>
        <w:fldChar w:fldCharType="begin" w:fldLock="1"/>
      </w:r>
      <w:r w:rsidR="004D72F6" w:rsidRPr="001D0C1C">
        <w:rPr>
          <w:rFonts w:ascii="Times New Roman" w:hAnsi="Times New Roman" w:cs="Times New Roman"/>
        </w:rPr>
        <w:instrText>ADDIN CSL_CITATION {"citationItems":[{"id":"ITEM-1","itemData":{"author":[{"dropping-particle":"","family":"Navia Arcos","given":"Danter Francisco","non-dropping-particle":"","parse-names":false,"suffix":""}],"id":"ITEM-1","issued":{"date-parts":[["2012"]]},"publisher":"Universidad de Guayaquil.","title":"Entrenamiento funcional en suspensión TRX como método optimo de ejercitación en adultos","type":"thesis"},"uris":["http://www.mendeley.com/documents/?uuid=7465df5d-2a86-4915-a0fc-31e80c099f55"]}],"mendeley":{"formattedCitation":"&lt;sup&gt;(&lt;sup&gt;1&lt;/sup&gt;)&lt;/sup&gt;","plainTextFormattedCitation":"(1)","previouslyFormattedCitation":"&lt;sup&gt;(&lt;sup&gt;1&lt;/sup&gt;)&lt;/sup&gt;"},"properties":{"noteIndex":0},"schema":"https://github.com/citation-style-language/schema/raw/master/csl-citation.json"}</w:instrText>
      </w:r>
      <w:r w:rsidRPr="001D0C1C">
        <w:rPr>
          <w:rFonts w:ascii="Times New Roman" w:hAnsi="Times New Roman" w:cs="Times New Roman"/>
        </w:rPr>
        <w:fldChar w:fldCharType="separate"/>
      </w:r>
      <w:r w:rsidR="00D961BF" w:rsidRPr="001D0C1C">
        <w:rPr>
          <w:rFonts w:ascii="Times New Roman" w:hAnsi="Times New Roman" w:cs="Times New Roman"/>
          <w:noProof/>
          <w:vertAlign w:val="superscript"/>
        </w:rPr>
        <w:t>(1)</w:t>
      </w:r>
      <w:r w:rsidRPr="001D0C1C">
        <w:rPr>
          <w:rFonts w:ascii="Times New Roman" w:hAnsi="Times New Roman" w:cs="Times New Roman"/>
        </w:rPr>
        <w:fldChar w:fldCharType="end"/>
      </w:r>
      <w:r w:rsidRPr="001D0C1C">
        <w:rPr>
          <w:rFonts w:ascii="Times New Roman" w:hAnsi="Times New Roman" w:cs="Times New Roman"/>
        </w:rPr>
        <w:t>. Desde entonces el TRX ha evolucionado hasta convertirse en método de entrenamiento de carácter profesional, que ofrece cientos de posibilidades de ejercicios, adaptables al nivel de condición física</w:t>
      </w:r>
      <w:r w:rsidR="00E44374" w:rsidRPr="001D0C1C">
        <w:rPr>
          <w:rFonts w:ascii="Times New Roman" w:hAnsi="Times New Roman" w:cs="Times New Roman"/>
        </w:rPr>
        <w:t xml:space="preserve"> y características morfológicas del sujeto</w:t>
      </w:r>
      <w:r w:rsidRPr="001D0C1C">
        <w:rPr>
          <w:rFonts w:ascii="Times New Roman" w:hAnsi="Times New Roman" w:cs="Times New Roman"/>
        </w:rPr>
        <w:t>.</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 xml:space="preserve">Los beneficios del </w:t>
      </w:r>
      <w:r w:rsidR="00E44374" w:rsidRPr="001D0C1C">
        <w:rPr>
          <w:rFonts w:ascii="Times New Roman" w:hAnsi="Times New Roman" w:cs="Times New Roman"/>
        </w:rPr>
        <w:t>TRX</w:t>
      </w:r>
      <w:r w:rsidRPr="001D0C1C">
        <w:rPr>
          <w:rFonts w:ascii="Times New Roman" w:hAnsi="Times New Roman" w:cs="Times New Roman"/>
        </w:rPr>
        <w:t xml:space="preserve"> no sólo se aplican a </w:t>
      </w:r>
      <w:r w:rsidR="00E44374" w:rsidRPr="001D0C1C">
        <w:rPr>
          <w:rFonts w:ascii="Times New Roman" w:hAnsi="Times New Roman" w:cs="Times New Roman"/>
        </w:rPr>
        <w:t xml:space="preserve">las personas practicantes de ejercicios físicos o </w:t>
      </w:r>
      <w:r w:rsidRPr="001D0C1C">
        <w:rPr>
          <w:rFonts w:ascii="Times New Roman" w:hAnsi="Times New Roman" w:cs="Times New Roman"/>
        </w:rPr>
        <w:t xml:space="preserve">deportistas de alto rendimiento, sino que también pueden ser utilizados por todos los que buscan un método para mejorar su condición física de forma rápida y segura. </w:t>
      </w:r>
      <w:r w:rsidR="00F72563" w:rsidRPr="001D0C1C">
        <w:rPr>
          <w:rFonts w:ascii="Times New Roman" w:hAnsi="Times New Roman" w:cs="Times New Roman"/>
        </w:rPr>
        <w:t xml:space="preserve">Los programas de salud y bienestar para las personas de edad avanzada, también han recurrido al TRX como una solución </w:t>
      </w:r>
      <w:r w:rsidR="00F72563" w:rsidRPr="001D0C1C">
        <w:rPr>
          <w:rFonts w:ascii="Times New Roman" w:hAnsi="Times New Roman" w:cs="Times New Roman"/>
        </w:rPr>
        <w:fldChar w:fldCharType="begin" w:fldLock="1"/>
      </w:r>
      <w:r w:rsidR="00F72563" w:rsidRPr="001D0C1C">
        <w:rPr>
          <w:rFonts w:ascii="Times New Roman" w:hAnsi="Times New Roman" w:cs="Times New Roman"/>
        </w:rPr>
        <w:instrText>ADDIN CSL_CITATION {"citationItems":[{"id":"ITEM-1","itemData":{"author":[{"dropping-particle":"","family":"Navia Arcos","given":"Danter Francisco","non-dropping-particle":"","parse-names":false,"suffix":""}],"id":"ITEM-1","issued":{"date-parts":[["2012"]]},"publisher":"Universidad de Guayaquil.","title":"Entrenamiento funcional en suspensión TRX como método optimo de ejercitación en adultos","type":"thesis"},"uris":["http://www.mendeley.com/documents/?uuid=7465df5d-2a86-4915-a0fc-31e80c099f55"]}],"mendeley":{"formattedCitation":"&lt;sup&gt;(&lt;sup&gt;1&lt;/sup&gt;)&lt;/sup&gt;","plainTextFormattedCitation":"(1)","previouslyFormattedCitation":"&lt;sup&gt;(&lt;sup&gt;1&lt;/sup&gt;)&lt;/sup&gt;"},"properties":{"noteIndex":0},"schema":"https://github.com/citation-style-language/schema/raw/master/csl-citation.json"}</w:instrText>
      </w:r>
      <w:r w:rsidR="00F72563" w:rsidRPr="001D0C1C">
        <w:rPr>
          <w:rFonts w:ascii="Times New Roman" w:hAnsi="Times New Roman" w:cs="Times New Roman"/>
        </w:rPr>
        <w:fldChar w:fldCharType="separate"/>
      </w:r>
      <w:r w:rsidR="00F72563" w:rsidRPr="001D0C1C">
        <w:rPr>
          <w:rFonts w:ascii="Times New Roman" w:hAnsi="Times New Roman" w:cs="Times New Roman"/>
          <w:noProof/>
          <w:vertAlign w:val="superscript"/>
        </w:rPr>
        <w:t>(1)</w:t>
      </w:r>
      <w:r w:rsidR="00F72563" w:rsidRPr="001D0C1C">
        <w:rPr>
          <w:rFonts w:ascii="Times New Roman" w:hAnsi="Times New Roman" w:cs="Times New Roman"/>
        </w:rPr>
        <w:fldChar w:fldCharType="end"/>
      </w:r>
      <w:r w:rsidR="00F72563" w:rsidRPr="001D0C1C">
        <w:rPr>
          <w:rFonts w:ascii="Times New Roman" w:hAnsi="Times New Roman" w:cs="Times New Roman"/>
        </w:rPr>
        <w:t xml:space="preserve">. </w:t>
      </w:r>
      <w:r w:rsidRPr="001D0C1C">
        <w:rPr>
          <w:rFonts w:ascii="Times New Roman" w:hAnsi="Times New Roman" w:cs="Times New Roman"/>
        </w:rPr>
        <w:t xml:space="preserve">Los entrenadores personales adoptaron enseguida el </w:t>
      </w:r>
      <w:r w:rsidR="00F72563" w:rsidRPr="001D0C1C">
        <w:rPr>
          <w:rFonts w:ascii="Times New Roman" w:hAnsi="Times New Roman" w:cs="Times New Roman"/>
        </w:rPr>
        <w:t>TRX</w:t>
      </w:r>
      <w:r w:rsidRPr="001D0C1C">
        <w:rPr>
          <w:rFonts w:ascii="Times New Roman" w:hAnsi="Times New Roman" w:cs="Times New Roman"/>
        </w:rPr>
        <w:t xml:space="preserve">, lo cual hizo </w:t>
      </w:r>
      <w:r w:rsidR="00F72563" w:rsidRPr="001D0C1C">
        <w:rPr>
          <w:rFonts w:ascii="Times New Roman" w:hAnsi="Times New Roman" w:cs="Times New Roman"/>
        </w:rPr>
        <w:t>d</w:t>
      </w:r>
      <w:r w:rsidRPr="001D0C1C">
        <w:rPr>
          <w:rFonts w:ascii="Times New Roman" w:hAnsi="Times New Roman" w:cs="Times New Roman"/>
        </w:rPr>
        <w:t xml:space="preserve">el equipo </w:t>
      </w:r>
      <w:r w:rsidR="00F72563" w:rsidRPr="001D0C1C">
        <w:rPr>
          <w:rFonts w:ascii="Times New Roman" w:hAnsi="Times New Roman" w:cs="Times New Roman"/>
        </w:rPr>
        <w:t xml:space="preserve">un medio </w:t>
      </w:r>
      <w:r w:rsidRPr="001D0C1C">
        <w:rPr>
          <w:rFonts w:ascii="Times New Roman" w:hAnsi="Times New Roman" w:cs="Times New Roman"/>
        </w:rPr>
        <w:t>popular en los gimnasios. La amplia colección de ejercicios con el TRX, hace d</w:t>
      </w:r>
      <w:r w:rsidR="00B84D25" w:rsidRPr="001D0C1C">
        <w:rPr>
          <w:rFonts w:ascii="Times New Roman" w:hAnsi="Times New Roman" w:cs="Times New Roman"/>
        </w:rPr>
        <w:t>e este</w:t>
      </w:r>
      <w:r w:rsidRPr="001D0C1C">
        <w:rPr>
          <w:rFonts w:ascii="Times New Roman" w:hAnsi="Times New Roman" w:cs="Times New Roman"/>
        </w:rPr>
        <w:t xml:space="preserve"> una solución versátil para el entrenamiento</w:t>
      </w:r>
      <w:r w:rsidR="00B84D25" w:rsidRPr="001D0C1C">
        <w:rPr>
          <w:rFonts w:ascii="Times New Roman" w:hAnsi="Times New Roman" w:cs="Times New Roman"/>
        </w:rPr>
        <w:t xml:space="preserve"> y la rehabilitación, independientemente d</w:t>
      </w:r>
      <w:r w:rsidRPr="001D0C1C">
        <w:rPr>
          <w:rFonts w:ascii="Times New Roman" w:hAnsi="Times New Roman" w:cs="Times New Roman"/>
        </w:rPr>
        <w:t xml:space="preserve">el nivel de condición física del usuario. Los ejercicios convencionales pueden modificarse para diseñar programas personalizados de entrenamiento con el uso de TRX. </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En nuestra opinión, la principal ventaja de la aplicación del TRX en el deporte</w:t>
      </w:r>
      <w:r w:rsidR="00532DE3" w:rsidRPr="001D0C1C">
        <w:rPr>
          <w:rFonts w:ascii="Times New Roman" w:hAnsi="Times New Roman" w:cs="Times New Roman"/>
        </w:rPr>
        <w:t xml:space="preserve">, es que permite </w:t>
      </w:r>
      <w:r w:rsidR="0097099F" w:rsidRPr="001D0C1C">
        <w:rPr>
          <w:rFonts w:ascii="Times New Roman" w:hAnsi="Times New Roman" w:cs="Times New Roman"/>
        </w:rPr>
        <w:t xml:space="preserve">una dualidad de funciones, ya sea </w:t>
      </w:r>
      <w:r w:rsidR="00CA7F43" w:rsidRPr="001D0C1C">
        <w:rPr>
          <w:rFonts w:ascii="Times New Roman" w:hAnsi="Times New Roman" w:cs="Times New Roman"/>
        </w:rPr>
        <w:t xml:space="preserve">con fines de preparación física </w:t>
      </w:r>
      <w:r w:rsidR="009234D9" w:rsidRPr="001D0C1C">
        <w:rPr>
          <w:rFonts w:ascii="Times New Roman" w:hAnsi="Times New Roman" w:cs="Times New Roman"/>
        </w:rPr>
        <w:t>como</w:t>
      </w:r>
      <w:r w:rsidR="00CA7F43" w:rsidRPr="001D0C1C">
        <w:rPr>
          <w:rFonts w:ascii="Times New Roman" w:hAnsi="Times New Roman" w:cs="Times New Roman"/>
        </w:rPr>
        <w:t xml:space="preserve"> de rehabilitación</w:t>
      </w:r>
      <w:r w:rsidR="009234D9" w:rsidRPr="001D0C1C">
        <w:rPr>
          <w:rFonts w:ascii="Times New Roman" w:hAnsi="Times New Roman" w:cs="Times New Roman"/>
        </w:rPr>
        <w:t xml:space="preserve">; a los que se suma </w:t>
      </w:r>
      <w:r w:rsidRPr="001D0C1C">
        <w:rPr>
          <w:rFonts w:ascii="Times New Roman" w:hAnsi="Times New Roman" w:cs="Times New Roman"/>
        </w:rPr>
        <w:t>la realización de movilizaciones funcionales</w:t>
      </w:r>
      <w:r w:rsidR="00CA7F43" w:rsidRPr="001D0C1C">
        <w:rPr>
          <w:rFonts w:ascii="Times New Roman" w:hAnsi="Times New Roman" w:cs="Times New Roman"/>
        </w:rPr>
        <w:t xml:space="preserve"> gestoespecíficas</w:t>
      </w:r>
      <w:r w:rsidR="009234D9" w:rsidRPr="001D0C1C">
        <w:rPr>
          <w:rFonts w:ascii="Times New Roman" w:hAnsi="Times New Roman" w:cs="Times New Roman"/>
        </w:rPr>
        <w:t>,</w:t>
      </w:r>
      <w:r w:rsidRPr="001D0C1C">
        <w:rPr>
          <w:rFonts w:ascii="Times New Roman" w:hAnsi="Times New Roman" w:cs="Times New Roman"/>
        </w:rPr>
        <w:t xml:space="preserve"> </w:t>
      </w:r>
      <w:r w:rsidR="00CA7F43" w:rsidRPr="001D0C1C">
        <w:rPr>
          <w:rFonts w:ascii="Times New Roman" w:hAnsi="Times New Roman" w:cs="Times New Roman"/>
        </w:rPr>
        <w:t>atendiendo a las características biomecánicas del segmento motriz que se está trabajando</w:t>
      </w:r>
      <w:r w:rsidR="009234D9" w:rsidRPr="001D0C1C">
        <w:rPr>
          <w:rFonts w:ascii="Times New Roman" w:hAnsi="Times New Roman" w:cs="Times New Roman"/>
        </w:rPr>
        <w:t>,</w:t>
      </w:r>
      <w:r w:rsidR="00755507" w:rsidRPr="001D0C1C">
        <w:rPr>
          <w:rFonts w:ascii="Times New Roman" w:hAnsi="Times New Roman" w:cs="Times New Roman"/>
        </w:rPr>
        <w:t xml:space="preserve"> a diferencias de otros programas </w:t>
      </w:r>
      <w:r w:rsidRPr="001D0C1C">
        <w:rPr>
          <w:rFonts w:ascii="Times New Roman" w:hAnsi="Times New Roman" w:cs="Times New Roman"/>
        </w:rPr>
        <w:t>de ejercicios que util</w:t>
      </w:r>
      <w:r w:rsidR="009234D9" w:rsidRPr="001D0C1C">
        <w:rPr>
          <w:rFonts w:ascii="Times New Roman" w:hAnsi="Times New Roman" w:cs="Times New Roman"/>
        </w:rPr>
        <w:t xml:space="preserve">izan movilizaciones analíticas, así como la </w:t>
      </w:r>
      <w:r w:rsidR="00755507" w:rsidRPr="001D0C1C">
        <w:rPr>
          <w:rFonts w:ascii="Times New Roman" w:hAnsi="Times New Roman" w:cs="Times New Roman"/>
        </w:rPr>
        <w:t>portabilidad del equipo de TRX.</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 xml:space="preserve">Como parte del </w:t>
      </w:r>
      <w:r w:rsidRPr="001D0C1C">
        <w:rPr>
          <w:rFonts w:ascii="Times New Roman" w:hAnsi="Times New Roman" w:cs="Times New Roman"/>
          <w:bCs/>
        </w:rPr>
        <w:t>Proy</w:t>
      </w:r>
      <w:r w:rsidR="00755507" w:rsidRPr="001D0C1C">
        <w:rPr>
          <w:rFonts w:ascii="Times New Roman" w:hAnsi="Times New Roman" w:cs="Times New Roman"/>
          <w:bCs/>
        </w:rPr>
        <w:t>ecto</w:t>
      </w:r>
      <w:r w:rsidRPr="001D0C1C">
        <w:rPr>
          <w:rFonts w:ascii="Times New Roman" w:hAnsi="Times New Roman" w:cs="Times New Roman"/>
        </w:rPr>
        <w:t xml:space="preserve"> “</w:t>
      </w:r>
      <w:r w:rsidR="00755507" w:rsidRPr="001D0C1C">
        <w:rPr>
          <w:rFonts w:ascii="Times New Roman" w:hAnsi="Times New Roman" w:cs="Times New Roman"/>
        </w:rPr>
        <w:t>Metodología integral para la p</w:t>
      </w:r>
      <w:r w:rsidRPr="001D0C1C">
        <w:rPr>
          <w:rFonts w:ascii="Times New Roman" w:hAnsi="Times New Roman" w:cs="Times New Roman"/>
        </w:rPr>
        <w:t xml:space="preserve">revención </w:t>
      </w:r>
      <w:r w:rsidR="00AF0D7D" w:rsidRPr="001D0C1C">
        <w:rPr>
          <w:rFonts w:ascii="Times New Roman" w:hAnsi="Times New Roman" w:cs="Times New Roman"/>
        </w:rPr>
        <w:t xml:space="preserve">y rehabilitación </w:t>
      </w:r>
      <w:r w:rsidRPr="001D0C1C">
        <w:rPr>
          <w:rFonts w:ascii="Times New Roman" w:hAnsi="Times New Roman" w:cs="Times New Roman"/>
        </w:rPr>
        <w:t xml:space="preserve">de lesiones </w:t>
      </w:r>
      <w:r w:rsidR="00AF0D7D" w:rsidRPr="001D0C1C">
        <w:rPr>
          <w:rFonts w:ascii="Times New Roman" w:hAnsi="Times New Roman" w:cs="Times New Roman"/>
        </w:rPr>
        <w:t>en deportistas</w:t>
      </w:r>
      <w:r w:rsidRPr="001D0C1C">
        <w:rPr>
          <w:rFonts w:ascii="Times New Roman" w:hAnsi="Times New Roman" w:cs="Times New Roman"/>
        </w:rPr>
        <w:t>” (</w:t>
      </w:r>
      <w:r w:rsidRPr="001D0C1C">
        <w:rPr>
          <w:rFonts w:ascii="Times New Roman" w:hAnsi="Times New Roman" w:cs="Times New Roman"/>
          <w:bCs/>
        </w:rPr>
        <w:t>Código</w:t>
      </w:r>
      <w:r w:rsidRPr="001D0C1C">
        <w:rPr>
          <w:rFonts w:ascii="Times New Roman" w:hAnsi="Times New Roman" w:cs="Times New Roman"/>
        </w:rPr>
        <w:t>: P147460LH020) se incluyen un conjunto de propuestas metodológicas</w:t>
      </w:r>
      <w:r w:rsidR="00AF0D7D" w:rsidRPr="001D0C1C">
        <w:rPr>
          <w:rFonts w:ascii="Times New Roman" w:hAnsi="Times New Roman" w:cs="Times New Roman"/>
        </w:rPr>
        <w:t xml:space="preserve"> </w:t>
      </w:r>
      <w:r w:rsidR="002D33F6" w:rsidRPr="001D0C1C">
        <w:rPr>
          <w:rFonts w:ascii="Times New Roman" w:hAnsi="Times New Roman" w:cs="Times New Roman"/>
        </w:rPr>
        <w:t>en</w:t>
      </w:r>
      <w:r w:rsidR="00AF0D7D" w:rsidRPr="001D0C1C">
        <w:rPr>
          <w:rFonts w:ascii="Times New Roman" w:hAnsi="Times New Roman" w:cs="Times New Roman"/>
        </w:rPr>
        <w:t xml:space="preserve"> el desarrollo del TRX como método alternativo</w:t>
      </w:r>
      <w:r w:rsidR="00790FCD" w:rsidRPr="001D0C1C">
        <w:rPr>
          <w:rFonts w:ascii="Times New Roman" w:hAnsi="Times New Roman" w:cs="Times New Roman"/>
        </w:rPr>
        <w:t xml:space="preserve"> para la prevención y rehabilitación de lesiones en deportistas</w:t>
      </w:r>
      <w:r w:rsidRPr="001D0C1C">
        <w:rPr>
          <w:rFonts w:ascii="Times New Roman" w:hAnsi="Times New Roman" w:cs="Times New Roman"/>
        </w:rPr>
        <w:t xml:space="preserve">. Los investigadores plantean como pregunta de investigación: ¿los ejercicios específicos con el método de TRX son eficaces para rehabilitar a deportistas con lesiones de partes blandas de Hombro o Rodilla?; situación que hace plantear como objetivo: </w:t>
      </w:r>
      <w:r w:rsidR="002D33F6" w:rsidRPr="001D0C1C">
        <w:rPr>
          <w:rFonts w:ascii="Times New Roman" w:hAnsi="Times New Roman" w:cs="Times New Roman"/>
        </w:rPr>
        <w:t>diseñar</w:t>
      </w:r>
      <w:r w:rsidRPr="001D0C1C">
        <w:rPr>
          <w:rFonts w:ascii="Times New Roman" w:hAnsi="Times New Roman" w:cs="Times New Roman"/>
        </w:rPr>
        <w:t xml:space="preserve"> </w:t>
      </w:r>
      <w:r w:rsidR="00AF0D7D" w:rsidRPr="001D0C1C">
        <w:rPr>
          <w:rFonts w:ascii="Times New Roman" w:hAnsi="Times New Roman" w:cs="Times New Roman"/>
        </w:rPr>
        <w:t xml:space="preserve">una propuesta de </w:t>
      </w:r>
      <w:r w:rsidRPr="001D0C1C">
        <w:rPr>
          <w:rFonts w:ascii="Times New Roman" w:hAnsi="Times New Roman" w:cs="Times New Roman"/>
        </w:rPr>
        <w:t>ejercicios específicos con el método de TRX para rehabilitar a deportistas con lesiones de partes blandas de Hombro o Rodilla.</w:t>
      </w:r>
    </w:p>
    <w:p w:rsidR="0004611F" w:rsidRPr="001D0C1C" w:rsidRDefault="0004611F" w:rsidP="00373797">
      <w:pPr>
        <w:spacing w:line="276" w:lineRule="auto"/>
        <w:jc w:val="both"/>
        <w:rPr>
          <w:rFonts w:ascii="Times New Roman" w:hAnsi="Times New Roman" w:cs="Times New Roman"/>
        </w:rPr>
      </w:pPr>
    </w:p>
    <w:p w:rsidR="00045922" w:rsidRPr="001D0C1C" w:rsidRDefault="006914D3" w:rsidP="00373797">
      <w:pPr>
        <w:pStyle w:val="Ttulo2"/>
        <w:jc w:val="both"/>
      </w:pPr>
      <w:r w:rsidRPr="001D0C1C">
        <w:t>DESARROLLO</w:t>
      </w:r>
    </w:p>
    <w:p w:rsidR="006C49F6" w:rsidRPr="001D0C1C" w:rsidRDefault="006C49F6" w:rsidP="00373797">
      <w:pPr>
        <w:spacing w:line="276" w:lineRule="auto"/>
        <w:jc w:val="both"/>
        <w:rPr>
          <w:rFonts w:ascii="Times New Roman" w:hAnsi="Times New Roman" w:cs="Times New Roman"/>
        </w:rPr>
      </w:pPr>
    </w:p>
    <w:p w:rsidR="006C49F6" w:rsidRPr="001D0C1C" w:rsidRDefault="006C49F6" w:rsidP="00373797">
      <w:pPr>
        <w:pStyle w:val="Ttulo2"/>
        <w:jc w:val="both"/>
      </w:pPr>
      <w:r w:rsidRPr="001D0C1C">
        <w:t>Diseño metodológico</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Se diseñó</w:t>
      </w:r>
      <w:r w:rsidR="004B5FE2" w:rsidRPr="001D0C1C">
        <w:rPr>
          <w:rFonts w:ascii="Times New Roman" w:hAnsi="Times New Roman" w:cs="Times New Roman"/>
        </w:rPr>
        <w:t xml:space="preserve"> un</w:t>
      </w:r>
      <w:r w:rsidRPr="001D0C1C">
        <w:rPr>
          <w:rFonts w:ascii="Times New Roman" w:hAnsi="Times New Roman" w:cs="Times New Roman"/>
        </w:rPr>
        <w:t xml:space="preserve"> pro</w:t>
      </w:r>
      <w:r w:rsidR="004B5FE2" w:rsidRPr="001D0C1C">
        <w:rPr>
          <w:rFonts w:ascii="Times New Roman" w:hAnsi="Times New Roman" w:cs="Times New Roman"/>
        </w:rPr>
        <w:t>yecto</w:t>
      </w:r>
      <w:r w:rsidRPr="001D0C1C">
        <w:rPr>
          <w:rFonts w:ascii="Times New Roman" w:hAnsi="Times New Roman" w:cs="Times New Roman"/>
        </w:rPr>
        <w:t xml:space="preserve"> de programa de ejercici</w:t>
      </w:r>
      <w:r w:rsidR="00157A57" w:rsidRPr="001D0C1C">
        <w:rPr>
          <w:rFonts w:ascii="Times New Roman" w:hAnsi="Times New Roman" w:cs="Times New Roman"/>
        </w:rPr>
        <w:t>os</w:t>
      </w:r>
      <w:r w:rsidR="00C44AD2" w:rsidRPr="001D0C1C">
        <w:rPr>
          <w:rFonts w:ascii="Times New Roman" w:hAnsi="Times New Roman" w:cs="Times New Roman"/>
        </w:rPr>
        <w:t xml:space="preserve"> específicos con el método de TRX para rehabilitar a deportistas con lesiones de partes blandas de Hombro o Rodilla</w:t>
      </w:r>
      <w:r w:rsidR="00157A57" w:rsidRPr="001D0C1C">
        <w:rPr>
          <w:rFonts w:ascii="Times New Roman" w:hAnsi="Times New Roman" w:cs="Times New Roman"/>
        </w:rPr>
        <w:t xml:space="preserve">. </w:t>
      </w:r>
      <w:r w:rsidR="00C44AD2" w:rsidRPr="001D0C1C">
        <w:rPr>
          <w:rFonts w:ascii="Times New Roman" w:hAnsi="Times New Roman" w:cs="Times New Roman"/>
        </w:rPr>
        <w:t>La instrumentación del programa se pretende bajo un diseño</w:t>
      </w:r>
      <w:r w:rsidR="004B5FE2" w:rsidRPr="001D0C1C">
        <w:rPr>
          <w:rFonts w:ascii="Times New Roman" w:hAnsi="Times New Roman" w:cs="Times New Roman"/>
        </w:rPr>
        <w:t xml:space="preserve"> preexperimental,</w:t>
      </w:r>
      <w:r w:rsidR="004244FF" w:rsidRPr="001D0C1C">
        <w:rPr>
          <w:rFonts w:ascii="Times New Roman" w:hAnsi="Times New Roman" w:cs="Times New Roman"/>
        </w:rPr>
        <w:t xml:space="preserve"> con dos grupos</w:t>
      </w:r>
      <w:r w:rsidR="00C44AD2" w:rsidRPr="001D0C1C">
        <w:rPr>
          <w:rFonts w:ascii="Times New Roman" w:hAnsi="Times New Roman" w:cs="Times New Roman"/>
        </w:rPr>
        <w:t xml:space="preserve"> de intervención</w:t>
      </w:r>
      <w:r w:rsidR="004244FF" w:rsidRPr="001D0C1C">
        <w:rPr>
          <w:rFonts w:ascii="Times New Roman" w:hAnsi="Times New Roman" w:cs="Times New Roman"/>
        </w:rPr>
        <w:t xml:space="preserve"> y</w:t>
      </w:r>
      <w:r w:rsidR="004B5FE2" w:rsidRPr="001D0C1C">
        <w:rPr>
          <w:rFonts w:ascii="Times New Roman" w:hAnsi="Times New Roman" w:cs="Times New Roman"/>
        </w:rPr>
        <w:t xml:space="preserve"> sin grupo control</w:t>
      </w:r>
      <w:r w:rsidR="00480C1F" w:rsidRPr="001D0C1C">
        <w:rPr>
          <w:rFonts w:ascii="Times New Roman" w:hAnsi="Times New Roman" w:cs="Times New Roman"/>
        </w:rPr>
        <w:t xml:space="preserve">. </w:t>
      </w:r>
      <w:r w:rsidRPr="001D0C1C">
        <w:rPr>
          <w:rFonts w:ascii="Times New Roman" w:hAnsi="Times New Roman" w:cs="Times New Roman"/>
        </w:rPr>
        <w:t>El universo estará constituido por todos los deportistas que acudan a consulta con el diagnóstico de lesiones de partes blandas de Hombro o Rodilla. La muestra se seleccionará según los criterios de elegibilidad, por método no aleatorizado, a los cuales se realiz</w:t>
      </w:r>
      <w:r w:rsidR="00480C1F" w:rsidRPr="001D0C1C">
        <w:rPr>
          <w:rFonts w:ascii="Times New Roman" w:hAnsi="Times New Roman" w:cs="Times New Roman"/>
        </w:rPr>
        <w:t>ará</w:t>
      </w:r>
      <w:r w:rsidRPr="001D0C1C">
        <w:rPr>
          <w:rFonts w:ascii="Times New Roman" w:hAnsi="Times New Roman" w:cs="Times New Roman"/>
        </w:rPr>
        <w:t xml:space="preserve"> una medición pretest y postest de la Capacidad de movilidad articular, mediante su respuesta al dolor mediante Escala Visual Analógica (EVA) según Oswestry, ganancia de la amplitud articular y la fuerza muscular </w:t>
      </w:r>
      <w:r w:rsidRPr="001D0C1C">
        <w:rPr>
          <w:rFonts w:ascii="Times New Roman" w:hAnsi="Times New Roman" w:cs="Times New Roman"/>
        </w:rPr>
        <w:fldChar w:fldCharType="begin" w:fldLock="1"/>
      </w:r>
      <w:r w:rsidR="004D72F6" w:rsidRPr="001D0C1C">
        <w:rPr>
          <w:rFonts w:ascii="Times New Roman" w:hAnsi="Times New Roman" w:cs="Times New Roman"/>
        </w:rPr>
        <w:instrText>ADDIN CSL_CITATION {"citationItems":[{"id":"ITEM-1","itemData":{"ISSN":"2790-8305","author":[{"dropping-particle":"","family":"Galvis","given":"Juan Carlos López","non-dropping-particle":"","parse-names":false,"suffix":""},{"dropping-particle":"","family":"Moreno","given":"Nelson Enrique Cruz","non-dropping-particle":"","parse-names":false,"suffix":""}],"container-title":"Revista Científica CMDLT","id":"ITEM-1","issue":"Suplemento","issued":{"date-parts":[["2021"]]},"title":"Compresión radicular lumbar: análisis de resultados de la mínimamente invasiva para tratamiento de radiculopatía lumbar","type":"article-journal","volume":"15"},"uris":["http://www.mendeley.com/documents/?uuid=789b6c61-a236-42d1-9fe7-5834712a0b76"]}],"mendeley":{"formattedCitation":"&lt;sup&gt;(&lt;sup&gt;2&lt;/sup&gt;)&lt;/sup&gt;","plainTextFormattedCitation":"(2)","previouslyFormattedCitation":"&lt;sup&gt;(&lt;sup&gt;2&lt;/sup&gt;)&lt;/sup&gt;"},"properties":{"noteIndex":0},"schema":"https://github.com/citation-style-language/schema/raw/master/csl-citation.json"}</w:instrText>
      </w:r>
      <w:r w:rsidRPr="001D0C1C">
        <w:rPr>
          <w:rFonts w:ascii="Times New Roman" w:hAnsi="Times New Roman" w:cs="Times New Roman"/>
        </w:rPr>
        <w:fldChar w:fldCharType="separate"/>
      </w:r>
      <w:r w:rsidR="00D961BF" w:rsidRPr="001D0C1C">
        <w:rPr>
          <w:rFonts w:ascii="Times New Roman" w:hAnsi="Times New Roman" w:cs="Times New Roman"/>
          <w:noProof/>
          <w:vertAlign w:val="superscript"/>
        </w:rPr>
        <w:t>(2)</w:t>
      </w:r>
      <w:r w:rsidRPr="001D0C1C">
        <w:rPr>
          <w:rFonts w:ascii="Times New Roman" w:hAnsi="Times New Roman" w:cs="Times New Roman"/>
        </w:rPr>
        <w:fldChar w:fldCharType="end"/>
      </w:r>
      <w:r w:rsidR="00157A57" w:rsidRPr="001D0C1C">
        <w:rPr>
          <w:rFonts w:ascii="Times New Roman" w:hAnsi="Times New Roman" w:cs="Times New Roman"/>
        </w:rPr>
        <w:t>.</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bCs/>
        </w:rPr>
        <w:t>Se tomarán como criterios de elegibilidad a los deportistas</w:t>
      </w:r>
      <w:r w:rsidRPr="001D0C1C">
        <w:rPr>
          <w:rFonts w:ascii="Times New Roman" w:hAnsi="Times New Roman" w:cs="Times New Roman"/>
        </w:rPr>
        <w:t xml:space="preserve"> con diagnóstico de lesión de partes blandas de Hombro o Rodilla, la voluntariedad en la participación en la investigación, </w:t>
      </w:r>
      <w:r w:rsidR="00373797" w:rsidRPr="001D0C1C">
        <w:rPr>
          <w:rFonts w:ascii="Times New Roman" w:hAnsi="Times New Roman" w:cs="Times New Roman"/>
          <w:bCs/>
        </w:rPr>
        <w:t>las exclusiones por baja temporales o permanentes</w:t>
      </w:r>
      <w:r w:rsidRPr="001D0C1C">
        <w:rPr>
          <w:rFonts w:ascii="Times New Roman" w:hAnsi="Times New Roman" w:cs="Times New Roman"/>
        </w:rPr>
        <w:t xml:space="preserve"> del deporte.</w:t>
      </w:r>
    </w:p>
    <w:p w:rsidR="00480C1F"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lastRenderedPageBreak/>
        <w:t>La intervención dura</w:t>
      </w:r>
      <w:r w:rsidR="00480C1F" w:rsidRPr="001D0C1C">
        <w:rPr>
          <w:rFonts w:ascii="Times New Roman" w:hAnsi="Times New Roman" w:cs="Times New Roman"/>
        </w:rPr>
        <w:t>rá</w:t>
      </w:r>
      <w:r w:rsidRPr="001D0C1C">
        <w:rPr>
          <w:rFonts w:ascii="Times New Roman" w:hAnsi="Times New Roman" w:cs="Times New Roman"/>
        </w:rPr>
        <w:t xml:space="preserve"> tres semanas, y al final de la misma se volverá a medir la Capacidad de movilidad articular (respuesta al dolor, la ganancia de la amplitud articular y la fuerza muscular) de los deportistas</w:t>
      </w:r>
      <w:r w:rsidR="00480C1F" w:rsidRPr="001D0C1C">
        <w:rPr>
          <w:rFonts w:ascii="Times New Roman" w:hAnsi="Times New Roman" w:cs="Times New Roman"/>
        </w:rPr>
        <w:t>,</w:t>
      </w:r>
      <w:r w:rsidRPr="001D0C1C">
        <w:rPr>
          <w:rFonts w:ascii="Times New Roman" w:hAnsi="Times New Roman" w:cs="Times New Roman"/>
        </w:rPr>
        <w:t xml:space="preserve"> para analizar </w:t>
      </w:r>
      <w:r w:rsidR="00480C1F" w:rsidRPr="001D0C1C">
        <w:rPr>
          <w:rFonts w:ascii="Times New Roman" w:hAnsi="Times New Roman" w:cs="Times New Roman"/>
        </w:rPr>
        <w:t>mejoras estadísticamente significativas</w:t>
      </w:r>
      <w:r w:rsidRPr="001D0C1C">
        <w:rPr>
          <w:rFonts w:ascii="Times New Roman" w:hAnsi="Times New Roman" w:cs="Times New Roman"/>
        </w:rPr>
        <w:t xml:space="preserve">. </w:t>
      </w:r>
    </w:p>
    <w:p w:rsidR="00045922" w:rsidRPr="001D0C1C" w:rsidRDefault="00480C1F" w:rsidP="00373797">
      <w:pPr>
        <w:spacing w:line="276" w:lineRule="auto"/>
        <w:jc w:val="both"/>
        <w:rPr>
          <w:rFonts w:ascii="Times New Roman" w:hAnsi="Times New Roman" w:cs="Times New Roman"/>
        </w:rPr>
      </w:pPr>
      <w:r w:rsidRPr="001D0C1C">
        <w:rPr>
          <w:rFonts w:ascii="Times New Roman" w:hAnsi="Times New Roman" w:cs="Times New Roman"/>
        </w:rPr>
        <w:t>E</w:t>
      </w:r>
      <w:r w:rsidR="00045922" w:rsidRPr="001D0C1C">
        <w:rPr>
          <w:rFonts w:ascii="Times New Roman" w:hAnsi="Times New Roman" w:cs="Times New Roman"/>
        </w:rPr>
        <w:t>n caso de que se encontrara mejora</w:t>
      </w:r>
      <w:r w:rsidRPr="001D0C1C">
        <w:rPr>
          <w:rFonts w:ascii="Times New Roman" w:hAnsi="Times New Roman" w:cs="Times New Roman"/>
        </w:rPr>
        <w:t>s</w:t>
      </w:r>
      <w:r w:rsidR="00045922" w:rsidRPr="001D0C1C">
        <w:rPr>
          <w:rFonts w:ascii="Times New Roman" w:hAnsi="Times New Roman" w:cs="Times New Roman"/>
        </w:rPr>
        <w:t xml:space="preserve"> en la </w:t>
      </w:r>
      <w:r w:rsidR="004244FF" w:rsidRPr="001D0C1C">
        <w:rPr>
          <w:rFonts w:ascii="Times New Roman" w:hAnsi="Times New Roman" w:cs="Times New Roman"/>
        </w:rPr>
        <w:t xml:space="preserve">capacidad de movimiento, </w:t>
      </w:r>
      <w:r w:rsidR="00045922" w:rsidRPr="001D0C1C">
        <w:rPr>
          <w:rFonts w:ascii="Times New Roman" w:hAnsi="Times New Roman" w:cs="Times New Roman"/>
        </w:rPr>
        <w:t xml:space="preserve">no podría afirmarse que la intervención es el único factor que </w:t>
      </w:r>
      <w:r w:rsidR="00045922" w:rsidRPr="001D0C1C">
        <w:rPr>
          <w:rFonts w:ascii="Times New Roman" w:hAnsi="Times New Roman" w:cs="Times New Roman"/>
          <w:iCs/>
        </w:rPr>
        <w:t>causaría</w:t>
      </w:r>
      <w:r w:rsidR="00045922" w:rsidRPr="001D0C1C">
        <w:rPr>
          <w:rFonts w:ascii="Times New Roman" w:hAnsi="Times New Roman" w:cs="Times New Roman"/>
          <w:i/>
          <w:iCs/>
        </w:rPr>
        <w:t xml:space="preserve"> </w:t>
      </w:r>
      <w:r w:rsidR="00045922" w:rsidRPr="001D0C1C">
        <w:rPr>
          <w:rFonts w:ascii="Times New Roman" w:hAnsi="Times New Roman" w:cs="Times New Roman"/>
        </w:rPr>
        <w:t>la me</w:t>
      </w:r>
      <w:r w:rsidR="00045922" w:rsidRPr="001D0C1C">
        <w:rPr>
          <w:rFonts w:ascii="Times New Roman" w:hAnsi="Times New Roman" w:cs="Times New Roman"/>
        </w:rPr>
        <w:softHyphen/>
        <w:t>jora en la capacidad, por tratarse de una inves</w:t>
      </w:r>
      <w:r w:rsidR="00045922" w:rsidRPr="001D0C1C">
        <w:rPr>
          <w:rFonts w:ascii="Times New Roman" w:hAnsi="Times New Roman" w:cs="Times New Roman"/>
        </w:rPr>
        <w:softHyphen/>
        <w:t>tigación preexperimental</w:t>
      </w:r>
      <w:r w:rsidR="004244FF" w:rsidRPr="001D0C1C">
        <w:rPr>
          <w:rFonts w:ascii="Times New Roman" w:hAnsi="Times New Roman" w:cs="Times New Roman"/>
        </w:rPr>
        <w:t>, en el que no existirá control de otras variables</w:t>
      </w:r>
      <w:r w:rsidR="00045922" w:rsidRPr="001D0C1C">
        <w:rPr>
          <w:rFonts w:ascii="Times New Roman" w:hAnsi="Times New Roman" w:cs="Times New Roman"/>
        </w:rPr>
        <w:t>.</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Al carecer este diseño de un grupo de control, la vali</w:t>
      </w:r>
      <w:r w:rsidRPr="001D0C1C">
        <w:rPr>
          <w:rFonts w:ascii="Times New Roman" w:hAnsi="Times New Roman" w:cs="Times New Roman"/>
        </w:rPr>
        <w:softHyphen/>
        <w:t xml:space="preserve">dez interna del trabajo puede ser vulnerada. Las amenazas a la validez interna </w:t>
      </w:r>
      <w:r w:rsidR="004D72F6" w:rsidRPr="001D0C1C">
        <w:rPr>
          <w:rFonts w:ascii="Times New Roman" w:hAnsi="Times New Roman" w:cs="Times New Roman"/>
        </w:rPr>
        <w:t>en este tipo de</w:t>
      </w:r>
      <w:r w:rsidRPr="001D0C1C">
        <w:rPr>
          <w:rFonts w:ascii="Times New Roman" w:hAnsi="Times New Roman" w:cs="Times New Roman"/>
        </w:rPr>
        <w:t xml:space="preserve"> diseño pueden ser </w:t>
      </w:r>
      <w:r w:rsidR="004244FF" w:rsidRPr="001D0C1C">
        <w:rPr>
          <w:rFonts w:ascii="Times New Roman" w:hAnsi="Times New Roman" w:cs="Times New Roman"/>
        </w:rPr>
        <w:t>el</w:t>
      </w:r>
      <w:r w:rsidRPr="001D0C1C">
        <w:rPr>
          <w:rFonts w:ascii="Times New Roman" w:hAnsi="Times New Roman" w:cs="Times New Roman"/>
          <w:iCs/>
        </w:rPr>
        <w:t xml:space="preserve"> abandonen el experimento)</w:t>
      </w:r>
      <w:r w:rsidRPr="001D0C1C">
        <w:rPr>
          <w:rFonts w:ascii="Times New Roman" w:hAnsi="Times New Roman" w:cs="Times New Roman"/>
        </w:rPr>
        <w:t>.</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En el referido caso, el diagrama de in</w:t>
      </w:r>
      <w:r w:rsidRPr="001D0C1C">
        <w:rPr>
          <w:rFonts w:ascii="Times New Roman" w:hAnsi="Times New Roman" w:cs="Times New Roman"/>
        </w:rPr>
        <w:softHyphen/>
        <w:t>tervención será el siguiente:</w:t>
      </w:r>
    </w:p>
    <w:tbl>
      <w:tblPr>
        <w:tblW w:w="0" w:type="auto"/>
        <w:tblBorders>
          <w:top w:val="single" w:sz="4" w:space="0" w:color="7F7F7F"/>
          <w:bottom w:val="single" w:sz="4" w:space="0" w:color="7F7F7F"/>
        </w:tblBorders>
        <w:tblLook w:val="0620" w:firstRow="1" w:lastRow="0" w:firstColumn="0" w:lastColumn="0" w:noHBand="1" w:noVBand="1"/>
      </w:tblPr>
      <w:tblGrid>
        <w:gridCol w:w="2059"/>
        <w:gridCol w:w="2077"/>
        <w:gridCol w:w="2064"/>
        <w:gridCol w:w="2070"/>
        <w:gridCol w:w="2065"/>
      </w:tblGrid>
      <w:tr w:rsidR="00045922" w:rsidRPr="001D0C1C" w:rsidTr="00560B16">
        <w:tc>
          <w:tcPr>
            <w:tcW w:w="2113" w:type="dxa"/>
            <w:tcBorders>
              <w:bottom w:val="single" w:sz="4" w:space="0" w:color="7F7F7F"/>
            </w:tcBorders>
            <w:shd w:val="clear" w:color="auto" w:fill="auto"/>
          </w:tcPr>
          <w:p w:rsidR="00045922" w:rsidRPr="001D0C1C" w:rsidRDefault="00045922" w:rsidP="00373797">
            <w:pPr>
              <w:spacing w:line="276" w:lineRule="auto"/>
              <w:jc w:val="both"/>
              <w:rPr>
                <w:rFonts w:ascii="Times New Roman" w:hAnsi="Times New Roman" w:cs="Times New Roman"/>
                <w:b/>
                <w:bCs/>
              </w:rPr>
            </w:pPr>
          </w:p>
        </w:tc>
        <w:tc>
          <w:tcPr>
            <w:tcW w:w="2114" w:type="dxa"/>
            <w:tcBorders>
              <w:bottom w:val="single" w:sz="4" w:space="0" w:color="7F7F7F"/>
            </w:tcBorders>
            <w:shd w:val="clear" w:color="auto" w:fill="auto"/>
          </w:tcPr>
          <w:p w:rsidR="00045922" w:rsidRPr="001D0C1C" w:rsidRDefault="00045922" w:rsidP="00373797">
            <w:pPr>
              <w:spacing w:line="276" w:lineRule="auto"/>
              <w:jc w:val="both"/>
              <w:rPr>
                <w:rFonts w:ascii="Times New Roman" w:hAnsi="Times New Roman" w:cs="Times New Roman"/>
                <w:b/>
                <w:bCs/>
              </w:rPr>
            </w:pPr>
          </w:p>
        </w:tc>
        <w:tc>
          <w:tcPr>
            <w:tcW w:w="6313" w:type="dxa"/>
            <w:gridSpan w:val="3"/>
            <w:tcBorders>
              <w:bottom w:val="single" w:sz="4" w:space="0" w:color="7F7F7F"/>
            </w:tcBorders>
            <w:shd w:val="clear" w:color="auto" w:fill="auto"/>
          </w:tcPr>
          <w:p w:rsidR="00045922" w:rsidRPr="001D0C1C" w:rsidRDefault="00045922" w:rsidP="00373797">
            <w:pPr>
              <w:spacing w:line="276" w:lineRule="auto"/>
              <w:jc w:val="both"/>
              <w:rPr>
                <w:rFonts w:ascii="Times New Roman" w:hAnsi="Times New Roman" w:cs="Times New Roman"/>
                <w:b/>
                <w:bCs/>
              </w:rPr>
            </w:pPr>
            <w:r w:rsidRPr="001D0C1C">
              <w:rPr>
                <w:rFonts w:ascii="Times New Roman" w:hAnsi="Times New Roman" w:cs="Times New Roman"/>
                <w:b/>
                <w:bCs/>
              </w:rPr>
              <w:t>Secuencia de registro</w:t>
            </w:r>
          </w:p>
        </w:tc>
      </w:tr>
      <w:tr w:rsidR="00045922" w:rsidRPr="001D0C1C" w:rsidTr="00560B16">
        <w:tc>
          <w:tcPr>
            <w:tcW w:w="2113" w:type="dxa"/>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Grupo</w:t>
            </w:r>
          </w:p>
        </w:tc>
        <w:tc>
          <w:tcPr>
            <w:tcW w:w="2114" w:type="dxa"/>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Asignación</w:t>
            </w:r>
          </w:p>
        </w:tc>
        <w:tc>
          <w:tcPr>
            <w:tcW w:w="2104" w:type="dxa"/>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bCs/>
              </w:rPr>
              <w:t>Pretest</w:t>
            </w:r>
          </w:p>
        </w:tc>
        <w:tc>
          <w:tcPr>
            <w:tcW w:w="2104" w:type="dxa"/>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bCs/>
              </w:rPr>
              <w:t>Tratamiento</w:t>
            </w:r>
          </w:p>
        </w:tc>
        <w:tc>
          <w:tcPr>
            <w:tcW w:w="2105" w:type="dxa"/>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bCs/>
              </w:rPr>
              <w:t>Postest</w:t>
            </w:r>
          </w:p>
        </w:tc>
      </w:tr>
      <w:tr w:rsidR="00045922" w:rsidRPr="001D0C1C" w:rsidTr="00560B16">
        <w:tc>
          <w:tcPr>
            <w:tcW w:w="2113" w:type="dxa"/>
            <w:shd w:val="clear" w:color="auto" w:fill="auto"/>
          </w:tcPr>
          <w:p w:rsidR="00045922" w:rsidRPr="001D0C1C" w:rsidRDefault="00045922" w:rsidP="00373797">
            <w:pPr>
              <w:spacing w:line="276" w:lineRule="auto"/>
              <w:jc w:val="both"/>
              <w:rPr>
                <w:rFonts w:ascii="Times New Roman" w:hAnsi="Times New Roman" w:cs="Times New Roman"/>
                <w:b/>
              </w:rPr>
            </w:pPr>
            <w:r w:rsidRPr="001D0C1C">
              <w:rPr>
                <w:rFonts w:ascii="Times New Roman" w:hAnsi="Times New Roman" w:cs="Times New Roman"/>
                <w:b/>
              </w:rPr>
              <w:t>G1:</w:t>
            </w:r>
          </w:p>
        </w:tc>
        <w:tc>
          <w:tcPr>
            <w:tcW w:w="2114" w:type="dxa"/>
            <w:shd w:val="clear" w:color="auto" w:fill="auto"/>
          </w:tcPr>
          <w:p w:rsidR="00045922" w:rsidRPr="001D0C1C" w:rsidRDefault="00045922" w:rsidP="00373797">
            <w:pPr>
              <w:spacing w:line="276" w:lineRule="auto"/>
              <w:jc w:val="both"/>
              <w:rPr>
                <w:rFonts w:ascii="Times New Roman" w:hAnsi="Times New Roman" w:cs="Times New Roman"/>
                <w:b/>
              </w:rPr>
            </w:pPr>
            <w:r w:rsidRPr="001D0C1C">
              <w:rPr>
                <w:rFonts w:ascii="Times New Roman" w:hAnsi="Times New Roman" w:cs="Times New Roman"/>
                <w:b/>
              </w:rPr>
              <w:t>NA</w:t>
            </w:r>
          </w:p>
        </w:tc>
        <w:tc>
          <w:tcPr>
            <w:tcW w:w="2104" w:type="dxa"/>
            <w:shd w:val="clear" w:color="auto" w:fill="auto"/>
          </w:tcPr>
          <w:p w:rsidR="00045922" w:rsidRPr="001D0C1C" w:rsidRDefault="00045922" w:rsidP="00373797">
            <w:pPr>
              <w:spacing w:line="276" w:lineRule="auto"/>
              <w:jc w:val="both"/>
              <w:rPr>
                <w:rFonts w:ascii="Times New Roman" w:hAnsi="Times New Roman" w:cs="Times New Roman"/>
                <w:b/>
                <w:vertAlign w:val="subscript"/>
              </w:rPr>
            </w:pPr>
            <w:r w:rsidRPr="001D0C1C">
              <w:rPr>
                <w:rFonts w:ascii="Times New Roman" w:hAnsi="Times New Roman" w:cs="Times New Roman"/>
                <w:b/>
              </w:rPr>
              <w:t>O</w:t>
            </w:r>
            <w:r w:rsidRPr="001D0C1C">
              <w:rPr>
                <w:rFonts w:ascii="Times New Roman" w:hAnsi="Times New Roman" w:cs="Times New Roman"/>
                <w:b/>
                <w:vertAlign w:val="subscript"/>
              </w:rPr>
              <w:t>1</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Capacidad de movilidad articular del hombro</w:t>
            </w:r>
          </w:p>
        </w:tc>
        <w:tc>
          <w:tcPr>
            <w:tcW w:w="2104" w:type="dxa"/>
            <w:shd w:val="clear" w:color="auto" w:fill="auto"/>
          </w:tcPr>
          <w:p w:rsidR="00045922" w:rsidRPr="001D0C1C" w:rsidRDefault="00045922" w:rsidP="00373797">
            <w:pPr>
              <w:spacing w:line="276" w:lineRule="auto"/>
              <w:jc w:val="both"/>
              <w:rPr>
                <w:rFonts w:ascii="Times New Roman" w:hAnsi="Times New Roman" w:cs="Times New Roman"/>
                <w:b/>
              </w:rPr>
            </w:pPr>
            <w:r w:rsidRPr="001D0C1C">
              <w:rPr>
                <w:rFonts w:ascii="Times New Roman" w:hAnsi="Times New Roman" w:cs="Times New Roman"/>
                <w:b/>
              </w:rPr>
              <w:t>X</w:t>
            </w:r>
          </w:p>
          <w:p w:rsidR="00045922" w:rsidRPr="001D0C1C" w:rsidRDefault="00045922" w:rsidP="00373797">
            <w:pPr>
              <w:spacing w:line="276" w:lineRule="auto"/>
              <w:jc w:val="both"/>
              <w:rPr>
                <w:rFonts w:ascii="Times New Roman" w:hAnsi="Times New Roman" w:cs="Times New Roman"/>
                <w:b/>
              </w:rPr>
            </w:pPr>
          </w:p>
        </w:tc>
        <w:tc>
          <w:tcPr>
            <w:tcW w:w="2105" w:type="dxa"/>
            <w:shd w:val="clear" w:color="auto" w:fill="auto"/>
          </w:tcPr>
          <w:p w:rsidR="00045922" w:rsidRPr="001D0C1C" w:rsidRDefault="00045922" w:rsidP="00373797">
            <w:pPr>
              <w:spacing w:line="276" w:lineRule="auto"/>
              <w:jc w:val="both"/>
              <w:rPr>
                <w:rFonts w:ascii="Times New Roman" w:hAnsi="Times New Roman" w:cs="Times New Roman"/>
                <w:b/>
                <w:vertAlign w:val="subscript"/>
              </w:rPr>
            </w:pPr>
            <w:r w:rsidRPr="001D0C1C">
              <w:rPr>
                <w:rFonts w:ascii="Times New Roman" w:hAnsi="Times New Roman" w:cs="Times New Roman"/>
                <w:b/>
              </w:rPr>
              <w:t>O</w:t>
            </w:r>
            <w:r w:rsidRPr="001D0C1C">
              <w:rPr>
                <w:rFonts w:ascii="Times New Roman" w:hAnsi="Times New Roman" w:cs="Times New Roman"/>
                <w:b/>
                <w:vertAlign w:val="subscript"/>
              </w:rPr>
              <w:t>2</w:t>
            </w:r>
          </w:p>
          <w:p w:rsidR="00045922" w:rsidRPr="001D0C1C" w:rsidRDefault="00045922" w:rsidP="00373797">
            <w:pPr>
              <w:spacing w:line="276" w:lineRule="auto"/>
              <w:jc w:val="both"/>
              <w:rPr>
                <w:rFonts w:ascii="Times New Roman" w:hAnsi="Times New Roman" w:cs="Times New Roman"/>
                <w:b/>
              </w:rPr>
            </w:pPr>
            <w:r w:rsidRPr="001D0C1C">
              <w:rPr>
                <w:rFonts w:ascii="Times New Roman" w:hAnsi="Times New Roman" w:cs="Times New Roman"/>
              </w:rPr>
              <w:t>Capacidad de movilidad articular del hombro</w:t>
            </w:r>
          </w:p>
        </w:tc>
      </w:tr>
      <w:tr w:rsidR="00045922" w:rsidRPr="001D0C1C" w:rsidTr="00560B16">
        <w:tc>
          <w:tcPr>
            <w:tcW w:w="2113" w:type="dxa"/>
            <w:shd w:val="clear" w:color="auto" w:fill="auto"/>
          </w:tcPr>
          <w:p w:rsidR="00045922" w:rsidRPr="001D0C1C" w:rsidRDefault="00045922" w:rsidP="00373797">
            <w:pPr>
              <w:spacing w:line="276" w:lineRule="auto"/>
              <w:jc w:val="both"/>
              <w:rPr>
                <w:rFonts w:ascii="Times New Roman" w:hAnsi="Times New Roman" w:cs="Times New Roman"/>
                <w:b/>
              </w:rPr>
            </w:pPr>
            <w:r w:rsidRPr="001D0C1C">
              <w:rPr>
                <w:rFonts w:ascii="Times New Roman" w:hAnsi="Times New Roman" w:cs="Times New Roman"/>
                <w:b/>
              </w:rPr>
              <w:t>G2:</w:t>
            </w:r>
          </w:p>
        </w:tc>
        <w:tc>
          <w:tcPr>
            <w:tcW w:w="2114" w:type="dxa"/>
            <w:shd w:val="clear" w:color="auto" w:fill="auto"/>
          </w:tcPr>
          <w:p w:rsidR="00045922" w:rsidRPr="001D0C1C" w:rsidRDefault="00045922" w:rsidP="00373797">
            <w:pPr>
              <w:spacing w:line="276" w:lineRule="auto"/>
              <w:jc w:val="both"/>
              <w:rPr>
                <w:rFonts w:ascii="Times New Roman" w:hAnsi="Times New Roman" w:cs="Times New Roman"/>
                <w:b/>
              </w:rPr>
            </w:pPr>
            <w:r w:rsidRPr="001D0C1C">
              <w:rPr>
                <w:rFonts w:ascii="Times New Roman" w:hAnsi="Times New Roman" w:cs="Times New Roman"/>
                <w:b/>
              </w:rPr>
              <w:t>NA</w:t>
            </w:r>
          </w:p>
        </w:tc>
        <w:tc>
          <w:tcPr>
            <w:tcW w:w="2104" w:type="dxa"/>
            <w:shd w:val="clear" w:color="auto" w:fill="auto"/>
          </w:tcPr>
          <w:p w:rsidR="00045922" w:rsidRPr="001D0C1C" w:rsidRDefault="00045922" w:rsidP="00373797">
            <w:pPr>
              <w:spacing w:line="276" w:lineRule="auto"/>
              <w:jc w:val="both"/>
              <w:rPr>
                <w:rFonts w:ascii="Times New Roman" w:hAnsi="Times New Roman" w:cs="Times New Roman"/>
                <w:b/>
                <w:vertAlign w:val="subscript"/>
              </w:rPr>
            </w:pPr>
            <w:r w:rsidRPr="001D0C1C">
              <w:rPr>
                <w:rFonts w:ascii="Times New Roman" w:hAnsi="Times New Roman" w:cs="Times New Roman"/>
                <w:b/>
              </w:rPr>
              <w:t>O</w:t>
            </w:r>
            <w:r w:rsidRPr="001D0C1C">
              <w:rPr>
                <w:rFonts w:ascii="Times New Roman" w:hAnsi="Times New Roman" w:cs="Times New Roman"/>
                <w:b/>
                <w:vertAlign w:val="subscript"/>
              </w:rPr>
              <w:t>1</w:t>
            </w:r>
          </w:p>
          <w:p w:rsidR="00045922" w:rsidRPr="001D0C1C" w:rsidRDefault="00045922" w:rsidP="00373797">
            <w:pPr>
              <w:spacing w:line="276" w:lineRule="auto"/>
              <w:jc w:val="both"/>
              <w:rPr>
                <w:rFonts w:ascii="Times New Roman" w:hAnsi="Times New Roman" w:cs="Times New Roman"/>
                <w:b/>
              </w:rPr>
            </w:pPr>
            <w:r w:rsidRPr="001D0C1C">
              <w:rPr>
                <w:rFonts w:ascii="Times New Roman" w:hAnsi="Times New Roman" w:cs="Times New Roman"/>
              </w:rPr>
              <w:t>Capacidad de movilidad articular del hombro</w:t>
            </w:r>
          </w:p>
        </w:tc>
        <w:tc>
          <w:tcPr>
            <w:tcW w:w="2104" w:type="dxa"/>
            <w:shd w:val="clear" w:color="auto" w:fill="auto"/>
          </w:tcPr>
          <w:p w:rsidR="00045922" w:rsidRPr="001D0C1C" w:rsidRDefault="00045922" w:rsidP="00373797">
            <w:pPr>
              <w:spacing w:line="276" w:lineRule="auto"/>
              <w:jc w:val="both"/>
              <w:rPr>
                <w:rFonts w:ascii="Times New Roman" w:hAnsi="Times New Roman" w:cs="Times New Roman"/>
                <w:b/>
              </w:rPr>
            </w:pPr>
            <w:r w:rsidRPr="001D0C1C">
              <w:rPr>
                <w:rFonts w:ascii="Times New Roman" w:hAnsi="Times New Roman" w:cs="Times New Roman"/>
                <w:b/>
              </w:rPr>
              <w:t>X</w:t>
            </w:r>
          </w:p>
        </w:tc>
        <w:tc>
          <w:tcPr>
            <w:tcW w:w="2105" w:type="dxa"/>
            <w:shd w:val="clear" w:color="auto" w:fill="auto"/>
          </w:tcPr>
          <w:p w:rsidR="00045922" w:rsidRPr="001D0C1C" w:rsidRDefault="00045922" w:rsidP="00373797">
            <w:pPr>
              <w:spacing w:line="276" w:lineRule="auto"/>
              <w:jc w:val="both"/>
              <w:rPr>
                <w:rFonts w:ascii="Times New Roman" w:hAnsi="Times New Roman" w:cs="Times New Roman"/>
                <w:b/>
                <w:vertAlign w:val="subscript"/>
              </w:rPr>
            </w:pPr>
            <w:r w:rsidRPr="001D0C1C">
              <w:rPr>
                <w:rFonts w:ascii="Times New Roman" w:hAnsi="Times New Roman" w:cs="Times New Roman"/>
                <w:b/>
              </w:rPr>
              <w:t>O</w:t>
            </w:r>
            <w:r w:rsidRPr="001D0C1C">
              <w:rPr>
                <w:rFonts w:ascii="Times New Roman" w:hAnsi="Times New Roman" w:cs="Times New Roman"/>
                <w:b/>
                <w:vertAlign w:val="subscript"/>
              </w:rPr>
              <w:t>2</w:t>
            </w:r>
          </w:p>
          <w:p w:rsidR="00045922" w:rsidRPr="001D0C1C" w:rsidRDefault="00045922" w:rsidP="00373797">
            <w:pPr>
              <w:spacing w:line="276" w:lineRule="auto"/>
              <w:jc w:val="both"/>
              <w:rPr>
                <w:rFonts w:ascii="Times New Roman" w:hAnsi="Times New Roman" w:cs="Times New Roman"/>
                <w:b/>
              </w:rPr>
            </w:pPr>
            <w:r w:rsidRPr="001D0C1C">
              <w:rPr>
                <w:rFonts w:ascii="Times New Roman" w:hAnsi="Times New Roman" w:cs="Times New Roman"/>
              </w:rPr>
              <w:t>Capacidad de movilidad articular del hombro</w:t>
            </w:r>
          </w:p>
        </w:tc>
      </w:tr>
    </w:tbl>
    <w:p w:rsidR="00E052DD" w:rsidRPr="001D0C1C" w:rsidRDefault="00E052DD" w:rsidP="00373797">
      <w:pPr>
        <w:spacing w:line="276" w:lineRule="auto"/>
        <w:jc w:val="both"/>
        <w:rPr>
          <w:rFonts w:ascii="Times New Roman" w:hAnsi="Times New Roman" w:cs="Times New Roman"/>
        </w:rPr>
      </w:pP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Siguiendo las recomendaciones de</w:t>
      </w:r>
      <w:r w:rsidR="004D72F6" w:rsidRPr="001D0C1C">
        <w:rPr>
          <w:rFonts w:ascii="Times New Roman" w:hAnsi="Times New Roman" w:cs="Times New Roman"/>
        </w:rPr>
        <w:t xml:space="preserve"> Jurs, 2008</w:t>
      </w:r>
      <w:r w:rsidRPr="001D0C1C">
        <w:rPr>
          <w:rFonts w:ascii="Times New Roman" w:hAnsi="Times New Roman" w:cs="Times New Roman"/>
        </w:rPr>
        <w:t xml:space="preserve"> </w:t>
      </w:r>
      <w:r w:rsidRPr="001D0C1C">
        <w:rPr>
          <w:rFonts w:ascii="Times New Roman" w:hAnsi="Times New Roman" w:cs="Times New Roman"/>
        </w:rPr>
        <w:fldChar w:fldCharType="begin" w:fldLock="1"/>
      </w:r>
      <w:r w:rsidR="004D72F6" w:rsidRPr="001D0C1C">
        <w:rPr>
          <w:rFonts w:ascii="Times New Roman" w:hAnsi="Times New Roman" w:cs="Times New Roman"/>
        </w:rPr>
        <w:instrText>ADDIN CSL_CITATION {"citationItems":[{"id":"ITEM-1","itemData":{"author":[{"dropping-particle":"","family":"Jurs","given":"S G","non-dropping-particle":"","parse-names":false,"suffix":""},{"dropping-particle":"","family":"Wiersma","given":"W","non-dropping-particle":"","parse-names":false,"suffix":""}],"id":"ITEM-1","issued":{"date-parts":[["2008"]]},"publisher":"Peacock Publishers, Inc","title":"Research methods in education: an introduction Itasca, III","type":"article"},"uris":["http://www.mendeley.com/documents/?uuid=54e6d2d9-c4d6-4f40-82af-dcf5d3b95839"]}],"mendeley":{"formattedCitation":"&lt;sup&gt;(&lt;sup&gt;3&lt;/sup&gt;)&lt;/sup&gt;","plainTextFormattedCitation":"(3)","previouslyFormattedCitation":"&lt;sup&gt;(&lt;sup&gt;3&lt;/sup&gt;)&lt;/sup&gt;"},"properties":{"noteIndex":0},"schema":"https://github.com/citation-style-language/schema/raw/master/csl-citation.json"}</w:instrText>
      </w:r>
      <w:r w:rsidRPr="001D0C1C">
        <w:rPr>
          <w:rFonts w:ascii="Times New Roman" w:hAnsi="Times New Roman" w:cs="Times New Roman"/>
        </w:rPr>
        <w:fldChar w:fldCharType="separate"/>
      </w:r>
      <w:r w:rsidR="00D961BF" w:rsidRPr="001D0C1C">
        <w:rPr>
          <w:rFonts w:ascii="Times New Roman" w:hAnsi="Times New Roman" w:cs="Times New Roman"/>
          <w:noProof/>
          <w:vertAlign w:val="superscript"/>
        </w:rPr>
        <w:t>(3)</w:t>
      </w:r>
      <w:r w:rsidRPr="001D0C1C">
        <w:rPr>
          <w:rFonts w:ascii="Times New Roman" w:hAnsi="Times New Roman" w:cs="Times New Roman"/>
        </w:rPr>
        <w:fldChar w:fldCharType="end"/>
      </w:r>
      <w:r w:rsidRPr="001D0C1C">
        <w:rPr>
          <w:rFonts w:ascii="Times New Roman" w:hAnsi="Times New Roman" w:cs="Times New Roman"/>
        </w:rPr>
        <w:t xml:space="preserve"> </w:t>
      </w:r>
      <w:r w:rsidR="00E052DD" w:rsidRPr="001D0C1C">
        <w:rPr>
          <w:rFonts w:ascii="Times New Roman" w:hAnsi="Times New Roman" w:cs="Times New Roman"/>
        </w:rPr>
        <w:t xml:space="preserve">el </w:t>
      </w:r>
      <w:r w:rsidRPr="001D0C1C">
        <w:rPr>
          <w:rFonts w:ascii="Times New Roman" w:hAnsi="Times New Roman" w:cs="Times New Roman"/>
        </w:rPr>
        <w:t xml:space="preserve">postest debe administrarse inmediatamente después de que concluya el experimento (programa de ejercicio con TRX), en especial si la variable dependiente tiende a cambiar con el paso del tiempo (dado que existe un proceso de recuperación natural de los tejidos lesionados). </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Los planteamientos hipotéticos tendrán en cuenta la comparación entre las postest y pretest de ambos grupos (0</w:t>
      </w:r>
      <w:r w:rsidRPr="001D0C1C">
        <w:rPr>
          <w:rFonts w:ascii="Times New Roman" w:hAnsi="Times New Roman" w:cs="Times New Roman"/>
          <w:vertAlign w:val="subscript"/>
        </w:rPr>
        <w:t>1</w:t>
      </w:r>
      <w:r w:rsidRPr="001D0C1C">
        <w:rPr>
          <w:rFonts w:ascii="Times New Roman" w:hAnsi="Times New Roman" w:cs="Times New Roman"/>
        </w:rPr>
        <w:t xml:space="preserve"> y 0</w:t>
      </w:r>
      <w:r w:rsidRPr="001D0C1C">
        <w:rPr>
          <w:rFonts w:ascii="Times New Roman" w:hAnsi="Times New Roman" w:cs="Times New Roman"/>
          <w:vertAlign w:val="subscript"/>
        </w:rPr>
        <w:t>2</w:t>
      </w:r>
      <w:r w:rsidRPr="001D0C1C">
        <w:rPr>
          <w:rFonts w:ascii="Times New Roman" w:hAnsi="Times New Roman" w:cs="Times New Roman"/>
        </w:rPr>
        <w:t>) lo indica</w:t>
      </w:r>
      <w:r w:rsidR="00E052DD" w:rsidRPr="001D0C1C">
        <w:rPr>
          <w:rFonts w:ascii="Times New Roman" w:hAnsi="Times New Roman" w:cs="Times New Roman"/>
        </w:rPr>
        <w:t>rá</w:t>
      </w:r>
      <w:r w:rsidRPr="001D0C1C">
        <w:rPr>
          <w:rFonts w:ascii="Times New Roman" w:hAnsi="Times New Roman" w:cs="Times New Roman"/>
        </w:rPr>
        <w:t xml:space="preserve"> si hubo o no efecto de la manipulación. Si ambas difieren significativamente (0</w:t>
      </w:r>
      <w:r w:rsidRPr="001D0C1C">
        <w:rPr>
          <w:rFonts w:ascii="Times New Roman" w:hAnsi="Times New Roman" w:cs="Times New Roman"/>
          <w:vertAlign w:val="subscript"/>
        </w:rPr>
        <w:t>1</w:t>
      </w:r>
      <w:r w:rsidRPr="001D0C1C">
        <w:rPr>
          <w:rFonts w:ascii="Times New Roman" w:hAnsi="Times New Roman" w:cs="Times New Roman"/>
        </w:rPr>
        <w:t xml:space="preserve"> ≠ 0</w:t>
      </w:r>
      <w:r w:rsidRPr="001D0C1C">
        <w:rPr>
          <w:rFonts w:ascii="Times New Roman" w:hAnsi="Times New Roman" w:cs="Times New Roman"/>
          <w:vertAlign w:val="subscript"/>
        </w:rPr>
        <w:t>2</w:t>
      </w:r>
      <w:r w:rsidRPr="001D0C1C">
        <w:rPr>
          <w:rFonts w:ascii="Times New Roman" w:hAnsi="Times New Roman" w:cs="Times New Roman"/>
        </w:rPr>
        <w:t>), esto nos muestra que el tratamiento experimental tuvo un efecto a considerar; por tanto, se aceptará la hipótesis de diferencia de grupos. Si no existiera diferencias (0</w:t>
      </w:r>
      <w:r w:rsidRPr="001D0C1C">
        <w:rPr>
          <w:rFonts w:ascii="Times New Roman" w:hAnsi="Times New Roman" w:cs="Times New Roman"/>
          <w:vertAlign w:val="subscript"/>
        </w:rPr>
        <w:t>1</w:t>
      </w:r>
      <w:r w:rsidRPr="001D0C1C">
        <w:rPr>
          <w:rFonts w:ascii="Times New Roman" w:hAnsi="Times New Roman" w:cs="Times New Roman"/>
        </w:rPr>
        <w:t xml:space="preserve"> = 0</w:t>
      </w:r>
      <w:r w:rsidRPr="001D0C1C">
        <w:rPr>
          <w:rFonts w:ascii="Times New Roman" w:hAnsi="Times New Roman" w:cs="Times New Roman"/>
          <w:vertAlign w:val="subscript"/>
        </w:rPr>
        <w:t>2</w:t>
      </w:r>
      <w:r w:rsidRPr="001D0C1C">
        <w:rPr>
          <w:rFonts w:ascii="Times New Roman" w:hAnsi="Times New Roman" w:cs="Times New Roman"/>
        </w:rPr>
        <w:t>), ello indica que no hubo un efecto significativo del tratamiento experimental (</w:t>
      </w:r>
      <w:r w:rsidRPr="001D0C1C">
        <w:rPr>
          <w:rFonts w:ascii="Times New Roman" w:hAnsi="Times New Roman" w:cs="Times New Roman"/>
          <w:iCs/>
        </w:rPr>
        <w:t>X</w:t>
      </w:r>
      <w:r w:rsidRPr="001D0C1C">
        <w:rPr>
          <w:rFonts w:ascii="Times New Roman" w:hAnsi="Times New Roman" w:cs="Times New Roman"/>
        </w:rPr>
        <w:t xml:space="preserve">); y en este último caso se aceptaría la hipótesis nula. </w:t>
      </w:r>
      <w:r w:rsidR="009E69D1" w:rsidRPr="001D0C1C">
        <w:rPr>
          <w:rFonts w:ascii="Times New Roman" w:hAnsi="Times New Roman" w:cs="Times New Roman"/>
          <w:bCs/>
        </w:rPr>
        <w:t xml:space="preserve">El análisis datos será </w:t>
      </w:r>
      <w:r w:rsidR="00373797" w:rsidRPr="001D0C1C">
        <w:rPr>
          <w:rFonts w:ascii="Times New Roman" w:hAnsi="Times New Roman" w:cs="Times New Roman"/>
          <w:bCs/>
        </w:rPr>
        <w:t>realizado</w:t>
      </w:r>
      <w:r w:rsidR="009E69D1" w:rsidRPr="001D0C1C">
        <w:rPr>
          <w:rFonts w:ascii="Times New Roman" w:hAnsi="Times New Roman" w:cs="Times New Roman"/>
          <w:bCs/>
        </w:rPr>
        <w:t xml:space="preserve"> a través del programa estadístico SPSS Statistics 26</w:t>
      </w:r>
      <w:r w:rsidR="00724218" w:rsidRPr="001D0C1C">
        <w:rPr>
          <w:rFonts w:ascii="Times New Roman" w:hAnsi="Times New Roman" w:cs="Times New Roman"/>
          <w:bCs/>
        </w:rPr>
        <w:t>,</w:t>
      </w:r>
      <w:r w:rsidR="009E69D1" w:rsidRPr="001D0C1C">
        <w:rPr>
          <w:rFonts w:ascii="Times New Roman" w:hAnsi="Times New Roman" w:cs="Times New Roman"/>
          <w:bCs/>
        </w:rPr>
        <w:t>0.</w:t>
      </w:r>
    </w:p>
    <w:p w:rsidR="00045922" w:rsidRPr="001D0C1C" w:rsidRDefault="00045922" w:rsidP="00373797">
      <w:pPr>
        <w:spacing w:line="276" w:lineRule="auto"/>
        <w:jc w:val="both"/>
        <w:rPr>
          <w:rFonts w:ascii="Times New Roman" w:hAnsi="Times New Roman" w:cs="Times New Roman"/>
          <w:bCs/>
        </w:rPr>
      </w:pPr>
      <w:r w:rsidRPr="001D0C1C">
        <w:rPr>
          <w:rFonts w:ascii="Times New Roman" w:hAnsi="Times New Roman" w:cs="Times New Roman"/>
        </w:rPr>
        <w:t>Las pruebas de hipótesis de harán por método de inferencia</w:t>
      </w:r>
      <w:r w:rsidR="00F84B40" w:rsidRPr="001D0C1C">
        <w:rPr>
          <w:rFonts w:ascii="Times New Roman" w:hAnsi="Times New Roman" w:cs="Times New Roman"/>
        </w:rPr>
        <w:t>,</w:t>
      </w:r>
      <w:r w:rsidRPr="001D0C1C">
        <w:rPr>
          <w:rFonts w:ascii="Times New Roman" w:hAnsi="Times New Roman" w:cs="Times New Roman"/>
        </w:rPr>
        <w:t xml:space="preserve"> según los valores cuantificables del factor Bayes descritos por</w:t>
      </w:r>
      <w:r w:rsidR="009E69D1" w:rsidRPr="001D0C1C">
        <w:rPr>
          <w:rFonts w:ascii="Times New Roman" w:hAnsi="Times New Roman" w:cs="Times New Roman"/>
        </w:rPr>
        <w:t xml:space="preserve"> Jeffreys, 1998</w:t>
      </w:r>
      <w:r w:rsidRPr="001D0C1C">
        <w:rPr>
          <w:rFonts w:ascii="Times New Roman" w:hAnsi="Times New Roman" w:cs="Times New Roman"/>
        </w:rPr>
        <w:t xml:space="preserve"> </w:t>
      </w:r>
      <w:r w:rsidRPr="001D0C1C">
        <w:rPr>
          <w:rFonts w:ascii="Times New Roman" w:hAnsi="Times New Roman" w:cs="Times New Roman"/>
        </w:rPr>
        <w:fldChar w:fldCharType="begin" w:fldLock="1"/>
      </w:r>
      <w:r w:rsidR="009E69D1" w:rsidRPr="001D0C1C">
        <w:rPr>
          <w:rFonts w:ascii="Times New Roman" w:hAnsi="Times New Roman" w:cs="Times New Roman"/>
        </w:rPr>
        <w:instrText>ADDIN CSL_CITATION {"citationItems":[{"id":"ITEM-1","itemData":{"ISBN":"0191589675","author":[{"dropping-particle":"","family":"Jeffreys","given":"Harold","non-dropping-particle":"","parse-names":false,"suffix":""}],"id":"ITEM-1","issued":{"date-parts":[["1998"]]},"publisher":"OUP Oxford","title":"The theory of probability","type":"book"},"uris":["http://www.mendeley.com/documents/?uuid=70758538-51ae-4cb7-aa02-ab8a41348176"]}],"mendeley":{"formattedCitation":"&lt;sup&gt;(&lt;sup&gt;4&lt;/sup&gt;)&lt;/sup&gt;","plainTextFormattedCitation":"(4)","previouslyFormattedCitation":"&lt;sup&gt;(&lt;sup&gt;4&lt;/sup&gt;)&lt;/sup&gt;"},"properties":{"noteIndex":0},"schema":"https://github.com/citation-style-language/schema/raw/master/csl-citation.json"}</w:instrText>
      </w:r>
      <w:r w:rsidRPr="001D0C1C">
        <w:rPr>
          <w:rFonts w:ascii="Times New Roman" w:hAnsi="Times New Roman" w:cs="Times New Roman"/>
        </w:rPr>
        <w:fldChar w:fldCharType="separate"/>
      </w:r>
      <w:r w:rsidR="00D961BF" w:rsidRPr="001D0C1C">
        <w:rPr>
          <w:rFonts w:ascii="Times New Roman" w:hAnsi="Times New Roman" w:cs="Times New Roman"/>
          <w:noProof/>
          <w:vertAlign w:val="superscript"/>
        </w:rPr>
        <w:t>(4)</w:t>
      </w:r>
      <w:r w:rsidRPr="001D0C1C">
        <w:rPr>
          <w:rFonts w:ascii="Times New Roman" w:hAnsi="Times New Roman" w:cs="Times New Roman"/>
        </w:rPr>
        <w:fldChar w:fldCharType="end"/>
      </w:r>
      <w:r w:rsidRPr="001D0C1C">
        <w:rPr>
          <w:rFonts w:ascii="Times New Roman" w:hAnsi="Times New Roman" w:cs="Times New Roman"/>
        </w:rPr>
        <w:t xml:space="preserve"> y citados por</w:t>
      </w:r>
      <w:r w:rsidR="009E69D1" w:rsidRPr="001D0C1C">
        <w:rPr>
          <w:rFonts w:ascii="Times New Roman" w:hAnsi="Times New Roman" w:cs="Times New Roman"/>
        </w:rPr>
        <w:t xml:space="preserve"> Solano-López 2020</w:t>
      </w:r>
      <w:r w:rsidRPr="001D0C1C">
        <w:rPr>
          <w:rFonts w:ascii="Times New Roman" w:hAnsi="Times New Roman" w:cs="Times New Roman"/>
        </w:rPr>
        <w:t xml:space="preserve"> </w:t>
      </w:r>
      <w:r w:rsidRPr="001D0C1C">
        <w:rPr>
          <w:rFonts w:ascii="Times New Roman" w:hAnsi="Times New Roman" w:cs="Times New Roman"/>
        </w:rPr>
        <w:fldChar w:fldCharType="begin" w:fldLock="1"/>
      </w:r>
      <w:r w:rsidR="009E69D1" w:rsidRPr="001D0C1C">
        <w:rPr>
          <w:rFonts w:ascii="Times New Roman" w:hAnsi="Times New Roman" w:cs="Times New Roman"/>
        </w:rPr>
        <w:instrText>ADDIN CSL_CITATION {"citationItems":[{"id":"ITEM-1","itemData":{"DOI":"10.1016/j.recesp.2020.07.023","ISSN":"03008932","PMID":"32963419","abstract":"INTRODUCTION AND OBJECTIVES Despite advances in treatment, patients with acute myocardial infarction (AMI) still exhibit unfavorable short- and long-term prognoses. In addition, there is scant evidence about the clinical outcomes of patients with AMI and coronavirus disease 2019 (COVID-19). The objective of this study was to describe the clinical presentation, complications, and risk factors for mortality in patients admitted for AMI during the COVID-19 pandemic. METHODS This prospective, multicenter, cohort study included all consecutive patients with AMI who underwent coronary angiography in a 30-day period corresponding chronologically with the COVID-19 outbreak (March 15 to April 15, 2020). Clinical presentations and outcomes were compared between COVID-19 and non-COVID-19 patients. The effect of COVID-19 on mortality was assessed by propensity score matching and with a multivariate logistic regression model. RESULTS In total, 187 patients were admitted for AMI, 111 with ST-segment elevation AMI and 76 with non-ST-segment elevation AMI. Of these, 32 (17%) were diagnosed with COVID-19. GRACE score, Killip-Kimball classification, and several inflammatory markers were significantly higher in COVID-19-positive patients. Total and cardiovascular mortality were also significantly higher in COVID-19-positive patients (25% vs 3.8% [P &lt; .001] and 15.2% vs 1.8% [P = .001], respectively). GRACE score &gt; 140 (OR, 23.45; 95%CI, 2.52-62.51; P = .005) and COVID-19 (OR, 6.61; 95%CI, 1.82-24.43; P = .02) were independent predictors of in-hospital death. CONCLUSIONS During this pandemic, a high GRACE score and COVID-19 were independent risk factors associated with higher in-hospital mortality.Full English text available from:www.revespcardiol.org/en.","author":[{"dropping-particle":"","family":"Solano-López","given":"Jorge","non-dropping-particle":"","parse-names":false,"suffix":""},{"dropping-particle":"","family":"Zamorano","given":"José Luis","non-dropping-particle":"","parse-names":false,"suffix":""},{"dropping-particle":"","family":"Pardo Sanz","given":"Ana","non-dropping-particle":"","parse-names":false,"suffix":""},{"dropping-particle":"","family":"Amat-Santos","given":"Ignacio","non-dropping-particle":"","parse-names":false,"suffix":""},{"dropping-particle":"","family":"Sarnago","given":"Fernando","non-dropping-particle":"","parse-names":false,"suffix":""},{"dropping-particle":"","family":"Gutiérrez Ibañes","given":"Enrique","non-dropping-particle":"","parse-names":false,"suffix":""},{"dropping-particle":"","family":"Sanchis","given":"Juan","non-dropping-particle":"","parse-names":false,"suffix":""},{"dropping-particle":"","family":"Rey Blas","given":"Juan Ramón","non-dropping-particle":"","parse-names":false,"suffix":""},{"dropping-particle":"","family":"Gómez-Hospital","given":"Joan Antoni","non-dropping-particle":"","parse-names":false,"suffix":""},{"dropping-particle":"","family":"Santos Martínez","given":"Sandra","non-dropping-particle":"","parse-names":false,"suffix":""},{"dropping-particle":"","family":"Maneiro-Melón","given":"Nicolás Manuel","non-dropping-particle":"","parse-names":false,"suffix":""},{"dropping-particle":"","family":"Mateos Gaitán","given":"Roberto","non-dropping-particle":"","parse-names":false,"suffix":""},{"dropping-particle":"","family":"González D’Gregorio","given":"Jessika","non-dropping-particle":"","parse-names":false,"suffix":""},{"dropping-particle":"","family":"Salido","given":"Luisa","non-dropping-particle":"","parse-names":false,"suffix":""},{"dropping-particle":"","family":"Mestre","given":"José L","non-dropping-particle":"","parse-names":false,"suffix":""},{"dropping-particle":"","family":"Sanmartín","given":"Marcelo","non-dropping-particle":"","parse-names":false,"suffix":""},{"dropping-particle":"","family":"Sánchez-Recalde","given":"Ángel","non-dropping-particle":"","parse-names":false,"suffix":""}],"container-title":"Revista Española de Cardiología","id":"ITEM-1","issue":"12","issued":{"date-parts":[["2020","12"]]},"page":"985-993","title":"Factores de riesgo de muerte hospitalaria en pacientes con infarto agudo de miocardio durante la pandemia de la COVID-19","type":"article-journal","volume":"73"},"uris":["http://www.mendeley.com/documents/?uuid=fee28c7b-3f2a-46c2-a9b2-ccb41b36de1f"]}],"mendeley":{"formattedCitation":"&lt;sup&gt;(&lt;sup&gt;5&lt;/sup&gt;)&lt;/sup&gt;","plainTextFormattedCitation":"(5)","previouslyFormattedCitation":"&lt;sup&gt;(&lt;sup&gt;5&lt;/sup&gt;)&lt;/sup&gt;"},"properties":{"noteIndex":0},"schema":"https://github.com/citation-style-language/schema/raw/master/csl-citation.json"}</w:instrText>
      </w:r>
      <w:r w:rsidRPr="001D0C1C">
        <w:rPr>
          <w:rFonts w:ascii="Times New Roman" w:hAnsi="Times New Roman" w:cs="Times New Roman"/>
        </w:rPr>
        <w:fldChar w:fldCharType="separate"/>
      </w:r>
      <w:r w:rsidR="00D961BF" w:rsidRPr="001D0C1C">
        <w:rPr>
          <w:rFonts w:ascii="Times New Roman" w:hAnsi="Times New Roman" w:cs="Times New Roman"/>
          <w:noProof/>
          <w:vertAlign w:val="superscript"/>
        </w:rPr>
        <w:t>(5)</w:t>
      </w:r>
      <w:r w:rsidRPr="001D0C1C">
        <w:rPr>
          <w:rFonts w:ascii="Times New Roman" w:hAnsi="Times New Roman" w:cs="Times New Roman"/>
        </w:rPr>
        <w:fldChar w:fldCharType="end"/>
      </w:r>
      <w:r w:rsidRPr="001D0C1C">
        <w:rPr>
          <w:rFonts w:ascii="Times New Roman" w:hAnsi="Times New Roman" w:cs="Times New Roman"/>
        </w:rPr>
        <w:t xml:space="preserve"> y</w:t>
      </w:r>
      <w:r w:rsidR="009E69D1" w:rsidRPr="001D0C1C">
        <w:rPr>
          <w:rFonts w:ascii="Times New Roman" w:hAnsi="Times New Roman" w:cs="Times New Roman"/>
        </w:rPr>
        <w:t xml:space="preserve"> Ramos-Vera, 2021</w:t>
      </w:r>
      <w:r w:rsidRPr="001D0C1C">
        <w:rPr>
          <w:rFonts w:ascii="Times New Roman" w:hAnsi="Times New Roman" w:cs="Times New Roman"/>
        </w:rPr>
        <w:t xml:space="preserve"> </w:t>
      </w:r>
      <w:r w:rsidRPr="001D0C1C">
        <w:rPr>
          <w:rFonts w:ascii="Times New Roman" w:hAnsi="Times New Roman" w:cs="Times New Roman"/>
        </w:rPr>
        <w:fldChar w:fldCharType="begin" w:fldLock="1"/>
      </w:r>
      <w:r w:rsidR="009E69D1" w:rsidRPr="001D0C1C">
        <w:rPr>
          <w:rFonts w:ascii="Times New Roman" w:hAnsi="Times New Roman" w:cs="Times New Roman"/>
        </w:rPr>
        <w:instrText>ADDIN CSL_CITATION {"citationItems":[{"id":"ITEM-1","itemData":{"DOI":"10.1016/j.recesp.2021.01.013","ISSN":"03008932","author":[{"dropping-particle":"","family":"Ramos-Vera","given":"Cristian Antony","non-dropping-particle":"","parse-names":false,"suffix":""}],"container-title":"Revista Española de Cardiología","id":"ITEM-1","issue":"7","issued":{"date-parts":[["2021","7"]]},"page":"641-642","title":"El uso del factor Bayes en la investigación clínica de cardiología","type":"article-journal","volume":"74"},"uris":["http://www.mendeley.com/documents/?uuid=a440fd83-97d8-4fc7-bc0f-1fada616fbe9"]}],"mendeley":{"formattedCitation":"&lt;sup&gt;(&lt;sup&gt;6&lt;/sup&gt;)&lt;/sup&gt;","plainTextFormattedCitation":"(6)","previouslyFormattedCitation":"&lt;sup&gt;(&lt;sup&gt;6&lt;/sup&gt;)&lt;/sup&gt;"},"properties":{"noteIndex":0},"schema":"https://github.com/citation-style-language/schema/raw/master/csl-citation.json"}</w:instrText>
      </w:r>
      <w:r w:rsidRPr="001D0C1C">
        <w:rPr>
          <w:rFonts w:ascii="Times New Roman" w:hAnsi="Times New Roman" w:cs="Times New Roman"/>
        </w:rPr>
        <w:fldChar w:fldCharType="separate"/>
      </w:r>
      <w:r w:rsidR="00D961BF" w:rsidRPr="001D0C1C">
        <w:rPr>
          <w:rFonts w:ascii="Times New Roman" w:hAnsi="Times New Roman" w:cs="Times New Roman"/>
          <w:noProof/>
          <w:vertAlign w:val="superscript"/>
        </w:rPr>
        <w:t>(6)</w:t>
      </w:r>
      <w:r w:rsidRPr="001D0C1C">
        <w:rPr>
          <w:rFonts w:ascii="Times New Roman" w:hAnsi="Times New Roman" w:cs="Times New Roman"/>
        </w:rPr>
        <w:fldChar w:fldCharType="end"/>
      </w:r>
      <w:r w:rsidRPr="001D0C1C">
        <w:rPr>
          <w:rFonts w:ascii="Times New Roman" w:hAnsi="Times New Roman" w:cs="Times New Roman"/>
        </w:rPr>
        <w:t xml:space="preserve">. </w:t>
      </w:r>
    </w:p>
    <w:tbl>
      <w:tblPr>
        <w:tblW w:w="5000" w:type="pct"/>
        <w:tblBorders>
          <w:top w:val="single" w:sz="4" w:space="0" w:color="7F7F7F"/>
          <w:bottom w:val="single" w:sz="4" w:space="0" w:color="7F7F7F"/>
        </w:tblBorders>
        <w:tblLook w:val="0620" w:firstRow="1" w:lastRow="0" w:firstColumn="0" w:lastColumn="0" w:noHBand="1" w:noVBand="1"/>
      </w:tblPr>
      <w:tblGrid>
        <w:gridCol w:w="2521"/>
        <w:gridCol w:w="4248"/>
        <w:gridCol w:w="3566"/>
      </w:tblGrid>
      <w:tr w:rsidR="00045922" w:rsidRPr="001D0C1C" w:rsidTr="00560B16">
        <w:tc>
          <w:tcPr>
            <w:tcW w:w="5000" w:type="pct"/>
            <w:gridSpan w:val="3"/>
            <w:tcBorders>
              <w:bottom w:val="single" w:sz="4" w:space="0" w:color="7F7F7F"/>
            </w:tcBorders>
            <w:shd w:val="clear" w:color="auto" w:fill="auto"/>
            <w:vAlign w:val="center"/>
          </w:tcPr>
          <w:p w:rsidR="00045922" w:rsidRPr="001D0C1C" w:rsidRDefault="00045922" w:rsidP="00373797">
            <w:pPr>
              <w:spacing w:line="276" w:lineRule="auto"/>
              <w:jc w:val="both"/>
              <w:rPr>
                <w:rFonts w:ascii="Times New Roman" w:hAnsi="Times New Roman" w:cs="Times New Roman"/>
                <w:b/>
                <w:bCs/>
              </w:rPr>
            </w:pPr>
            <w:r w:rsidRPr="001D0C1C">
              <w:rPr>
                <w:rFonts w:ascii="Times New Roman" w:hAnsi="Times New Roman" w:cs="Times New Roman"/>
                <w:b/>
                <w:bCs/>
              </w:rPr>
              <w:t>Valores cuantificables del factor Bayes según Jeffreys</w:t>
            </w:r>
          </w:p>
        </w:tc>
      </w:tr>
      <w:tr w:rsidR="00045922" w:rsidRPr="001D0C1C" w:rsidTr="00560B16">
        <w:tc>
          <w:tcPr>
            <w:tcW w:w="1220"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p>
        </w:tc>
        <w:tc>
          <w:tcPr>
            <w:tcW w:w="2055" w:type="pct"/>
            <w:shd w:val="clear" w:color="auto" w:fill="auto"/>
            <w:vAlign w:val="center"/>
          </w:tcPr>
          <w:p w:rsidR="00045922" w:rsidRPr="001D0C1C" w:rsidRDefault="00045922" w:rsidP="00373797">
            <w:pPr>
              <w:spacing w:line="276" w:lineRule="auto"/>
              <w:jc w:val="both"/>
              <w:rPr>
                <w:rFonts w:ascii="Times New Roman" w:hAnsi="Times New Roman" w:cs="Times New Roman"/>
                <w:b/>
              </w:rPr>
            </w:pPr>
            <w:r w:rsidRPr="001D0C1C">
              <w:rPr>
                <w:rFonts w:ascii="Times New Roman" w:hAnsi="Times New Roman" w:cs="Times New Roman"/>
                <w:b/>
              </w:rPr>
              <w:t>Hipótesis Nula</w:t>
            </w:r>
          </w:p>
        </w:tc>
        <w:tc>
          <w:tcPr>
            <w:tcW w:w="1724" w:type="pct"/>
            <w:shd w:val="clear" w:color="auto" w:fill="auto"/>
            <w:vAlign w:val="center"/>
          </w:tcPr>
          <w:p w:rsidR="00045922" w:rsidRPr="001D0C1C" w:rsidRDefault="00045922" w:rsidP="00373797">
            <w:pPr>
              <w:spacing w:line="276" w:lineRule="auto"/>
              <w:jc w:val="both"/>
              <w:rPr>
                <w:rFonts w:ascii="Times New Roman" w:hAnsi="Times New Roman" w:cs="Times New Roman"/>
                <w:b/>
              </w:rPr>
            </w:pPr>
            <w:r w:rsidRPr="001D0C1C">
              <w:rPr>
                <w:rFonts w:ascii="Times New Roman" w:hAnsi="Times New Roman" w:cs="Times New Roman"/>
                <w:b/>
              </w:rPr>
              <w:t>Valor</w:t>
            </w:r>
          </w:p>
        </w:tc>
      </w:tr>
      <w:tr w:rsidR="00045922" w:rsidRPr="001D0C1C" w:rsidTr="00560B16">
        <w:tc>
          <w:tcPr>
            <w:tcW w:w="1220" w:type="pct"/>
            <w:vMerge w:val="restar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A favor</w:t>
            </w:r>
          </w:p>
        </w:tc>
        <w:tc>
          <w:tcPr>
            <w:tcW w:w="2055"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Muy fuerte</w:t>
            </w:r>
          </w:p>
        </w:tc>
        <w:tc>
          <w:tcPr>
            <w:tcW w:w="1724"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≥30</w:t>
            </w:r>
          </w:p>
        </w:tc>
      </w:tr>
      <w:tr w:rsidR="00045922" w:rsidRPr="001D0C1C" w:rsidTr="00560B16">
        <w:tc>
          <w:tcPr>
            <w:tcW w:w="1220" w:type="pct"/>
            <w:vMerge/>
            <w:shd w:val="clear" w:color="auto" w:fill="auto"/>
            <w:vAlign w:val="center"/>
          </w:tcPr>
          <w:p w:rsidR="00045922" w:rsidRPr="001D0C1C" w:rsidRDefault="00045922" w:rsidP="00373797">
            <w:pPr>
              <w:spacing w:line="276" w:lineRule="auto"/>
              <w:jc w:val="both"/>
              <w:rPr>
                <w:rFonts w:ascii="Times New Roman" w:hAnsi="Times New Roman" w:cs="Times New Roman"/>
              </w:rPr>
            </w:pPr>
          </w:p>
        </w:tc>
        <w:tc>
          <w:tcPr>
            <w:tcW w:w="2055"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Fuerte</w:t>
            </w:r>
          </w:p>
        </w:tc>
        <w:tc>
          <w:tcPr>
            <w:tcW w:w="1724"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10,1-29.9</w:t>
            </w:r>
          </w:p>
        </w:tc>
      </w:tr>
      <w:tr w:rsidR="00045922" w:rsidRPr="001D0C1C" w:rsidTr="00560B16">
        <w:tc>
          <w:tcPr>
            <w:tcW w:w="1220" w:type="pct"/>
            <w:vMerge/>
            <w:shd w:val="clear" w:color="auto" w:fill="auto"/>
            <w:vAlign w:val="center"/>
          </w:tcPr>
          <w:p w:rsidR="00045922" w:rsidRPr="001D0C1C" w:rsidRDefault="00045922" w:rsidP="00373797">
            <w:pPr>
              <w:spacing w:line="276" w:lineRule="auto"/>
              <w:jc w:val="both"/>
              <w:rPr>
                <w:rFonts w:ascii="Times New Roman" w:hAnsi="Times New Roman" w:cs="Times New Roman"/>
              </w:rPr>
            </w:pPr>
          </w:p>
        </w:tc>
        <w:tc>
          <w:tcPr>
            <w:tcW w:w="2055"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Moderada</w:t>
            </w:r>
          </w:p>
        </w:tc>
        <w:tc>
          <w:tcPr>
            <w:tcW w:w="1724"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3,1-10</w:t>
            </w:r>
          </w:p>
        </w:tc>
      </w:tr>
      <w:tr w:rsidR="00045922" w:rsidRPr="001D0C1C" w:rsidTr="00560B16">
        <w:tc>
          <w:tcPr>
            <w:tcW w:w="1220" w:type="pct"/>
            <w:vMerge/>
            <w:shd w:val="clear" w:color="auto" w:fill="auto"/>
            <w:vAlign w:val="center"/>
          </w:tcPr>
          <w:p w:rsidR="00045922" w:rsidRPr="001D0C1C" w:rsidRDefault="00045922" w:rsidP="00373797">
            <w:pPr>
              <w:spacing w:line="276" w:lineRule="auto"/>
              <w:jc w:val="both"/>
              <w:rPr>
                <w:rFonts w:ascii="Times New Roman" w:hAnsi="Times New Roman" w:cs="Times New Roman"/>
              </w:rPr>
            </w:pPr>
          </w:p>
        </w:tc>
        <w:tc>
          <w:tcPr>
            <w:tcW w:w="2055"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Anecdótica</w:t>
            </w:r>
          </w:p>
        </w:tc>
        <w:tc>
          <w:tcPr>
            <w:tcW w:w="1724"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1,1-3,0</w:t>
            </w:r>
          </w:p>
        </w:tc>
      </w:tr>
      <w:tr w:rsidR="00045922" w:rsidRPr="001D0C1C" w:rsidTr="00560B16">
        <w:tc>
          <w:tcPr>
            <w:tcW w:w="1220"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p>
        </w:tc>
        <w:tc>
          <w:tcPr>
            <w:tcW w:w="2055"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No evidencia</w:t>
            </w:r>
          </w:p>
        </w:tc>
        <w:tc>
          <w:tcPr>
            <w:tcW w:w="1724"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1</w:t>
            </w:r>
          </w:p>
        </w:tc>
      </w:tr>
      <w:tr w:rsidR="00045922" w:rsidRPr="001D0C1C" w:rsidTr="00560B16">
        <w:tc>
          <w:tcPr>
            <w:tcW w:w="1220" w:type="pct"/>
            <w:vMerge w:val="restar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En contra</w:t>
            </w:r>
          </w:p>
        </w:tc>
        <w:tc>
          <w:tcPr>
            <w:tcW w:w="2055"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Anecdótica</w:t>
            </w:r>
          </w:p>
        </w:tc>
        <w:tc>
          <w:tcPr>
            <w:tcW w:w="1724"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0,9-0,3</w:t>
            </w:r>
          </w:p>
        </w:tc>
      </w:tr>
      <w:tr w:rsidR="00045922" w:rsidRPr="001D0C1C" w:rsidTr="00560B16">
        <w:tc>
          <w:tcPr>
            <w:tcW w:w="1220" w:type="pct"/>
            <w:vMerge/>
            <w:shd w:val="clear" w:color="auto" w:fill="auto"/>
            <w:vAlign w:val="center"/>
          </w:tcPr>
          <w:p w:rsidR="00045922" w:rsidRPr="001D0C1C" w:rsidRDefault="00045922" w:rsidP="00373797">
            <w:pPr>
              <w:spacing w:line="276" w:lineRule="auto"/>
              <w:jc w:val="both"/>
              <w:rPr>
                <w:rFonts w:ascii="Times New Roman" w:hAnsi="Times New Roman" w:cs="Times New Roman"/>
              </w:rPr>
            </w:pPr>
          </w:p>
        </w:tc>
        <w:tc>
          <w:tcPr>
            <w:tcW w:w="2055"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Moderada</w:t>
            </w:r>
          </w:p>
        </w:tc>
        <w:tc>
          <w:tcPr>
            <w:tcW w:w="1724"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0,29-0,1</w:t>
            </w:r>
          </w:p>
        </w:tc>
      </w:tr>
      <w:tr w:rsidR="00045922" w:rsidRPr="001D0C1C" w:rsidTr="00560B16">
        <w:tc>
          <w:tcPr>
            <w:tcW w:w="1220" w:type="pct"/>
            <w:vMerge/>
            <w:shd w:val="clear" w:color="auto" w:fill="auto"/>
            <w:vAlign w:val="center"/>
          </w:tcPr>
          <w:p w:rsidR="00045922" w:rsidRPr="001D0C1C" w:rsidRDefault="00045922" w:rsidP="00373797">
            <w:pPr>
              <w:spacing w:line="276" w:lineRule="auto"/>
              <w:jc w:val="both"/>
              <w:rPr>
                <w:rFonts w:ascii="Times New Roman" w:hAnsi="Times New Roman" w:cs="Times New Roman"/>
              </w:rPr>
            </w:pPr>
          </w:p>
        </w:tc>
        <w:tc>
          <w:tcPr>
            <w:tcW w:w="2055"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Fuerte</w:t>
            </w:r>
          </w:p>
        </w:tc>
        <w:tc>
          <w:tcPr>
            <w:tcW w:w="1724"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0,09-0,03</w:t>
            </w:r>
          </w:p>
        </w:tc>
      </w:tr>
      <w:tr w:rsidR="00045922" w:rsidRPr="001D0C1C" w:rsidTr="00560B16">
        <w:tc>
          <w:tcPr>
            <w:tcW w:w="1220" w:type="pct"/>
            <w:vMerge/>
            <w:shd w:val="clear" w:color="auto" w:fill="auto"/>
            <w:vAlign w:val="center"/>
          </w:tcPr>
          <w:p w:rsidR="00045922" w:rsidRPr="001D0C1C" w:rsidRDefault="00045922" w:rsidP="00373797">
            <w:pPr>
              <w:spacing w:line="276" w:lineRule="auto"/>
              <w:jc w:val="both"/>
              <w:rPr>
                <w:rFonts w:ascii="Times New Roman" w:hAnsi="Times New Roman" w:cs="Times New Roman"/>
              </w:rPr>
            </w:pPr>
          </w:p>
        </w:tc>
        <w:tc>
          <w:tcPr>
            <w:tcW w:w="2055"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Muy fuerte</w:t>
            </w:r>
          </w:p>
        </w:tc>
        <w:tc>
          <w:tcPr>
            <w:tcW w:w="1724" w:type="pct"/>
            <w:shd w:val="clear" w:color="auto" w:fill="auto"/>
            <w:vAlign w:val="center"/>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&lt;0,03</w:t>
            </w:r>
          </w:p>
        </w:tc>
      </w:tr>
    </w:tbl>
    <w:p w:rsidR="009E69D1" w:rsidRPr="001D0C1C" w:rsidRDefault="009E69D1" w:rsidP="00373797">
      <w:pPr>
        <w:spacing w:line="276" w:lineRule="auto"/>
        <w:jc w:val="both"/>
        <w:rPr>
          <w:rFonts w:ascii="Times New Roman" w:hAnsi="Times New Roman" w:cs="Times New Roman"/>
          <w:bCs/>
        </w:rPr>
      </w:pPr>
    </w:p>
    <w:p w:rsidR="00045922" w:rsidRPr="001D0C1C" w:rsidRDefault="00045922" w:rsidP="00373797">
      <w:pPr>
        <w:spacing w:line="276" w:lineRule="auto"/>
        <w:jc w:val="both"/>
        <w:rPr>
          <w:rFonts w:ascii="Times New Roman" w:hAnsi="Times New Roman" w:cs="Times New Roman"/>
          <w:bCs/>
        </w:rPr>
      </w:pPr>
      <w:r w:rsidRPr="001D0C1C">
        <w:rPr>
          <w:rFonts w:ascii="Times New Roman" w:hAnsi="Times New Roman" w:cs="Times New Roman"/>
          <w:bCs/>
        </w:rPr>
        <w:t>Para realizar la comparación entre pre-test y post-test se tomarán en cuenta las siguientes variables:</w:t>
      </w:r>
    </w:p>
    <w:p w:rsidR="00045922" w:rsidRPr="001D0C1C" w:rsidRDefault="00045922" w:rsidP="00373797">
      <w:pPr>
        <w:numPr>
          <w:ilvl w:val="0"/>
          <w:numId w:val="1"/>
        </w:numPr>
        <w:spacing w:line="276" w:lineRule="auto"/>
        <w:ind w:left="0" w:firstLine="0"/>
        <w:jc w:val="both"/>
        <w:rPr>
          <w:rFonts w:ascii="Times New Roman" w:hAnsi="Times New Roman" w:cs="Times New Roman"/>
        </w:rPr>
      </w:pPr>
      <w:r w:rsidRPr="001D0C1C">
        <w:rPr>
          <w:rFonts w:ascii="Times New Roman" w:hAnsi="Times New Roman" w:cs="Times New Roman"/>
        </w:rPr>
        <w:t xml:space="preserve"> Escala Visual Analógica (EVA):</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0: dolor ausente</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1-10: Dolor muy leve</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11-30: Dolor leve</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31-50: Dolor Moderado</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51-70: Dolor Fuerte</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71-90: Dolor muy Fuerte</w:t>
      </w:r>
    </w:p>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91-100: Peor dolor posible</w:t>
      </w:r>
    </w:p>
    <w:p w:rsidR="00045922" w:rsidRPr="001D0C1C" w:rsidRDefault="00045922" w:rsidP="00373797">
      <w:pPr>
        <w:numPr>
          <w:ilvl w:val="0"/>
          <w:numId w:val="1"/>
        </w:numPr>
        <w:spacing w:line="276" w:lineRule="auto"/>
        <w:ind w:left="0" w:firstLine="0"/>
        <w:jc w:val="both"/>
        <w:rPr>
          <w:rFonts w:ascii="Times New Roman" w:hAnsi="Times New Roman" w:cs="Times New Roman"/>
        </w:rPr>
      </w:pPr>
      <w:r w:rsidRPr="001D0C1C">
        <w:rPr>
          <w:rFonts w:ascii="Times New Roman" w:hAnsi="Times New Roman" w:cs="Times New Roman"/>
        </w:rPr>
        <w:t xml:space="preserve"> </w:t>
      </w:r>
      <w:r w:rsidRPr="001D0C1C">
        <w:rPr>
          <w:rFonts w:ascii="Times New Roman" w:hAnsi="Times New Roman" w:cs="Times New Roman"/>
          <w:b/>
        </w:rPr>
        <w:t>Amplitud Articular:</w:t>
      </w:r>
      <w:r w:rsidRPr="001D0C1C">
        <w:rPr>
          <w:rFonts w:ascii="Times New Roman" w:hAnsi="Times New Roman" w:cs="Times New Roman"/>
        </w:rPr>
        <w:t xml:space="preserve"> Se tendrá en cuenta los valores goneométricos tanto al movimiento activo y pasivo de estas articulaciones y para su interpretación se considerarán los siguientes criterios de recuperación:</w:t>
      </w:r>
    </w:p>
    <w:p w:rsidR="00045922" w:rsidRPr="001D0C1C" w:rsidRDefault="00045922" w:rsidP="00373797">
      <w:pPr>
        <w:numPr>
          <w:ilvl w:val="0"/>
          <w:numId w:val="2"/>
        </w:numPr>
        <w:spacing w:line="276" w:lineRule="auto"/>
        <w:ind w:left="0" w:firstLine="0"/>
        <w:jc w:val="both"/>
        <w:rPr>
          <w:rFonts w:ascii="Times New Roman" w:hAnsi="Times New Roman" w:cs="Times New Roman"/>
        </w:rPr>
      </w:pPr>
      <w:r w:rsidRPr="001D0C1C">
        <w:rPr>
          <w:rFonts w:ascii="Times New Roman" w:hAnsi="Times New Roman" w:cs="Times New Roman"/>
        </w:rPr>
        <w:t>Buena: Cuando se recupere entre el 90 y el 100 % de la amplitud articular.</w:t>
      </w:r>
    </w:p>
    <w:p w:rsidR="00045922" w:rsidRPr="001D0C1C" w:rsidRDefault="00045922" w:rsidP="00373797">
      <w:pPr>
        <w:numPr>
          <w:ilvl w:val="0"/>
          <w:numId w:val="2"/>
        </w:numPr>
        <w:spacing w:line="276" w:lineRule="auto"/>
        <w:ind w:left="0" w:firstLine="0"/>
        <w:jc w:val="both"/>
        <w:rPr>
          <w:rFonts w:ascii="Times New Roman" w:hAnsi="Times New Roman" w:cs="Times New Roman"/>
        </w:rPr>
      </w:pPr>
      <w:r w:rsidRPr="001D0C1C">
        <w:rPr>
          <w:rFonts w:ascii="Times New Roman" w:hAnsi="Times New Roman" w:cs="Times New Roman"/>
        </w:rPr>
        <w:t>Regular: cuando se recupere entre el 50 y el 89 % amplitud articular.</w:t>
      </w:r>
    </w:p>
    <w:p w:rsidR="00045922" w:rsidRPr="001D0C1C" w:rsidRDefault="00045922" w:rsidP="00373797">
      <w:pPr>
        <w:numPr>
          <w:ilvl w:val="0"/>
          <w:numId w:val="2"/>
        </w:numPr>
        <w:spacing w:line="276" w:lineRule="auto"/>
        <w:ind w:left="0" w:firstLine="0"/>
        <w:jc w:val="both"/>
        <w:rPr>
          <w:rFonts w:ascii="Times New Roman" w:hAnsi="Times New Roman" w:cs="Times New Roman"/>
        </w:rPr>
      </w:pPr>
      <w:r w:rsidRPr="001D0C1C">
        <w:rPr>
          <w:rFonts w:ascii="Times New Roman" w:hAnsi="Times New Roman" w:cs="Times New Roman"/>
        </w:rPr>
        <w:t xml:space="preserve">Mala: Cuando se recupere menos del 50 % de la amplitud articular. </w:t>
      </w:r>
    </w:p>
    <w:tbl>
      <w:tblPr>
        <w:tblW w:w="5000" w:type="pct"/>
        <w:tblBorders>
          <w:top w:val="single" w:sz="4" w:space="0" w:color="7F7F7F"/>
          <w:bottom w:val="single" w:sz="4" w:space="0" w:color="7F7F7F"/>
        </w:tblBorders>
        <w:tblLayout w:type="fixed"/>
        <w:tblLook w:val="0620" w:firstRow="1" w:lastRow="0" w:firstColumn="0" w:lastColumn="0" w:noHBand="1" w:noVBand="1"/>
      </w:tblPr>
      <w:tblGrid>
        <w:gridCol w:w="1171"/>
        <w:gridCol w:w="1263"/>
        <w:gridCol w:w="1197"/>
        <w:gridCol w:w="1408"/>
        <w:gridCol w:w="1236"/>
        <w:gridCol w:w="1352"/>
        <w:gridCol w:w="1344"/>
        <w:gridCol w:w="1364"/>
      </w:tblGrid>
      <w:tr w:rsidR="00045922" w:rsidRPr="001D0C1C" w:rsidTr="00560B16">
        <w:trPr>
          <w:trHeight w:val="576"/>
        </w:trPr>
        <w:tc>
          <w:tcPr>
            <w:tcW w:w="5000" w:type="pct"/>
            <w:gridSpan w:val="8"/>
            <w:tcBorders>
              <w:bottom w:val="single" w:sz="4" w:space="0" w:color="7F7F7F"/>
            </w:tcBorders>
            <w:shd w:val="clear" w:color="auto" w:fill="auto"/>
          </w:tcPr>
          <w:p w:rsidR="00045922" w:rsidRPr="001D0C1C" w:rsidRDefault="00045922" w:rsidP="00373797">
            <w:pPr>
              <w:spacing w:line="276" w:lineRule="auto"/>
              <w:jc w:val="both"/>
              <w:rPr>
                <w:rFonts w:ascii="Times New Roman" w:hAnsi="Times New Roman" w:cs="Times New Roman"/>
                <w:b/>
                <w:bCs/>
              </w:rPr>
            </w:pPr>
            <w:r w:rsidRPr="001D0C1C">
              <w:rPr>
                <w:rFonts w:ascii="Times New Roman" w:hAnsi="Times New Roman" w:cs="Times New Roman"/>
                <w:b/>
                <w:bCs/>
              </w:rPr>
              <w:t>Goneometría de Hombro y Rodilla</w:t>
            </w:r>
          </w:p>
        </w:tc>
      </w:tr>
      <w:tr w:rsidR="00045922" w:rsidRPr="001D0C1C" w:rsidTr="00560B16">
        <w:trPr>
          <w:trHeight w:val="741"/>
        </w:trPr>
        <w:tc>
          <w:tcPr>
            <w:tcW w:w="567"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Artic.</w:t>
            </w:r>
          </w:p>
        </w:tc>
        <w:tc>
          <w:tcPr>
            <w:tcW w:w="611"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Flexión</w:t>
            </w:r>
          </w:p>
        </w:tc>
        <w:tc>
          <w:tcPr>
            <w:tcW w:w="579"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Extensión</w:t>
            </w:r>
          </w:p>
        </w:tc>
        <w:tc>
          <w:tcPr>
            <w:tcW w:w="681"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Abducción</w:t>
            </w:r>
          </w:p>
        </w:tc>
        <w:tc>
          <w:tcPr>
            <w:tcW w:w="598"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Aducción</w:t>
            </w:r>
          </w:p>
        </w:tc>
        <w:tc>
          <w:tcPr>
            <w:tcW w:w="654"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Rotación interna</w:t>
            </w:r>
          </w:p>
        </w:tc>
        <w:tc>
          <w:tcPr>
            <w:tcW w:w="650"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Rotación externa</w:t>
            </w:r>
          </w:p>
        </w:tc>
        <w:tc>
          <w:tcPr>
            <w:tcW w:w="660"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Medida (cm)</w:t>
            </w:r>
          </w:p>
        </w:tc>
      </w:tr>
      <w:tr w:rsidR="00045922" w:rsidRPr="001D0C1C" w:rsidTr="00560B16">
        <w:trPr>
          <w:trHeight w:val="465"/>
        </w:trPr>
        <w:tc>
          <w:tcPr>
            <w:tcW w:w="567"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Hombro</w:t>
            </w:r>
          </w:p>
        </w:tc>
        <w:tc>
          <w:tcPr>
            <w:tcW w:w="611"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180º</w:t>
            </w:r>
          </w:p>
        </w:tc>
        <w:tc>
          <w:tcPr>
            <w:tcW w:w="579"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50º</w:t>
            </w:r>
          </w:p>
        </w:tc>
        <w:tc>
          <w:tcPr>
            <w:tcW w:w="681"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180º</w:t>
            </w:r>
          </w:p>
        </w:tc>
        <w:tc>
          <w:tcPr>
            <w:tcW w:w="598"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45º</w:t>
            </w:r>
          </w:p>
        </w:tc>
        <w:tc>
          <w:tcPr>
            <w:tcW w:w="654"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90º</w:t>
            </w:r>
          </w:p>
        </w:tc>
        <w:tc>
          <w:tcPr>
            <w:tcW w:w="650"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60º</w:t>
            </w:r>
          </w:p>
        </w:tc>
        <w:tc>
          <w:tcPr>
            <w:tcW w:w="660" w:type="pct"/>
            <w:shd w:val="clear" w:color="auto" w:fill="auto"/>
          </w:tcPr>
          <w:p w:rsidR="00045922" w:rsidRPr="001D0C1C" w:rsidRDefault="00045922" w:rsidP="00373797">
            <w:pPr>
              <w:spacing w:line="276" w:lineRule="auto"/>
              <w:jc w:val="both"/>
              <w:rPr>
                <w:rFonts w:ascii="Times New Roman" w:hAnsi="Times New Roman" w:cs="Times New Roman"/>
              </w:rPr>
            </w:pPr>
          </w:p>
        </w:tc>
      </w:tr>
      <w:tr w:rsidR="00045922" w:rsidRPr="001D0C1C" w:rsidTr="00560B16">
        <w:trPr>
          <w:trHeight w:val="465"/>
        </w:trPr>
        <w:tc>
          <w:tcPr>
            <w:tcW w:w="567"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Rodilla</w:t>
            </w:r>
          </w:p>
        </w:tc>
        <w:tc>
          <w:tcPr>
            <w:tcW w:w="611"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130º-150</w:t>
            </w:r>
          </w:p>
        </w:tc>
        <w:tc>
          <w:tcPr>
            <w:tcW w:w="579"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5º-10</w:t>
            </w:r>
          </w:p>
        </w:tc>
        <w:tc>
          <w:tcPr>
            <w:tcW w:w="681" w:type="pct"/>
            <w:shd w:val="clear" w:color="auto" w:fill="auto"/>
          </w:tcPr>
          <w:p w:rsidR="00045922" w:rsidRPr="001D0C1C" w:rsidRDefault="00045922" w:rsidP="00373797">
            <w:pPr>
              <w:spacing w:line="276" w:lineRule="auto"/>
              <w:jc w:val="both"/>
              <w:rPr>
                <w:rFonts w:ascii="Times New Roman" w:hAnsi="Times New Roman" w:cs="Times New Roman"/>
              </w:rPr>
            </w:pPr>
          </w:p>
        </w:tc>
        <w:tc>
          <w:tcPr>
            <w:tcW w:w="598" w:type="pct"/>
            <w:shd w:val="clear" w:color="auto" w:fill="auto"/>
          </w:tcPr>
          <w:p w:rsidR="00045922" w:rsidRPr="001D0C1C" w:rsidRDefault="00045922" w:rsidP="00373797">
            <w:pPr>
              <w:spacing w:line="276" w:lineRule="auto"/>
              <w:jc w:val="both"/>
              <w:rPr>
                <w:rFonts w:ascii="Times New Roman" w:hAnsi="Times New Roman" w:cs="Times New Roman"/>
              </w:rPr>
            </w:pPr>
          </w:p>
        </w:tc>
        <w:tc>
          <w:tcPr>
            <w:tcW w:w="654"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20º-30º</w:t>
            </w:r>
          </w:p>
        </w:tc>
        <w:tc>
          <w:tcPr>
            <w:tcW w:w="650"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30º-40º</w:t>
            </w:r>
          </w:p>
        </w:tc>
        <w:tc>
          <w:tcPr>
            <w:tcW w:w="660" w:type="pct"/>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rPr>
              <w:t>TN: 1cm=1,5º</w:t>
            </w:r>
          </w:p>
        </w:tc>
      </w:tr>
      <w:tr w:rsidR="00045922" w:rsidRPr="001D0C1C" w:rsidTr="00560B16">
        <w:trPr>
          <w:trHeight w:val="465"/>
        </w:trPr>
        <w:tc>
          <w:tcPr>
            <w:tcW w:w="5000" w:type="pct"/>
            <w:gridSpan w:val="8"/>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b/>
              </w:rPr>
              <w:t>Nota:</w:t>
            </w:r>
            <w:r w:rsidRPr="001D0C1C">
              <w:rPr>
                <w:rFonts w:ascii="Times New Roman" w:hAnsi="Times New Roman" w:cs="Times New Roman"/>
              </w:rPr>
              <w:t xml:space="preserve"> TN: distancia talón nalga. La rotación de rodilla solo en posición de flexión y rota la tibia sobre el fémur.</w:t>
            </w:r>
          </w:p>
          <w:p w:rsidR="00707BE5" w:rsidRPr="001D0C1C" w:rsidRDefault="00707BE5" w:rsidP="00373797">
            <w:pPr>
              <w:spacing w:line="276" w:lineRule="auto"/>
              <w:jc w:val="both"/>
              <w:rPr>
                <w:rFonts w:ascii="Times New Roman" w:hAnsi="Times New Roman" w:cs="Times New Roman"/>
              </w:rPr>
            </w:pPr>
          </w:p>
        </w:tc>
      </w:tr>
    </w:tbl>
    <w:p w:rsidR="00045922" w:rsidRPr="001D0C1C" w:rsidRDefault="00724218" w:rsidP="00373797">
      <w:pPr>
        <w:numPr>
          <w:ilvl w:val="0"/>
          <w:numId w:val="1"/>
        </w:numPr>
        <w:spacing w:line="276" w:lineRule="auto"/>
        <w:ind w:left="0" w:firstLine="0"/>
        <w:jc w:val="both"/>
        <w:rPr>
          <w:rFonts w:ascii="Times New Roman" w:hAnsi="Times New Roman" w:cs="Times New Roman"/>
        </w:rPr>
      </w:pPr>
      <w:r w:rsidRPr="001D0C1C">
        <w:rPr>
          <w:rFonts w:ascii="Times New Roman" w:hAnsi="Times New Roman" w:cs="Times New Roman"/>
        </w:rPr>
        <w:t xml:space="preserve"> </w:t>
      </w:r>
      <w:r w:rsidR="00045922" w:rsidRPr="001D0C1C">
        <w:rPr>
          <w:rFonts w:ascii="Times New Roman" w:hAnsi="Times New Roman" w:cs="Times New Roman"/>
          <w:b/>
        </w:rPr>
        <w:t>Fuerza Muscular:</w:t>
      </w:r>
      <w:r w:rsidR="00045922" w:rsidRPr="001D0C1C">
        <w:rPr>
          <w:rFonts w:ascii="Times New Roman" w:hAnsi="Times New Roman" w:cs="Times New Roman"/>
        </w:rPr>
        <w:t xml:space="preserve"> Se tendrán en cuenta los criterios aportados por el Test de Daniels</w:t>
      </w:r>
      <w:r w:rsidR="00E142D9" w:rsidRPr="001D0C1C">
        <w:rPr>
          <w:rFonts w:ascii="Times New Roman" w:hAnsi="Times New Roman" w:cs="Times New Roman"/>
        </w:rPr>
        <w:t xml:space="preserve"> </w:t>
      </w:r>
      <w:r w:rsidR="00045922" w:rsidRPr="001D0C1C">
        <w:rPr>
          <w:rFonts w:ascii="Times New Roman" w:hAnsi="Times New Roman" w:cs="Times New Roman"/>
        </w:rPr>
        <w:t>de la siguiente manera:</w:t>
      </w:r>
    </w:p>
    <w:tbl>
      <w:tblPr>
        <w:tblW w:w="0" w:type="auto"/>
        <w:tblBorders>
          <w:top w:val="single" w:sz="4" w:space="0" w:color="7F7F7F"/>
          <w:bottom w:val="single" w:sz="4" w:space="0" w:color="7F7F7F"/>
        </w:tblBorders>
        <w:tblLook w:val="0620" w:firstRow="1" w:lastRow="0" w:firstColumn="0" w:lastColumn="0" w:noHBand="1" w:noVBand="1"/>
      </w:tblPr>
      <w:tblGrid>
        <w:gridCol w:w="1675"/>
        <w:gridCol w:w="1445"/>
        <w:gridCol w:w="1440"/>
        <w:gridCol w:w="1458"/>
        <w:gridCol w:w="1459"/>
        <w:gridCol w:w="1270"/>
        <w:gridCol w:w="1588"/>
      </w:tblGrid>
      <w:tr w:rsidR="00045922" w:rsidRPr="001D0C1C" w:rsidTr="00560B16">
        <w:tc>
          <w:tcPr>
            <w:tcW w:w="1697" w:type="dxa"/>
            <w:tcBorders>
              <w:bottom w:val="single" w:sz="4" w:space="0" w:color="7F7F7F"/>
            </w:tcBorders>
            <w:shd w:val="clear" w:color="auto" w:fill="auto"/>
          </w:tcPr>
          <w:p w:rsidR="00045922" w:rsidRPr="001D0C1C" w:rsidRDefault="00045922" w:rsidP="00373797">
            <w:pPr>
              <w:spacing w:line="276" w:lineRule="auto"/>
              <w:jc w:val="both"/>
              <w:rPr>
                <w:rFonts w:ascii="Times New Roman" w:hAnsi="Times New Roman" w:cs="Times New Roman"/>
                <w:b/>
                <w:bCs/>
              </w:rPr>
            </w:pPr>
            <w:r w:rsidRPr="001D0C1C">
              <w:rPr>
                <w:rFonts w:ascii="Times New Roman" w:hAnsi="Times New Roman" w:cs="Times New Roman"/>
                <w:b/>
                <w:bCs/>
              </w:rPr>
              <w:t>Puntuación numérica</w:t>
            </w:r>
          </w:p>
        </w:tc>
        <w:tc>
          <w:tcPr>
            <w:tcW w:w="1478" w:type="dxa"/>
            <w:tcBorders>
              <w:bottom w:val="single" w:sz="4" w:space="0" w:color="7F7F7F"/>
            </w:tcBorders>
            <w:shd w:val="clear" w:color="auto" w:fill="auto"/>
          </w:tcPr>
          <w:p w:rsidR="00045922" w:rsidRPr="001D0C1C" w:rsidRDefault="00045922" w:rsidP="00373797">
            <w:pPr>
              <w:spacing w:line="276" w:lineRule="auto"/>
              <w:jc w:val="both"/>
              <w:rPr>
                <w:rFonts w:ascii="Times New Roman" w:hAnsi="Times New Roman" w:cs="Times New Roman"/>
                <w:b/>
                <w:bCs/>
              </w:rPr>
            </w:pPr>
            <w:r w:rsidRPr="001D0C1C">
              <w:rPr>
                <w:rFonts w:ascii="Times New Roman" w:hAnsi="Times New Roman" w:cs="Times New Roman"/>
                <w:b/>
                <w:bCs/>
              </w:rPr>
              <w:t>5</w:t>
            </w:r>
          </w:p>
        </w:tc>
        <w:tc>
          <w:tcPr>
            <w:tcW w:w="1478" w:type="dxa"/>
            <w:tcBorders>
              <w:bottom w:val="single" w:sz="4" w:space="0" w:color="7F7F7F"/>
            </w:tcBorders>
            <w:shd w:val="clear" w:color="auto" w:fill="auto"/>
          </w:tcPr>
          <w:p w:rsidR="00045922" w:rsidRPr="001D0C1C" w:rsidRDefault="00045922" w:rsidP="00373797">
            <w:pPr>
              <w:spacing w:line="276" w:lineRule="auto"/>
              <w:jc w:val="both"/>
              <w:rPr>
                <w:rFonts w:ascii="Times New Roman" w:hAnsi="Times New Roman" w:cs="Times New Roman"/>
                <w:b/>
                <w:bCs/>
              </w:rPr>
            </w:pPr>
            <w:r w:rsidRPr="001D0C1C">
              <w:rPr>
                <w:rFonts w:ascii="Times New Roman" w:hAnsi="Times New Roman" w:cs="Times New Roman"/>
                <w:b/>
                <w:bCs/>
              </w:rPr>
              <w:t>4</w:t>
            </w:r>
          </w:p>
        </w:tc>
        <w:tc>
          <w:tcPr>
            <w:tcW w:w="1478" w:type="dxa"/>
            <w:tcBorders>
              <w:bottom w:val="single" w:sz="4" w:space="0" w:color="7F7F7F"/>
            </w:tcBorders>
            <w:shd w:val="clear" w:color="auto" w:fill="auto"/>
          </w:tcPr>
          <w:p w:rsidR="00045922" w:rsidRPr="001D0C1C" w:rsidRDefault="00045922" w:rsidP="00373797">
            <w:pPr>
              <w:spacing w:line="276" w:lineRule="auto"/>
              <w:jc w:val="both"/>
              <w:rPr>
                <w:rFonts w:ascii="Times New Roman" w:hAnsi="Times New Roman" w:cs="Times New Roman"/>
                <w:b/>
                <w:bCs/>
              </w:rPr>
            </w:pPr>
            <w:r w:rsidRPr="001D0C1C">
              <w:rPr>
                <w:rFonts w:ascii="Times New Roman" w:hAnsi="Times New Roman" w:cs="Times New Roman"/>
                <w:b/>
                <w:bCs/>
              </w:rPr>
              <w:t>3</w:t>
            </w:r>
          </w:p>
        </w:tc>
        <w:tc>
          <w:tcPr>
            <w:tcW w:w="1478" w:type="dxa"/>
            <w:tcBorders>
              <w:bottom w:val="single" w:sz="4" w:space="0" w:color="7F7F7F"/>
            </w:tcBorders>
            <w:shd w:val="clear" w:color="auto" w:fill="auto"/>
          </w:tcPr>
          <w:p w:rsidR="00045922" w:rsidRPr="001D0C1C" w:rsidRDefault="00045922" w:rsidP="00373797">
            <w:pPr>
              <w:spacing w:line="276" w:lineRule="auto"/>
              <w:jc w:val="both"/>
              <w:rPr>
                <w:rFonts w:ascii="Times New Roman" w:hAnsi="Times New Roman" w:cs="Times New Roman"/>
                <w:b/>
                <w:bCs/>
              </w:rPr>
            </w:pPr>
            <w:r w:rsidRPr="001D0C1C">
              <w:rPr>
                <w:rFonts w:ascii="Times New Roman" w:hAnsi="Times New Roman" w:cs="Times New Roman"/>
                <w:b/>
                <w:bCs/>
              </w:rPr>
              <w:t>2</w:t>
            </w:r>
          </w:p>
        </w:tc>
        <w:tc>
          <w:tcPr>
            <w:tcW w:w="1288" w:type="dxa"/>
            <w:tcBorders>
              <w:bottom w:val="single" w:sz="4" w:space="0" w:color="7F7F7F"/>
            </w:tcBorders>
            <w:shd w:val="clear" w:color="auto" w:fill="auto"/>
          </w:tcPr>
          <w:p w:rsidR="00045922" w:rsidRPr="001D0C1C" w:rsidRDefault="00045922" w:rsidP="00373797">
            <w:pPr>
              <w:spacing w:line="276" w:lineRule="auto"/>
              <w:jc w:val="both"/>
              <w:rPr>
                <w:rFonts w:ascii="Times New Roman" w:hAnsi="Times New Roman" w:cs="Times New Roman"/>
                <w:b/>
                <w:bCs/>
              </w:rPr>
            </w:pPr>
            <w:r w:rsidRPr="001D0C1C">
              <w:rPr>
                <w:rFonts w:ascii="Times New Roman" w:hAnsi="Times New Roman" w:cs="Times New Roman"/>
                <w:b/>
                <w:bCs/>
              </w:rPr>
              <w:t>1</w:t>
            </w:r>
          </w:p>
        </w:tc>
        <w:tc>
          <w:tcPr>
            <w:tcW w:w="1643" w:type="dxa"/>
            <w:tcBorders>
              <w:bottom w:val="single" w:sz="4" w:space="0" w:color="7F7F7F"/>
            </w:tcBorders>
            <w:shd w:val="clear" w:color="auto" w:fill="auto"/>
          </w:tcPr>
          <w:p w:rsidR="00045922" w:rsidRPr="001D0C1C" w:rsidRDefault="00045922" w:rsidP="00373797">
            <w:pPr>
              <w:spacing w:line="276" w:lineRule="auto"/>
              <w:jc w:val="both"/>
              <w:rPr>
                <w:rFonts w:ascii="Times New Roman" w:hAnsi="Times New Roman" w:cs="Times New Roman"/>
                <w:b/>
                <w:bCs/>
              </w:rPr>
            </w:pPr>
            <w:r w:rsidRPr="001D0C1C">
              <w:rPr>
                <w:rFonts w:ascii="Times New Roman" w:hAnsi="Times New Roman" w:cs="Times New Roman"/>
                <w:b/>
                <w:bCs/>
              </w:rPr>
              <w:t>0</w:t>
            </w:r>
          </w:p>
        </w:tc>
      </w:tr>
      <w:tr w:rsidR="00045922" w:rsidRPr="001D0C1C" w:rsidTr="00560B16">
        <w:tc>
          <w:tcPr>
            <w:tcW w:w="1697" w:type="dxa"/>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bCs/>
              </w:rPr>
              <w:t>Puntuación cualitativa</w:t>
            </w:r>
          </w:p>
        </w:tc>
        <w:tc>
          <w:tcPr>
            <w:tcW w:w="1478" w:type="dxa"/>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bCs/>
              </w:rPr>
              <w:t>Normal</w:t>
            </w:r>
          </w:p>
        </w:tc>
        <w:tc>
          <w:tcPr>
            <w:tcW w:w="1478" w:type="dxa"/>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bCs/>
              </w:rPr>
              <w:t>Bueno</w:t>
            </w:r>
          </w:p>
        </w:tc>
        <w:tc>
          <w:tcPr>
            <w:tcW w:w="1478" w:type="dxa"/>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bCs/>
              </w:rPr>
              <w:t>Aceptable</w:t>
            </w:r>
          </w:p>
        </w:tc>
        <w:tc>
          <w:tcPr>
            <w:tcW w:w="1478" w:type="dxa"/>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bCs/>
              </w:rPr>
              <w:t>Deficiente</w:t>
            </w:r>
          </w:p>
        </w:tc>
        <w:tc>
          <w:tcPr>
            <w:tcW w:w="1288" w:type="dxa"/>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bCs/>
              </w:rPr>
              <w:t>Vestigio</w:t>
            </w:r>
          </w:p>
        </w:tc>
        <w:tc>
          <w:tcPr>
            <w:tcW w:w="1643" w:type="dxa"/>
            <w:shd w:val="clear" w:color="auto" w:fill="auto"/>
          </w:tcPr>
          <w:p w:rsidR="00045922" w:rsidRPr="001D0C1C" w:rsidRDefault="00045922" w:rsidP="00373797">
            <w:pPr>
              <w:spacing w:line="276" w:lineRule="auto"/>
              <w:jc w:val="both"/>
              <w:rPr>
                <w:rFonts w:ascii="Times New Roman" w:hAnsi="Times New Roman" w:cs="Times New Roman"/>
              </w:rPr>
            </w:pPr>
            <w:r w:rsidRPr="001D0C1C">
              <w:rPr>
                <w:rFonts w:ascii="Times New Roman" w:hAnsi="Times New Roman" w:cs="Times New Roman"/>
                <w:bCs/>
              </w:rPr>
              <w:t>Nulo</w:t>
            </w:r>
          </w:p>
        </w:tc>
      </w:tr>
    </w:tbl>
    <w:p w:rsidR="00045922" w:rsidRPr="001D0C1C" w:rsidRDefault="00045922" w:rsidP="00373797">
      <w:pPr>
        <w:spacing w:line="276" w:lineRule="auto"/>
        <w:jc w:val="both"/>
        <w:rPr>
          <w:rFonts w:ascii="Times New Roman" w:hAnsi="Times New Roman" w:cs="Times New Roman"/>
          <w:bCs/>
        </w:rPr>
      </w:pPr>
    </w:p>
    <w:p w:rsidR="00045922" w:rsidRPr="001D0C1C" w:rsidRDefault="00724218" w:rsidP="00373797">
      <w:pPr>
        <w:numPr>
          <w:ilvl w:val="0"/>
          <w:numId w:val="1"/>
        </w:numPr>
        <w:spacing w:line="276" w:lineRule="auto"/>
        <w:ind w:left="0" w:firstLine="0"/>
        <w:jc w:val="both"/>
        <w:rPr>
          <w:rFonts w:ascii="Times New Roman" w:hAnsi="Times New Roman" w:cs="Times New Roman"/>
        </w:rPr>
      </w:pPr>
      <w:r w:rsidRPr="001D0C1C">
        <w:rPr>
          <w:rFonts w:ascii="Times New Roman" w:hAnsi="Times New Roman" w:cs="Times New Roman"/>
          <w:b/>
        </w:rPr>
        <w:t xml:space="preserve"> </w:t>
      </w:r>
      <w:r w:rsidR="00045922" w:rsidRPr="001D0C1C">
        <w:rPr>
          <w:rFonts w:ascii="Times New Roman" w:hAnsi="Times New Roman" w:cs="Times New Roman"/>
          <w:b/>
        </w:rPr>
        <w:t>Tiempo de recuperación:</w:t>
      </w:r>
      <w:r w:rsidR="00045922" w:rsidRPr="001D0C1C">
        <w:rPr>
          <w:rFonts w:ascii="Times New Roman" w:hAnsi="Times New Roman" w:cs="Times New Roman"/>
        </w:rPr>
        <w:t xml:space="preserve"> </w:t>
      </w:r>
    </w:p>
    <w:p w:rsidR="00045922" w:rsidRPr="001D0C1C" w:rsidRDefault="00045922" w:rsidP="00373797">
      <w:pPr>
        <w:numPr>
          <w:ilvl w:val="0"/>
          <w:numId w:val="4"/>
        </w:numPr>
        <w:spacing w:line="276" w:lineRule="auto"/>
        <w:ind w:left="0" w:firstLine="0"/>
        <w:jc w:val="both"/>
        <w:rPr>
          <w:rFonts w:ascii="Times New Roman" w:hAnsi="Times New Roman" w:cs="Times New Roman"/>
        </w:rPr>
      </w:pPr>
      <w:r w:rsidRPr="001D0C1C">
        <w:rPr>
          <w:rFonts w:ascii="Times New Roman" w:hAnsi="Times New Roman" w:cs="Times New Roman"/>
        </w:rPr>
        <w:t>Corto: Cuando la recuperación se logre en 7 a 10 días posterior a la rehabilitación.</w:t>
      </w:r>
    </w:p>
    <w:p w:rsidR="00045922" w:rsidRPr="001D0C1C" w:rsidRDefault="00045922" w:rsidP="00373797">
      <w:pPr>
        <w:numPr>
          <w:ilvl w:val="0"/>
          <w:numId w:val="4"/>
        </w:numPr>
        <w:spacing w:line="276" w:lineRule="auto"/>
        <w:ind w:left="0" w:firstLine="0"/>
        <w:jc w:val="both"/>
        <w:rPr>
          <w:rFonts w:ascii="Times New Roman" w:hAnsi="Times New Roman" w:cs="Times New Roman"/>
        </w:rPr>
      </w:pPr>
      <w:r w:rsidRPr="001D0C1C">
        <w:rPr>
          <w:rFonts w:ascii="Times New Roman" w:hAnsi="Times New Roman" w:cs="Times New Roman"/>
        </w:rPr>
        <w:t>Intermedio: Cuando la recuperación se obtenga entre los 11 y 20 días.</w:t>
      </w:r>
    </w:p>
    <w:p w:rsidR="00045922" w:rsidRPr="001D0C1C" w:rsidRDefault="00045922" w:rsidP="00373797">
      <w:pPr>
        <w:numPr>
          <w:ilvl w:val="0"/>
          <w:numId w:val="4"/>
        </w:numPr>
        <w:spacing w:line="276" w:lineRule="auto"/>
        <w:ind w:left="0" w:firstLine="0"/>
        <w:jc w:val="both"/>
        <w:rPr>
          <w:rFonts w:ascii="Times New Roman" w:hAnsi="Times New Roman" w:cs="Times New Roman"/>
        </w:rPr>
      </w:pPr>
      <w:r w:rsidRPr="001D0C1C">
        <w:rPr>
          <w:rFonts w:ascii="Times New Roman" w:hAnsi="Times New Roman" w:cs="Times New Roman"/>
        </w:rPr>
        <w:lastRenderedPageBreak/>
        <w:t>Largo: Cuando exceda los 20 días.</w:t>
      </w:r>
    </w:p>
    <w:p w:rsidR="00045922" w:rsidRPr="001D0C1C" w:rsidRDefault="00045922" w:rsidP="00373797">
      <w:pPr>
        <w:spacing w:line="276" w:lineRule="auto"/>
        <w:jc w:val="both"/>
        <w:rPr>
          <w:rFonts w:ascii="Times New Roman" w:hAnsi="Times New Roman" w:cs="Times New Roman"/>
          <w:b/>
          <w:bCs/>
        </w:rPr>
      </w:pPr>
    </w:p>
    <w:p w:rsidR="00045922" w:rsidRPr="001D0C1C" w:rsidRDefault="00724218" w:rsidP="00373797">
      <w:pPr>
        <w:numPr>
          <w:ilvl w:val="0"/>
          <w:numId w:val="1"/>
        </w:numPr>
        <w:spacing w:line="276" w:lineRule="auto"/>
        <w:ind w:left="0" w:firstLine="0"/>
        <w:jc w:val="both"/>
        <w:rPr>
          <w:rFonts w:ascii="Times New Roman" w:hAnsi="Times New Roman" w:cs="Times New Roman"/>
          <w:b/>
          <w:bCs/>
        </w:rPr>
      </w:pPr>
      <w:r w:rsidRPr="001D0C1C">
        <w:rPr>
          <w:rFonts w:ascii="Times New Roman" w:hAnsi="Times New Roman" w:cs="Times New Roman"/>
          <w:bCs/>
        </w:rPr>
        <w:t xml:space="preserve"> </w:t>
      </w:r>
      <w:r w:rsidRPr="001D0C1C">
        <w:rPr>
          <w:rFonts w:ascii="Times New Roman" w:hAnsi="Times New Roman" w:cs="Times New Roman"/>
          <w:b/>
          <w:bCs/>
        </w:rPr>
        <w:t>Efectividad del TRX</w:t>
      </w:r>
    </w:p>
    <w:p w:rsidR="00045922" w:rsidRPr="001D0C1C" w:rsidRDefault="00045922" w:rsidP="00373797">
      <w:pPr>
        <w:numPr>
          <w:ilvl w:val="0"/>
          <w:numId w:val="3"/>
        </w:numPr>
        <w:spacing w:line="276" w:lineRule="auto"/>
        <w:ind w:left="0" w:firstLine="0"/>
        <w:jc w:val="both"/>
        <w:rPr>
          <w:rFonts w:ascii="Times New Roman" w:hAnsi="Times New Roman" w:cs="Times New Roman"/>
        </w:rPr>
      </w:pPr>
      <w:r w:rsidRPr="001D0C1C">
        <w:rPr>
          <w:rFonts w:ascii="Times New Roman" w:hAnsi="Times New Roman" w:cs="Times New Roman"/>
          <w:b/>
          <w:bCs/>
        </w:rPr>
        <w:t>Efectivo:</w:t>
      </w:r>
      <w:r w:rsidRPr="001D0C1C">
        <w:rPr>
          <w:rFonts w:ascii="Times New Roman" w:hAnsi="Times New Roman" w:cs="Times New Roman"/>
          <w:bCs/>
        </w:rPr>
        <w:t xml:space="preserve"> </w:t>
      </w:r>
      <w:r w:rsidR="00222749" w:rsidRPr="001D0C1C">
        <w:rPr>
          <w:rFonts w:ascii="Times New Roman" w:hAnsi="Times New Roman" w:cs="Times New Roman"/>
          <w:bCs/>
        </w:rPr>
        <w:t>Tiempo de recuperación corto, el</w:t>
      </w:r>
      <w:r w:rsidRPr="001D0C1C">
        <w:rPr>
          <w:rFonts w:ascii="Times New Roman" w:hAnsi="Times New Roman" w:cs="Times New Roman"/>
        </w:rPr>
        <w:t xml:space="preserve"> resultado de la EVA sea dolor ausente o muy leve, recuperación de la amplitud articular sea buena y la recuperación de la </w:t>
      </w:r>
      <w:r w:rsidR="00707BE5" w:rsidRPr="001D0C1C">
        <w:rPr>
          <w:rFonts w:ascii="Times New Roman" w:hAnsi="Times New Roman" w:cs="Times New Roman"/>
        </w:rPr>
        <w:t xml:space="preserve">fuerza muscular </w:t>
      </w:r>
      <w:r w:rsidRPr="001D0C1C">
        <w:rPr>
          <w:rFonts w:ascii="Times New Roman" w:hAnsi="Times New Roman" w:cs="Times New Roman"/>
        </w:rPr>
        <w:t>sea buena o normal</w:t>
      </w:r>
      <w:r w:rsidR="006914D3" w:rsidRPr="001D0C1C">
        <w:rPr>
          <w:rFonts w:ascii="Times New Roman" w:hAnsi="Times New Roman" w:cs="Times New Roman"/>
        </w:rPr>
        <w:t>; cada una de la</w:t>
      </w:r>
      <w:r w:rsidR="00222749" w:rsidRPr="001D0C1C">
        <w:rPr>
          <w:rFonts w:ascii="Times New Roman" w:hAnsi="Times New Roman" w:cs="Times New Roman"/>
        </w:rPr>
        <w:t xml:space="preserve"> calificación de resultado por variables</w:t>
      </w:r>
      <w:r w:rsidRPr="001D0C1C">
        <w:rPr>
          <w:rFonts w:ascii="Times New Roman" w:hAnsi="Times New Roman" w:cs="Times New Roman"/>
        </w:rPr>
        <w:t xml:space="preserve"> </w:t>
      </w:r>
      <w:r w:rsidR="00222749" w:rsidRPr="001D0C1C">
        <w:rPr>
          <w:rFonts w:ascii="Times New Roman" w:hAnsi="Times New Roman" w:cs="Times New Roman"/>
        </w:rPr>
        <w:t>debe estar presente e</w:t>
      </w:r>
      <w:r w:rsidRPr="001D0C1C">
        <w:rPr>
          <w:rFonts w:ascii="Times New Roman" w:hAnsi="Times New Roman" w:cs="Times New Roman"/>
        </w:rPr>
        <w:t>n más del 60 % de los casos estudio.</w:t>
      </w:r>
    </w:p>
    <w:p w:rsidR="00045922" w:rsidRPr="001D0C1C" w:rsidRDefault="00045922" w:rsidP="00373797">
      <w:pPr>
        <w:numPr>
          <w:ilvl w:val="0"/>
          <w:numId w:val="3"/>
        </w:numPr>
        <w:spacing w:line="276" w:lineRule="auto"/>
        <w:ind w:left="0" w:firstLine="0"/>
        <w:jc w:val="both"/>
        <w:rPr>
          <w:rFonts w:ascii="Times New Roman" w:hAnsi="Times New Roman" w:cs="Times New Roman"/>
          <w:bCs/>
        </w:rPr>
      </w:pPr>
      <w:r w:rsidRPr="001D0C1C">
        <w:rPr>
          <w:rFonts w:ascii="Times New Roman" w:hAnsi="Times New Roman" w:cs="Times New Roman"/>
          <w:b/>
          <w:bCs/>
        </w:rPr>
        <w:t>No Efectivo:</w:t>
      </w:r>
      <w:r w:rsidRPr="001D0C1C">
        <w:rPr>
          <w:rFonts w:ascii="Times New Roman" w:hAnsi="Times New Roman" w:cs="Times New Roman"/>
          <w:bCs/>
        </w:rPr>
        <w:t xml:space="preserve"> Cuando los resultados no se correspondan con los anteriores.</w:t>
      </w:r>
    </w:p>
    <w:p w:rsidR="00045E12" w:rsidRPr="001D0C1C" w:rsidRDefault="00045E12" w:rsidP="00373797">
      <w:pPr>
        <w:spacing w:line="276" w:lineRule="auto"/>
        <w:jc w:val="both"/>
        <w:rPr>
          <w:rFonts w:ascii="Times New Roman" w:hAnsi="Times New Roman" w:cs="Times New Roman"/>
        </w:rPr>
      </w:pPr>
    </w:p>
    <w:p w:rsidR="006914D3" w:rsidRPr="001D0C1C" w:rsidRDefault="006C49F6" w:rsidP="00373797">
      <w:pPr>
        <w:pStyle w:val="Ttulo2"/>
        <w:jc w:val="both"/>
      </w:pPr>
      <w:r w:rsidRPr="001D0C1C">
        <w:t xml:space="preserve">Fundamentación de la </w:t>
      </w:r>
      <w:r w:rsidR="006914D3" w:rsidRPr="001D0C1C">
        <w:t>P</w:t>
      </w:r>
      <w:r w:rsidRPr="001D0C1C">
        <w:t>rograma de Ejercicios con TRX</w:t>
      </w:r>
    </w:p>
    <w:p w:rsidR="006914D3" w:rsidRPr="001D0C1C" w:rsidRDefault="006914D3" w:rsidP="00373797">
      <w:pPr>
        <w:spacing w:line="276" w:lineRule="auto"/>
        <w:jc w:val="both"/>
        <w:rPr>
          <w:rFonts w:ascii="Times New Roman" w:hAnsi="Times New Roman" w:cs="Times New Roman"/>
        </w:rPr>
      </w:pPr>
    </w:p>
    <w:p w:rsidR="00045922" w:rsidRPr="001D0C1C" w:rsidRDefault="00564180" w:rsidP="00373797">
      <w:pPr>
        <w:spacing w:line="276" w:lineRule="auto"/>
        <w:jc w:val="both"/>
        <w:rPr>
          <w:rFonts w:ascii="Times New Roman" w:hAnsi="Times New Roman" w:cs="Times New Roman"/>
          <w:bCs/>
        </w:rPr>
      </w:pPr>
      <w:r w:rsidRPr="001D0C1C">
        <w:rPr>
          <w:rFonts w:ascii="Times New Roman" w:hAnsi="Times New Roman" w:cs="Times New Roman"/>
          <w:bCs/>
        </w:rPr>
        <w:t xml:space="preserve">Al menos </w:t>
      </w:r>
      <w:r w:rsidR="00045922" w:rsidRPr="001D0C1C">
        <w:rPr>
          <w:rFonts w:ascii="Times New Roman" w:hAnsi="Times New Roman" w:cs="Times New Roman"/>
          <w:bCs/>
        </w:rPr>
        <w:t xml:space="preserve">2 millones de casos </w:t>
      </w:r>
      <w:r w:rsidRPr="001D0C1C">
        <w:rPr>
          <w:rFonts w:ascii="Times New Roman" w:hAnsi="Times New Roman" w:cs="Times New Roman"/>
          <w:bCs/>
        </w:rPr>
        <w:t xml:space="preserve">son </w:t>
      </w:r>
      <w:r w:rsidR="00045922" w:rsidRPr="001D0C1C">
        <w:rPr>
          <w:rFonts w:ascii="Times New Roman" w:hAnsi="Times New Roman" w:cs="Times New Roman"/>
          <w:bCs/>
        </w:rPr>
        <w:t>informados al año</w:t>
      </w:r>
      <w:r w:rsidRPr="001D0C1C">
        <w:rPr>
          <w:rFonts w:ascii="Times New Roman" w:hAnsi="Times New Roman" w:cs="Times New Roman"/>
          <w:bCs/>
        </w:rPr>
        <w:t xml:space="preserve"> con</w:t>
      </w:r>
      <w:r w:rsidR="00045922" w:rsidRPr="001D0C1C">
        <w:rPr>
          <w:rFonts w:ascii="Times New Roman" w:hAnsi="Times New Roman" w:cs="Times New Roman"/>
          <w:bCs/>
        </w:rPr>
        <w:t xml:space="preserve"> </w:t>
      </w:r>
      <w:r w:rsidRPr="001D0C1C">
        <w:rPr>
          <w:rFonts w:ascii="Times New Roman" w:hAnsi="Times New Roman" w:cs="Times New Roman"/>
          <w:bCs/>
        </w:rPr>
        <w:t>lesiones deportivas en países como Alemania, es decir,</w:t>
      </w:r>
      <w:r w:rsidR="00045922" w:rsidRPr="001D0C1C">
        <w:rPr>
          <w:rFonts w:ascii="Times New Roman" w:hAnsi="Times New Roman" w:cs="Times New Roman"/>
          <w:bCs/>
        </w:rPr>
        <w:t xml:space="preserve"> el 6% de todas las personas que participan en deportes </w:t>
      </w:r>
      <w:r w:rsidR="00045922" w:rsidRPr="001D0C1C">
        <w:rPr>
          <w:rFonts w:ascii="Times New Roman" w:hAnsi="Times New Roman" w:cs="Times New Roman"/>
          <w:bCs/>
        </w:rPr>
        <w:fldChar w:fldCharType="begin" w:fldLock="1"/>
      </w:r>
      <w:r w:rsidR="004D72F6" w:rsidRPr="001D0C1C">
        <w:rPr>
          <w:rFonts w:ascii="Times New Roman" w:hAnsi="Times New Roman" w:cs="Times New Roman"/>
          <w:bCs/>
        </w:rPr>
        <w:instrText>ADDIN CSL_CITATION {"citationItems":[{"id":"ITEM-1","itemData":{"DOI":"10.1016/j.recesp.2021.01.013","ISSN":"03008932","author":[{"dropping-particle":"","family":"Ramos-Vera","given":"Cristian Antony","non-dropping-particle":"","parse-names":false,"suffix":""}],"container-title":"Revista Española de Cardiología","id":"ITEM-1","issue":"7","issued":{"date-parts":[["2021","7"]]},"page":"641-642","title":"El uso del factor Bayes en la investigación clínica de cardiología","type":"article-journal","volume":"74"},"uris":["http://www.mendeley.com/documents/?uuid=a440fd83-97d8-4fc7-bc0f-1fada616fbe9"]}],"mendeley":{"formattedCitation":"&lt;sup&gt;(&lt;sup&gt;6&lt;/sup&gt;)&lt;/sup&gt;","plainTextFormattedCitation":"(6)","previouslyFormattedCitation":"&lt;sup&gt;(&lt;sup&gt;6&lt;/sup&gt;)&lt;/sup&gt;"},"properties":{"noteIndex":0},"schema":"https://github.com/citation-style-language/schema/raw/master/csl-citation.json"}</w:instrText>
      </w:r>
      <w:r w:rsidR="00045922" w:rsidRPr="001D0C1C">
        <w:rPr>
          <w:rFonts w:ascii="Times New Roman" w:hAnsi="Times New Roman" w:cs="Times New Roman"/>
          <w:bCs/>
        </w:rPr>
        <w:fldChar w:fldCharType="separate"/>
      </w:r>
      <w:r w:rsidR="00D961BF" w:rsidRPr="001D0C1C">
        <w:rPr>
          <w:rFonts w:ascii="Times New Roman" w:hAnsi="Times New Roman" w:cs="Times New Roman"/>
          <w:bCs/>
          <w:noProof/>
          <w:vertAlign w:val="superscript"/>
        </w:rPr>
        <w:t>(6)</w:t>
      </w:r>
      <w:r w:rsidR="00045922" w:rsidRPr="001D0C1C">
        <w:rPr>
          <w:rFonts w:ascii="Times New Roman" w:hAnsi="Times New Roman" w:cs="Times New Roman"/>
        </w:rPr>
        <w:fldChar w:fldCharType="end"/>
      </w:r>
      <w:r w:rsidR="00045922" w:rsidRPr="001D0C1C">
        <w:rPr>
          <w:rFonts w:ascii="Times New Roman" w:hAnsi="Times New Roman" w:cs="Times New Roman"/>
          <w:bCs/>
        </w:rPr>
        <w:t>. </w:t>
      </w:r>
      <w:r w:rsidR="00045E12" w:rsidRPr="001D0C1C">
        <w:rPr>
          <w:rFonts w:ascii="Times New Roman" w:hAnsi="Times New Roman" w:cs="Times New Roman"/>
          <w:bCs/>
        </w:rPr>
        <w:t>Ramos-Vera,2021</w:t>
      </w:r>
      <w:r w:rsidR="00045922" w:rsidRPr="001D0C1C">
        <w:rPr>
          <w:rFonts w:ascii="Times New Roman" w:hAnsi="Times New Roman" w:cs="Times New Roman"/>
          <w:bCs/>
        </w:rPr>
        <w:t xml:space="preserve"> </w:t>
      </w:r>
      <w:r w:rsidR="00045922" w:rsidRPr="001D0C1C">
        <w:rPr>
          <w:rFonts w:ascii="Times New Roman" w:hAnsi="Times New Roman" w:cs="Times New Roman"/>
          <w:bCs/>
        </w:rPr>
        <w:fldChar w:fldCharType="begin" w:fldLock="1"/>
      </w:r>
      <w:r w:rsidR="00045E12" w:rsidRPr="001D0C1C">
        <w:rPr>
          <w:rFonts w:ascii="Times New Roman" w:hAnsi="Times New Roman" w:cs="Times New Roman"/>
          <w:bCs/>
        </w:rPr>
        <w:instrText>ADDIN CSL_CITATION {"citationItems":[{"id":"ITEM-1","itemData":{"DOI":"10.1016/j.recesp.2021.01.013","ISSN":"03008932","author":[{"dropping-particle":"","family":"Ramos-Vera","given":"Cristian Antony","non-dropping-particle":"","parse-names":false,"suffix":""}],"container-title":"Revista Española de Cardiología","id":"ITEM-1","issue":"7","issued":{"date-parts":[["2021","7"]]},"page":"641-642","title":"El uso del factor Bayes en la investigación clínica de cardiología","type":"article-journal","volume":"74"},"uris":["http://www.mendeley.com/documents/?uuid=a440fd83-97d8-4fc7-bc0f-1fada616fbe9"]}],"mendeley":{"formattedCitation":"&lt;sup&gt;(&lt;sup&gt;6&lt;/sup&gt;)&lt;/sup&gt;","plainTextFormattedCitation":"(6)","previouslyFormattedCitation":"&lt;sup&gt;(&lt;sup&gt;6&lt;/sup&gt;)&lt;/sup&gt;"},"properties":{"noteIndex":0},"schema":"https://github.com/citation-style-language/schema/raw/master/csl-citation.json"}</w:instrText>
      </w:r>
      <w:r w:rsidR="00045922" w:rsidRPr="001D0C1C">
        <w:rPr>
          <w:rFonts w:ascii="Times New Roman" w:hAnsi="Times New Roman" w:cs="Times New Roman"/>
          <w:bCs/>
        </w:rPr>
        <w:fldChar w:fldCharType="separate"/>
      </w:r>
      <w:r w:rsidR="00D961BF" w:rsidRPr="001D0C1C">
        <w:rPr>
          <w:rFonts w:ascii="Times New Roman" w:hAnsi="Times New Roman" w:cs="Times New Roman"/>
          <w:bCs/>
          <w:noProof/>
          <w:vertAlign w:val="superscript"/>
        </w:rPr>
        <w:t>(6)</w:t>
      </w:r>
      <w:r w:rsidR="00045922" w:rsidRPr="001D0C1C">
        <w:rPr>
          <w:rFonts w:ascii="Times New Roman" w:hAnsi="Times New Roman" w:cs="Times New Roman"/>
        </w:rPr>
        <w:fldChar w:fldCharType="end"/>
      </w:r>
      <w:r w:rsidR="00045922" w:rsidRPr="001D0C1C">
        <w:rPr>
          <w:rFonts w:ascii="Times New Roman" w:hAnsi="Times New Roman" w:cs="Times New Roman"/>
          <w:bCs/>
        </w:rPr>
        <w:t xml:space="preserve"> </w:t>
      </w:r>
      <w:r w:rsidR="00045E12" w:rsidRPr="001D0C1C">
        <w:rPr>
          <w:rFonts w:ascii="Times New Roman" w:hAnsi="Times New Roman" w:cs="Times New Roman"/>
          <w:bCs/>
        </w:rPr>
        <w:t xml:space="preserve">y Henke, 2014 </w:t>
      </w:r>
      <w:r w:rsidR="00045922" w:rsidRPr="001D0C1C">
        <w:rPr>
          <w:rFonts w:ascii="Times New Roman" w:hAnsi="Times New Roman" w:cs="Times New Roman"/>
          <w:bCs/>
        </w:rPr>
        <w:fldChar w:fldCharType="begin" w:fldLock="1"/>
      </w:r>
      <w:r w:rsidR="00045E12" w:rsidRPr="001D0C1C">
        <w:rPr>
          <w:rFonts w:ascii="Times New Roman" w:hAnsi="Times New Roman" w:cs="Times New Roman"/>
          <w:bCs/>
        </w:rPr>
        <w:instrText>ADDIN CSL_CITATION {"citationItems":[{"id":"ITEM-1","itemData":{"DOI":"10.1007/s00103-014-1964-x","ISSN":"1437-1588","PMID":"24863705","abstract":"BACKGROUND Almost one of four Germans is registered in a sports club. Nowadays, sport is acknowledged as an integral component of a healthy lifestyle. Numerous studies provide evidence of the benefits of sports on health. However, about 2 million sports injuries per year diminish the health benefits of sport. OBJECTIVE (a) Description of the epidemiology of sports injuries in German sports club between 1987 and 2012 and (b) identification of focal areas for the development and implementation of prevention measures. METHODS Continuous questionnaire-based injury monitoring of club sports injuries that have been reported to the respective sports insurance. Full survey among selected federal sports associations. RESULTS Since 1987, a sample of 200,884 sports injuries has been established. About two thirds of the injuries are reported in soccer, handball, basketball, and volleyball, although only one third of all sports club members are registered in these team sports. The number of women's soccer injuries has risen from 7.5 to 15.6 %. Ankle injuries have decreased from 28.7 to 16.9 %. By contrast, the rate of knee injuries has increased from 18.4 to 20.3 %. Days of disability have dropped steadily since the 1990s. Inpatient hospital days have decreased from 10 to 5 days, whereas the share of injuries that needed surgery increased from 30 to 40 %. CONCLUSION Team ball sports are still a clear focal area for injury prevention, as participation and injury risk are highest in this group. While the prevention of ankle injuries seems to be headed in the right direction, knee injuries are increasing. As team ball sports become more popular among women, who are more prone to severe knee injuries, prevention programs should be tailored toward the specific situation and needs of the targeted sports participants.","author":[{"dropping-particle":"","family":"Henke","given":"T","non-dropping-particle":"","parse-names":false,"suffix":""},{"dropping-particle":"","family":"Luig","given":"P","non-dropping-particle":"","parse-names":false,"suffix":""},{"dropping-particle":"","family":"Schulz","given":"D","non-dropping-particle":"","parse-names":false,"suffix":""}],"container-title":"Bundesgesundheitsblatt, Gesundheitsforschung, Gesundheitsschutz","id":"ITEM-1","issue":"6","issued":{"date-parts":[["2014","6","27"]]},"page":"628-37","title":"Sports injuries in German club sports, Aspects of epidemiology and prevention","type":"article-journal","volume":"57"},"uris":["http://www.mendeley.com/documents/?uuid=4c31a55a-b683-42a4-b71a-0eb4814f79b0"]}],"mendeley":{"formattedCitation":"&lt;sup&gt;(&lt;sup&gt;7&lt;/sup&gt;)&lt;/sup&gt;","plainTextFormattedCitation":"(7)","previouslyFormattedCitation":"&lt;sup&gt;(&lt;sup&gt;7&lt;/sup&gt;)&lt;/sup&gt;"},"properties":{"noteIndex":0},"schema":"https://github.com/citation-style-language/schema/raw/master/csl-citation.json"}</w:instrText>
      </w:r>
      <w:r w:rsidR="00045922" w:rsidRPr="001D0C1C">
        <w:rPr>
          <w:rFonts w:ascii="Times New Roman" w:hAnsi="Times New Roman" w:cs="Times New Roman"/>
          <w:bCs/>
        </w:rPr>
        <w:fldChar w:fldCharType="separate"/>
      </w:r>
      <w:r w:rsidR="00D961BF" w:rsidRPr="001D0C1C">
        <w:rPr>
          <w:rFonts w:ascii="Times New Roman" w:hAnsi="Times New Roman" w:cs="Times New Roman"/>
          <w:bCs/>
          <w:noProof/>
          <w:vertAlign w:val="superscript"/>
        </w:rPr>
        <w:t>(7)</w:t>
      </w:r>
      <w:r w:rsidR="00045922" w:rsidRPr="001D0C1C">
        <w:rPr>
          <w:rFonts w:ascii="Times New Roman" w:hAnsi="Times New Roman" w:cs="Times New Roman"/>
        </w:rPr>
        <w:fldChar w:fldCharType="end"/>
      </w:r>
      <w:r w:rsidR="00045922" w:rsidRPr="001D0C1C">
        <w:rPr>
          <w:rFonts w:ascii="Times New Roman" w:hAnsi="Times New Roman" w:cs="Times New Roman"/>
          <w:bCs/>
        </w:rPr>
        <w:t xml:space="preserve"> </w:t>
      </w:r>
      <w:r w:rsidRPr="001D0C1C">
        <w:rPr>
          <w:rFonts w:ascii="Times New Roman" w:hAnsi="Times New Roman" w:cs="Times New Roman"/>
          <w:bCs/>
        </w:rPr>
        <w:t xml:space="preserve">refieren que </w:t>
      </w:r>
      <w:r w:rsidR="00045922" w:rsidRPr="001D0C1C">
        <w:rPr>
          <w:rFonts w:ascii="Times New Roman" w:hAnsi="Times New Roman" w:cs="Times New Roman"/>
          <w:bCs/>
        </w:rPr>
        <w:t>los deportes de equipo populares, como el fútbol, voleibol y baloncesto, contribuyen a casi dos tercios de todas las lesiones deportivas a escala mundial.</w:t>
      </w:r>
    </w:p>
    <w:p w:rsidR="00045922" w:rsidRPr="001D0C1C" w:rsidRDefault="00045E12" w:rsidP="00373797">
      <w:pPr>
        <w:spacing w:line="276" w:lineRule="auto"/>
        <w:jc w:val="both"/>
        <w:rPr>
          <w:rFonts w:ascii="Times New Roman" w:hAnsi="Times New Roman" w:cs="Times New Roman"/>
          <w:bCs/>
        </w:rPr>
      </w:pPr>
      <w:r w:rsidRPr="001D0C1C">
        <w:rPr>
          <w:rFonts w:ascii="Times New Roman" w:hAnsi="Times New Roman" w:cs="Times New Roman"/>
          <w:bCs/>
          <w:lang w:val="en-US"/>
        </w:rPr>
        <w:t xml:space="preserve">Gong, 2007 </w:t>
      </w:r>
      <w:r w:rsidRPr="001D0C1C">
        <w:rPr>
          <w:rFonts w:ascii="Times New Roman" w:hAnsi="Times New Roman" w:cs="Times New Roman"/>
          <w:bCs/>
        </w:rPr>
        <w:fldChar w:fldCharType="begin" w:fldLock="1"/>
      </w:r>
      <w:r w:rsidRPr="001D0C1C">
        <w:rPr>
          <w:rFonts w:ascii="Times New Roman" w:hAnsi="Times New Roman" w:cs="Times New Roman"/>
          <w:bCs/>
          <w:lang w:val="en-US"/>
        </w:rPr>
        <w:instrText>ADDIN CSL_CITATION {"citationItems":[{"id":"ITEM-1","itemData":{"ISSN":"0964-7058","PMID":"17392130","abstract":"Visceral adipose tissue (VAT) plays a key role in the metabolic syndrome. Easy detection of VAT could be an important tool to increase understanding of the metabolic syndrome. To study the relationship between the area of the inferior part of the perirenal fat (AIPPF) and anthropometric, imaging and cardiovascular risk factors of metabolic syndrome, seventy two subjects with metabolic syndrome were recruited including 44 men and 28 women (age: 26-68 yr). Each subject underwent ultrasound detection of AIPPF, intraabdominal fat thickness and magnetic resonance imaging (MRI) to calculate abdominal VAT (MRI VAT). Anthropometric and cardiovascular risk factors were also evaluated. AIPPF measured by ultrasonography demonstrated excellent reproducibility. Receiver operating characteristic analysis revealed that AIPPF has the best sensitivity for women, specificity for men and accuracy of the various measures to predict visceral obesity (MRI VAT value &gt; or = 110 cm2) for both genders. AIPPF was related to MRI VAT, ultrasound measured intraabdominal fat, waist circumference, the ratio of waist and hip circumferences (of men), body mass index and the main cardiovascular risk factors of metabolic syndrome. Multiple stepwise linear regression analysis suggested that MRI VAT affected AIPPF independent of other investigated obesity indices. This study showed that AIPPF could be applied as an easy and reliable imaging indicator of visceral obesity and cardiovascular risk factors in the metabolic syndrome.","author":[{"dropping-particle":"","family":"Gong","given":"Weikun","non-dropping-particle":"","parse-names":false,"suffix":""},{"dropping-particle":"","family":"Ren","given":"Huilong","non-dropping-particle":"","parse-names":false,"suffix":""},{"dropping-particle":"","family":"Tong","given":"Hongzhang","non-dropping-particle":"","parse-names":false,"suffix":""},{"dropping-particle":"","family":"Shen","given":"Xiaoyin","non-dropping-particle":"","parse-names":false,"suffix":""},{"dropping-particle":"","family":"Luo","given":"Jianping","non-dropping-particle":"","parse-names":false,"suffix":""},{"dropping-particle":"","family":"Chen","given":"Shuting","non-dropping-particle":"","parse-names":false,"suffix":""},{"dropping-particle":"","family":"Lai","given":"Jingbo","non-dropping-particle":"","parse-names":false,"suffix":""},{"dropping-particle":"","family":"Chen","given":"Xinyi","non-dropping-particle":"","parse-names":false,"suffix":""},{"dropping-particle":"","family":"Chen","given":"Hongwei","non-dropping-particle":"","parse-names":false,"suffix":""},{"dropping-particle":"","family":"Yu","given":"Wanjun","non-dropping-particle":"","parse-names":false,"suffix":""}],"container-title":"Asia Pacific journal of clinical nutrition","id":"ITEM-1","issued":{"date-parts":[["2007"]]},"page":"339-45","title":"A comparison of ultrasound and magnetic resonance imaging to assess visceral fat in the metabolic syndrome","type":"article-journal","volume":"16 Suppl 1"},"uris":["http://www.mendeley.com/documents/?uuid=0f5d3dfc-29d2-4ee1-a73c-3ba413ef2568"]}],"mendeley":{"formattedCitation":"&lt;sup&gt;(&lt;sup&gt;8&lt;/sup&gt;)&lt;/sup&gt;","plainTextFormattedCitation":"(8)","previouslyFormattedCitation":"&lt;sup&gt;(&lt;sup&gt;8&lt;/sup&gt;)&lt;/sup&gt;"},"properties":{"noteIndex":0},"schema":"https://github.com/citation-style-language/schema/raw/master/csl-citation.json"}</w:instrText>
      </w:r>
      <w:r w:rsidRPr="001D0C1C">
        <w:rPr>
          <w:rFonts w:ascii="Times New Roman" w:hAnsi="Times New Roman" w:cs="Times New Roman"/>
          <w:bCs/>
        </w:rPr>
        <w:fldChar w:fldCharType="separate"/>
      </w:r>
      <w:r w:rsidRPr="001D0C1C">
        <w:rPr>
          <w:rFonts w:ascii="Times New Roman" w:hAnsi="Times New Roman" w:cs="Times New Roman"/>
          <w:bCs/>
          <w:noProof/>
          <w:vertAlign w:val="superscript"/>
          <w:lang w:val="en-US"/>
        </w:rPr>
        <w:t>(8)</w:t>
      </w:r>
      <w:r w:rsidRPr="001D0C1C">
        <w:rPr>
          <w:rFonts w:ascii="Times New Roman" w:hAnsi="Times New Roman" w:cs="Times New Roman"/>
        </w:rPr>
        <w:fldChar w:fldCharType="end"/>
      </w:r>
      <w:r w:rsidRPr="001D0C1C">
        <w:rPr>
          <w:rFonts w:ascii="Times New Roman" w:hAnsi="Times New Roman" w:cs="Times New Roman"/>
          <w:bCs/>
          <w:lang w:val="en-US"/>
        </w:rPr>
        <w:t xml:space="preserve"> y Emmons, 2011 </w:t>
      </w:r>
      <w:r w:rsidR="00045922" w:rsidRPr="001D0C1C">
        <w:rPr>
          <w:rFonts w:ascii="Times New Roman" w:hAnsi="Times New Roman" w:cs="Times New Roman"/>
          <w:bCs/>
        </w:rPr>
        <w:fldChar w:fldCharType="begin" w:fldLock="1"/>
      </w:r>
      <w:r w:rsidR="00724218" w:rsidRPr="001D0C1C">
        <w:rPr>
          <w:rFonts w:ascii="Times New Roman" w:hAnsi="Times New Roman" w:cs="Times New Roman"/>
          <w:bCs/>
          <w:lang w:val="en-US"/>
        </w:rPr>
        <w:instrText>ADDIN CSL_CITATION {"citationItems":[{"id":"ITEM-1","itemData":{"DOI":"10.1016/j.ultrasmedbio.2011.02.002","ISSN":"1879-291X","PMID":"21439716","abstract":"Ultrasound may be a useful tool to assess abdominal adiposity, but it has not been validated in the spinal cord injury (SCI) population. This study evaluated associations between abdominal ultrasound and other methods to assess adiposity in 24 men with SCI and 20 able-bodied (AB) men. Waist (WC) and hip circumference (HC) and waist-to-hip ratio (WHR) were measured. Trunk (TRK%), android (A%) and waist fat (W%) were determined by dual energy x-ray absorptiometry (DXA); ultrasonography determined abdominal subcutaneous (SF) and visceral fat (VF). The SCI group had greater TRK% (40.0 ± 9.6 vs. 32.0 ± 10.3), W% (47.0 ± 9.7 vs. 40.6 ± 9.4), A% (43.0 ± 9.8 vs. 35.8 ± 10.6) and WHR (0.99 ± 0.1 vs. 0.92 ± 0.06) than the AB group. WC and WHR correlated with VF in the SCI group. These associations suggest that ultrasound may be a useful tool in clinical practice for the measurement of VF in weight loss programs and for the assessment of cardiometabolic disorders.","author":[{"dropping-particle":"","family":"Emmons","given":"Racine R","non-dropping-particle":"","parse-names":false,"suffix":""},{"dropping-particle":"","family":"Garber","given":"Carol Ewing","non-dropping-particle":"","parse-names":false,"suffix":""},{"dropping-particle":"","family":"Cirnigliaro","given":"Christopher M","non-dropping-particle":"","parse-names":false,"suffix":""},{"dropping-particle":"","family":"Kirshblum","given":"Steven C","non-dropping-particle":"","parse-names":false,"suffix":""},{"dropping-particle":"","family":"Spungen","given":"Ann M","non-dropping-particle":"","parse-names":false,"suffix":""},{"dropping-particle":"","family":"Bauman","given":"William A","non-dropping-particle":"","parse-names":false,"suffix":""}],"container-title":"Ultrasound in Medicine &amp; Biology","id":"ITEM-1","issue":"5","issued":{"date-parts":[["2011","5"]]},"page":"734-41","title":"Assessment of measures for abdominal adiposity in persons with spinal cord injury.","type":"article-journal","volume":"37"},"uris":["http://www.mendeley.com/documents/?uuid=bead4015-b594-42db-bd75-301463dade33"]}],"mendeley":{"formattedCitation":"&lt;sup&gt;(&lt;sup&gt;9&lt;/sup&gt;)&lt;/sup&gt;","plainTextFormattedCitation":"(9)","previouslyFormattedCitation":"&lt;sup&gt;(&lt;sup&gt;9&lt;/sup&gt;)&lt;/sup&gt;"},"properties":{"noteIndex":0},"schema":"https://github.com/citation-style-language/schema/raw/master/csl-citation.json"}</w:instrText>
      </w:r>
      <w:r w:rsidR="00045922" w:rsidRPr="001D0C1C">
        <w:rPr>
          <w:rFonts w:ascii="Times New Roman" w:hAnsi="Times New Roman" w:cs="Times New Roman"/>
          <w:bCs/>
        </w:rPr>
        <w:fldChar w:fldCharType="separate"/>
      </w:r>
      <w:r w:rsidRPr="001D0C1C">
        <w:rPr>
          <w:rFonts w:ascii="Times New Roman" w:hAnsi="Times New Roman" w:cs="Times New Roman"/>
          <w:bCs/>
          <w:noProof/>
          <w:vertAlign w:val="superscript"/>
          <w:lang w:val="en-US"/>
        </w:rPr>
        <w:t>(9)</w:t>
      </w:r>
      <w:r w:rsidR="00045922" w:rsidRPr="001D0C1C">
        <w:rPr>
          <w:rFonts w:ascii="Times New Roman" w:hAnsi="Times New Roman" w:cs="Times New Roman"/>
        </w:rPr>
        <w:fldChar w:fldCharType="end"/>
      </w:r>
      <w:r w:rsidR="00045922" w:rsidRPr="001D0C1C">
        <w:rPr>
          <w:rFonts w:ascii="Times New Roman" w:hAnsi="Times New Roman" w:cs="Times New Roman"/>
          <w:bCs/>
          <w:lang w:val="en-US"/>
        </w:rPr>
        <w:t xml:space="preserve"> </w:t>
      </w:r>
      <w:r w:rsidR="00564180" w:rsidRPr="001D0C1C">
        <w:rPr>
          <w:rFonts w:ascii="Times New Roman" w:hAnsi="Times New Roman" w:cs="Times New Roman"/>
          <w:bCs/>
          <w:lang w:val="en-US"/>
        </w:rPr>
        <w:t>reseñan</w:t>
      </w:r>
      <w:r w:rsidR="00045922" w:rsidRPr="001D0C1C">
        <w:rPr>
          <w:rFonts w:ascii="Times New Roman" w:hAnsi="Times New Roman" w:cs="Times New Roman"/>
          <w:bCs/>
          <w:lang w:val="en-US"/>
        </w:rPr>
        <w:t xml:space="preserve"> que </w:t>
      </w:r>
      <w:r w:rsidRPr="001D0C1C">
        <w:rPr>
          <w:rFonts w:ascii="Times New Roman" w:hAnsi="Times New Roman" w:cs="Times New Roman"/>
          <w:bCs/>
          <w:lang w:val="en-US"/>
        </w:rPr>
        <w:t xml:space="preserve">en </w:t>
      </w:r>
      <w:r w:rsidR="00045922" w:rsidRPr="001D0C1C">
        <w:rPr>
          <w:rFonts w:ascii="Times New Roman" w:hAnsi="Times New Roman" w:cs="Times New Roman"/>
          <w:bCs/>
          <w:lang w:val="en-US"/>
        </w:rPr>
        <w:t xml:space="preserve">el deporte de alto rendimiento, las lesiones más frecuentes son las distensiones ligamentarias y musculares en las extremidades inferiores, con o sin contacto con el jugador </w:t>
      </w:r>
      <w:r w:rsidR="00045922" w:rsidRPr="001D0C1C">
        <w:rPr>
          <w:rFonts w:ascii="Times New Roman" w:hAnsi="Times New Roman" w:cs="Times New Roman"/>
          <w:bCs/>
        </w:rPr>
        <w:fldChar w:fldCharType="begin" w:fldLock="1"/>
      </w:r>
      <w:r w:rsidR="004D72F6" w:rsidRPr="001D0C1C">
        <w:rPr>
          <w:rFonts w:ascii="Times New Roman" w:hAnsi="Times New Roman" w:cs="Times New Roman"/>
          <w:bCs/>
          <w:lang w:val="en-US"/>
        </w:rPr>
        <w:instrText>ADDIN CSL_CITATION {"citationItems":[{"id":"ITEM-1","itemData":{"DOI":"10.1177/0363546511411700","ISSN":"1552-3365","PMID":"21709023","abstract":"BACKGROUND Little is known about the injury rates in Major League Baseball (MLB) players, as a formal injury surveillance system does not exist. The goal of this study was to characterize the epidemiology of MLB injuries over a 7-year period. HYPOTHESIS Injuries in MLB would be common. STUDY DESIGN Descriptive epidemiologic study. METHODS The authors analyzed the MLB disabled list data from 2002 through 2008. Injuries were analyzed for differences between seasons, as well as during seasons on a monthly basis. The injuries were categorized by major anatomic zones and then further stratified based on injury type. Position-specific subanalyses for pitcher and position players were performed. RESULTS From the 2002 season through the 2008 season, an average of 438.9 players per year were placed on the disabled list, for a rate of 3.61 per 1000 athlete-exposures. There was a significant 37% increase in injuries between 2005 and 2008. The highest injury rate during the season was during the month of April (5.73/1000 exposures) and the lowest in September (0.54/1000 exposures). No differences were noted in the injury rates between the National Leagu</w:instrText>
      </w:r>
      <w:r w:rsidR="004D72F6" w:rsidRPr="001D0C1C">
        <w:rPr>
          <w:rFonts w:ascii="Times New Roman" w:hAnsi="Times New Roman" w:cs="Times New Roman"/>
          <w:bCs/>
        </w:rPr>
        <w:instrText>e and the American League (incidence rate ratio [IRR] = 1.06; 95% confidence interval [CI] = 0.98, 1.15). Pitchers experienced 34% higher incidence rates for injury compared with fielders during the study period (IRR = 1.34; 95% CI = 1.25, 1.44). Among all player injuries, upper extremity injuries accounted for 51.4% while lower extremity injuries accounted for 30.6%. Injuries to the spine and core musculature accounted for 11.7% while other injuries and illnesses were 6.3% of the total disabled list entries. There was a significant association between position played and anatomic region injured (P &lt; .001), with pitchers experiencing a significantly greater proportion of injuries to the upper extremity (67.0%; 95% CI = 63.1%, 70.9%) compared with fielders (32.1%; 95% CI = 29.1%, 35.1%). Conversely, fielders experienced a significantly greater proportion of injuries to the lower extremity (47.5%; 95% CI = 43.8%, 51.1%) compared with pitchers (16.9%; 95% CI = 14.9%, 18.8%). The mean number of days on the disabled list was 56.6. Overall, a greater proportion of disability days were experienced by pitchers (62.4%; 95% CI = 62.0%, 62.8%; P &lt; .001) compared with fielders (37.6%; 95% CI = 37.3%, 37.9%). CONCLUSION Injuries in MLB resulting in disabled list designation are common. Upper extremity injuries were predominant in…","author":[{"dropping-particle":"","family":"Posner","given":"Matthew","non-dropping-particle":"","parse-names":false,"suffix":""},{"dropping-particle":"","family":"Cameron","given":"Kenneth L","non-dropping-particle":"","parse-names":false,"suffix":""},{"dropping-particle":"","family":"Wolf","given":"Jennifer Moriatis","non-dropping-particle":"","parse-names":false,"suffix":""},{"dropping-particle":"","family":"Belmont","given":"Philip J","non-dropping-particle":"","parse-names":false,"suffix":""},{"dropping-particle":"","family":"Owens","given":"Brett D","non-dropping-particle":"","parse-names":false,"suffix":""}],"container-title":"The American journal of sports medicine","id":"ITEM-1","issue":"8","issued":{"date-parts":[["2011","8"]]},"page":"1676-80","title":"Epidemiology of Major League Baseball injuries.","type":"article-journal","volume":"39"},"uris":["http://www.mendeley.com/documents/?uuid=4a8b1f5d-17cf-4cb7-8413-d686c8eb5e77"]}],"mendeley":{"formattedCitation":"&lt;sup&gt;(&lt;sup&gt;10&lt;/sup&gt;)&lt;/sup&gt;","plainTextFormattedCitation":"(10)","previouslyFormattedCitation":"&lt;sup&gt;(&lt;sup&gt;10&lt;/sup&gt;)&lt;/sup&gt;"},"properties":{"noteIndex":0},"schema":"https://github.com/citation-style-language/schema/raw/master/csl-citation.json"}</w:instrText>
      </w:r>
      <w:r w:rsidR="00045922" w:rsidRPr="001D0C1C">
        <w:rPr>
          <w:rFonts w:ascii="Times New Roman" w:hAnsi="Times New Roman" w:cs="Times New Roman"/>
          <w:bCs/>
        </w:rPr>
        <w:fldChar w:fldCharType="separate"/>
      </w:r>
      <w:r w:rsidR="00D961BF" w:rsidRPr="001D0C1C">
        <w:rPr>
          <w:rFonts w:ascii="Times New Roman" w:hAnsi="Times New Roman" w:cs="Times New Roman"/>
          <w:bCs/>
          <w:noProof/>
          <w:vertAlign w:val="superscript"/>
        </w:rPr>
        <w:t>(10)</w:t>
      </w:r>
      <w:r w:rsidR="00045922" w:rsidRPr="001D0C1C">
        <w:rPr>
          <w:rFonts w:ascii="Times New Roman" w:hAnsi="Times New Roman" w:cs="Times New Roman"/>
        </w:rPr>
        <w:fldChar w:fldCharType="end"/>
      </w:r>
      <w:r w:rsidR="00045922" w:rsidRPr="001D0C1C">
        <w:rPr>
          <w:rFonts w:ascii="Times New Roman" w:hAnsi="Times New Roman" w:cs="Times New Roman"/>
          <w:bCs/>
        </w:rPr>
        <w:t>. Con estos problemas evidentes, la comprensión y el manejo del riesgo de lesiones se v</w:t>
      </w:r>
      <w:r w:rsidR="00E47D6F" w:rsidRPr="001D0C1C">
        <w:rPr>
          <w:rFonts w:ascii="Times New Roman" w:hAnsi="Times New Roman" w:cs="Times New Roman"/>
          <w:bCs/>
        </w:rPr>
        <w:t>uelve</w:t>
      </w:r>
      <w:r w:rsidR="00045922" w:rsidRPr="001D0C1C">
        <w:rPr>
          <w:rFonts w:ascii="Times New Roman" w:hAnsi="Times New Roman" w:cs="Times New Roman"/>
          <w:bCs/>
        </w:rPr>
        <w:t xml:space="preserve"> más necesarios y se está abordando mediante el uso de programas de prevención de lesiones</w:t>
      </w:r>
      <w:r w:rsidR="00E47D6F" w:rsidRPr="001D0C1C">
        <w:rPr>
          <w:rFonts w:ascii="Times New Roman" w:hAnsi="Times New Roman" w:cs="Times New Roman"/>
          <w:bCs/>
        </w:rPr>
        <w:t xml:space="preserve"> </w:t>
      </w:r>
      <w:r w:rsidR="00E47D6F" w:rsidRPr="001D0C1C">
        <w:rPr>
          <w:rFonts w:ascii="Times New Roman" w:hAnsi="Times New Roman" w:cs="Times New Roman"/>
          <w:bCs/>
        </w:rPr>
        <w:fldChar w:fldCharType="begin" w:fldLock="1"/>
      </w:r>
      <w:r w:rsidR="00E47D6F" w:rsidRPr="001D0C1C">
        <w:rPr>
          <w:rFonts w:ascii="Times New Roman" w:hAnsi="Times New Roman" w:cs="Times New Roman"/>
          <w:bCs/>
        </w:rPr>
        <w:instrText>ADDIN CSL_CITATION {"citationItems":[{"id":"ITEM-1","itemData":{"DOI":"10.1136/bjsm.2005.022889","ISSN":"0306-3674","PMID":"16556789","abstract":"OBJECTIVE To generate national representative data on the incidence, diagnosis, severity, and nature of medically treated sports injuries and to identify high risk groups. METHODS The first national health survey for the Federal Republic of Germany, conducted in the format of a standardised, written, cross sectional survey in the period October 1997 to March 1999, gathered data on the incidence of accident and injury and information on social demographics, injury related disability/time off work, and injury location/setting. The net sample comprised 7124 people aged 18-79. RESULTS 3.1% of adult Germans said they sustained a sports injury during the previous year, corresponding to an annual injury rate of 5.6% among those engaging in regular recreational physical activity and ranking sports injuries as the second most common type of accident. About 62% of all sports injuries result in time taken off work. The period of occupational disability is 14 days or less in around two thirds of these cases. The occupational disability rate after occupational and traffic accidents is much higher by comparison. Dislocations, distortions, and/or torn ligaments make up 60% of all sports injuries, followed by fractures (18%), contusions, surface wounds, or open wounds (12%). Three out of four sports injury casualties are male. The incidence declines noticeably in higher age groups. CONCLUSIONS Future injury prevention measures should focus on the high risk group of young male recreational athletes. The data indicate that the fear of damage to health and injury, believed to be significant internal psychological barriers to participation in sports, is largely unwarranted for the female population and/or older age groups. Sporting injuries are a marginal phenomenon among the female population and mobile seniors actively engaged in sports.","author":[{"dropping-particle":"","family":"Schneider","given":"S","non-dropping-particle":"","parse-names":false,"suffix":""}],"container-title":"British Journal of Sports Medicine","id":"ITEM-1","issue":"4","issued":{"date-parts":[["2006","4","1"]]},"page":"334-339","title":"Sports injuries: population based representative data on incidence, diagnosis, sequelae, and high risk groups * Commentary","type":"article-journal","volume":"40"},"uris":["http://www.mendeley.com/documents/?uuid=76a5eceb-898b-4961-9e39-921ab68c424f"]}],"mendeley":{"formattedCitation":"&lt;sup&gt;(&lt;sup&gt;11&lt;/sup&gt;)&lt;/sup&gt;","plainTextFormattedCitation":"(11)","previouslyFormattedCitation":"&lt;sup&gt;(&lt;sup&gt;11&lt;/sup&gt;)&lt;/sup&gt;"},"properties":{"noteIndex":0},"schema":"https://github.com/citation-style-language/schema/raw/master/csl-citation.json"}</w:instrText>
      </w:r>
      <w:r w:rsidR="00E47D6F" w:rsidRPr="001D0C1C">
        <w:rPr>
          <w:rFonts w:ascii="Times New Roman" w:hAnsi="Times New Roman" w:cs="Times New Roman"/>
          <w:bCs/>
        </w:rPr>
        <w:fldChar w:fldCharType="separate"/>
      </w:r>
      <w:r w:rsidR="00E47D6F" w:rsidRPr="001D0C1C">
        <w:rPr>
          <w:rFonts w:ascii="Times New Roman" w:hAnsi="Times New Roman" w:cs="Times New Roman"/>
          <w:bCs/>
          <w:noProof/>
          <w:vertAlign w:val="superscript"/>
        </w:rPr>
        <w:t>(11)</w:t>
      </w:r>
      <w:r w:rsidR="00E47D6F" w:rsidRPr="001D0C1C">
        <w:rPr>
          <w:rFonts w:ascii="Times New Roman" w:hAnsi="Times New Roman" w:cs="Times New Roman"/>
        </w:rPr>
        <w:fldChar w:fldCharType="end"/>
      </w:r>
      <w:r w:rsidR="00045922" w:rsidRPr="001D0C1C">
        <w:rPr>
          <w:rFonts w:ascii="Times New Roman" w:hAnsi="Times New Roman" w:cs="Times New Roman"/>
          <w:bCs/>
        </w:rPr>
        <w:t>.</w:t>
      </w:r>
    </w:p>
    <w:p w:rsidR="00045922" w:rsidRPr="001D0C1C" w:rsidRDefault="00045922" w:rsidP="00373797">
      <w:pPr>
        <w:spacing w:line="276" w:lineRule="auto"/>
        <w:jc w:val="both"/>
        <w:rPr>
          <w:rFonts w:ascii="Times New Roman" w:hAnsi="Times New Roman" w:cs="Times New Roman"/>
          <w:bCs/>
        </w:rPr>
      </w:pPr>
      <w:r w:rsidRPr="001D0C1C">
        <w:rPr>
          <w:rFonts w:ascii="Times New Roman" w:hAnsi="Times New Roman" w:cs="Times New Roman"/>
          <w:bCs/>
        </w:rPr>
        <w:t xml:space="preserve">Las lesiones producidas en las articulaciones del hombro y la rodilla son de las más frecuentes, a causa del sometimiento regular de fuerzas y carga que se generan en los entrenamientos de lata competición. La aparición de las lesiones dependerá de algunos factores </w:t>
      </w:r>
      <w:r w:rsidR="00184655" w:rsidRPr="001D0C1C">
        <w:rPr>
          <w:rFonts w:ascii="Times New Roman" w:hAnsi="Times New Roman" w:cs="Times New Roman"/>
          <w:bCs/>
        </w:rPr>
        <w:t xml:space="preserve">como la </w:t>
      </w:r>
      <w:r w:rsidRPr="001D0C1C">
        <w:rPr>
          <w:rFonts w:ascii="Times New Roman" w:hAnsi="Times New Roman" w:cs="Times New Roman"/>
          <w:bCs/>
        </w:rPr>
        <w:t>estructura anatómica, tipo de gesto deportivo, edad deportiva e historial traumatismos, estado nutricional, etc. En cuanto al diagnóstico, es un proceso que se realiza minuciosamente, donde también se suman las pruebas ortopédicas y los exámenes imagenológicos, los cuales contribuyen a establecer un tratamiento fisioterapé</w:t>
      </w:r>
      <w:r w:rsidR="00373797">
        <w:rPr>
          <w:rFonts w:ascii="Times New Roman" w:hAnsi="Times New Roman" w:cs="Times New Roman"/>
          <w:bCs/>
        </w:rPr>
        <w:t>utico más preciso, de acuerdo a</w:t>
      </w:r>
      <w:r w:rsidRPr="001D0C1C">
        <w:rPr>
          <w:rFonts w:ascii="Times New Roman" w:hAnsi="Times New Roman" w:cs="Times New Roman"/>
          <w:bCs/>
        </w:rPr>
        <w:t>l tipo y grado de encontrado.</w:t>
      </w:r>
    </w:p>
    <w:p w:rsidR="00724218" w:rsidRPr="001D0C1C" w:rsidRDefault="001D46D7" w:rsidP="00373797">
      <w:pPr>
        <w:spacing w:line="276" w:lineRule="auto"/>
        <w:jc w:val="both"/>
        <w:rPr>
          <w:rFonts w:ascii="Times New Roman" w:hAnsi="Times New Roman" w:cs="Times New Roman"/>
          <w:bCs/>
        </w:rPr>
      </w:pPr>
      <w:r w:rsidRPr="001D0C1C">
        <w:rPr>
          <w:rFonts w:ascii="Times New Roman" w:hAnsi="Times New Roman" w:cs="Times New Roman"/>
          <w:bCs/>
        </w:rPr>
        <w:t xml:space="preserve">Al decir de </w:t>
      </w:r>
      <w:r w:rsidR="0050053F" w:rsidRPr="001D0C1C">
        <w:rPr>
          <w:rFonts w:ascii="Times New Roman" w:hAnsi="Times New Roman" w:cs="Times New Roman"/>
          <w:bCs/>
        </w:rPr>
        <w:t>(Soler</w:t>
      </w:r>
      <w:r w:rsidRPr="001D0C1C">
        <w:rPr>
          <w:rFonts w:ascii="Times New Roman" w:hAnsi="Times New Roman" w:cs="Times New Roman"/>
          <w:bCs/>
        </w:rPr>
        <w:t xml:space="preserve"> </w:t>
      </w:r>
      <w:r w:rsidR="0050053F" w:rsidRPr="001D0C1C">
        <w:rPr>
          <w:rFonts w:ascii="Times New Roman" w:hAnsi="Times New Roman" w:cs="Times New Roman"/>
          <w:bCs/>
        </w:rPr>
        <w:t>et al, 2015)</w:t>
      </w:r>
      <w:r w:rsidRPr="001D0C1C">
        <w:rPr>
          <w:rFonts w:ascii="Times New Roman" w:hAnsi="Times New Roman" w:cs="Times New Roman"/>
          <w:bCs/>
        </w:rPr>
        <w:t xml:space="preserve"> l</w:t>
      </w:r>
      <w:r w:rsidR="00724218" w:rsidRPr="001D0C1C">
        <w:rPr>
          <w:rFonts w:ascii="Times New Roman" w:hAnsi="Times New Roman" w:cs="Times New Roman"/>
          <w:bCs/>
        </w:rPr>
        <w:t xml:space="preserve">os beneficios del entrenamiento en superficies inestables como el que aporta el TRX no sólo se aplican a los atletas de alto rendimiento, sino que también pueden ser utilizados por todos los que buscan un método para mejorar su condición física de forma rápida y segura. Provee flexibilidad y es un excelente complemento para obtener fuerza </w:t>
      </w:r>
      <w:r w:rsidRPr="001D0C1C">
        <w:rPr>
          <w:rFonts w:ascii="Times New Roman" w:hAnsi="Times New Roman" w:cs="Times New Roman"/>
          <w:bCs/>
        </w:rPr>
        <w:t>funcional,</w:t>
      </w:r>
      <w:r w:rsidR="00724218" w:rsidRPr="001D0C1C">
        <w:rPr>
          <w:rFonts w:ascii="Times New Roman" w:hAnsi="Times New Roman" w:cs="Times New Roman"/>
          <w:bCs/>
        </w:rPr>
        <w:t xml:space="preserve"> así como una excelente herramienta para el trabajo de propiocepción. Asimismo, tiene una serie de ventajas respecto al entrenamiento convencional: “Optimiza el tiempo de entrenamiento y disminuye la posibilidad de lesiones. Se adapta a cualquier persona independientemente de su condición física proporcionando un entrenamiento seguro, eficaz, divertido e individualizado. Cuando la persona es deportista, incrementa su rendimiento. Tiene una versatilidad inigualable, es extremadamente portátil en relación a máquinas grandes y muy asequible</w:t>
      </w:r>
      <w:r w:rsidRPr="001D0C1C">
        <w:rPr>
          <w:rFonts w:ascii="Times New Roman" w:hAnsi="Times New Roman" w:cs="Times New Roman"/>
          <w:bCs/>
        </w:rPr>
        <w:t xml:space="preserve">”. </w:t>
      </w:r>
    </w:p>
    <w:p w:rsidR="001D46D7" w:rsidRPr="001D0C1C" w:rsidRDefault="001D46D7" w:rsidP="00373797">
      <w:pPr>
        <w:pStyle w:val="Ttulo2"/>
        <w:jc w:val="both"/>
      </w:pPr>
      <w:r w:rsidRPr="001D0C1C">
        <w:t>Entrenamiento en suspensión referente al tren superior</w:t>
      </w:r>
    </w:p>
    <w:p w:rsidR="00561406" w:rsidRPr="001D0C1C" w:rsidRDefault="00D65B41" w:rsidP="00373797">
      <w:pPr>
        <w:spacing w:line="276" w:lineRule="auto"/>
        <w:jc w:val="both"/>
        <w:rPr>
          <w:rFonts w:ascii="Times New Roman" w:hAnsi="Times New Roman" w:cs="Times New Roman"/>
          <w:bCs/>
        </w:rPr>
      </w:pPr>
      <w:r w:rsidRPr="001D0C1C">
        <w:rPr>
          <w:rFonts w:ascii="Times New Roman" w:hAnsi="Times New Roman" w:cs="Times New Roman"/>
          <w:bCs/>
        </w:rPr>
        <w:t>(</w:t>
      </w:r>
      <w:r w:rsidR="00561406" w:rsidRPr="001D0C1C">
        <w:rPr>
          <w:rFonts w:ascii="Times New Roman" w:hAnsi="Times New Roman" w:cs="Times New Roman"/>
          <w:bCs/>
        </w:rPr>
        <w:t>Snarr y Esco, 2013</w:t>
      </w:r>
      <w:r w:rsidRPr="001D0C1C">
        <w:rPr>
          <w:rFonts w:ascii="Times New Roman" w:hAnsi="Times New Roman" w:cs="Times New Roman"/>
          <w:bCs/>
        </w:rPr>
        <w:t>)</w:t>
      </w:r>
      <w:r w:rsidR="00561406" w:rsidRPr="001D0C1C">
        <w:rPr>
          <w:rFonts w:ascii="Times New Roman" w:hAnsi="Times New Roman" w:cs="Times New Roman"/>
          <w:bCs/>
        </w:rPr>
        <w:t xml:space="preserve"> fueron los pioneros en plantear la hipótesis de que las flexiones de brazos en suspensión generaban una activación superior de la musculatura en situación estable, tanto </w:t>
      </w:r>
      <w:r w:rsidR="00BB3AA8" w:rsidRPr="001D0C1C">
        <w:rPr>
          <w:rFonts w:ascii="Times New Roman" w:hAnsi="Times New Roman" w:cs="Times New Roman"/>
          <w:bCs/>
        </w:rPr>
        <w:t>de</w:t>
      </w:r>
      <w:r w:rsidR="00561406" w:rsidRPr="001D0C1C">
        <w:rPr>
          <w:rFonts w:ascii="Times New Roman" w:hAnsi="Times New Roman" w:cs="Times New Roman"/>
          <w:bCs/>
        </w:rPr>
        <w:t xml:space="preserve"> los músculos pectoral mayor, deltoides anterior com</w:t>
      </w:r>
      <w:r w:rsidR="00BB3AA8" w:rsidRPr="001D0C1C">
        <w:rPr>
          <w:rFonts w:ascii="Times New Roman" w:hAnsi="Times New Roman" w:cs="Times New Roman"/>
          <w:bCs/>
        </w:rPr>
        <w:t>o el tríceps braquial</w:t>
      </w:r>
      <w:r w:rsidR="00561406" w:rsidRPr="001D0C1C">
        <w:rPr>
          <w:rFonts w:ascii="Times New Roman" w:hAnsi="Times New Roman" w:cs="Times New Roman"/>
          <w:bCs/>
        </w:rPr>
        <w:t>.</w:t>
      </w:r>
      <w:r w:rsidR="00BB3AA8" w:rsidRPr="001D0C1C">
        <w:rPr>
          <w:rFonts w:ascii="Times New Roman" w:hAnsi="Times New Roman" w:cs="Times New Roman"/>
          <w:bCs/>
        </w:rPr>
        <w:t xml:space="preserve"> Continuando con esta premisa </w:t>
      </w:r>
      <w:r w:rsidRPr="001D0C1C">
        <w:rPr>
          <w:rFonts w:ascii="Times New Roman" w:hAnsi="Times New Roman" w:cs="Times New Roman"/>
          <w:bCs/>
        </w:rPr>
        <w:t>(</w:t>
      </w:r>
      <w:r w:rsidR="00BB3AA8" w:rsidRPr="001D0C1C">
        <w:rPr>
          <w:rFonts w:ascii="Times New Roman" w:hAnsi="Times New Roman" w:cs="Times New Roman"/>
          <w:bCs/>
        </w:rPr>
        <w:t>Borreani et al, 2015</w:t>
      </w:r>
      <w:r w:rsidRPr="001D0C1C">
        <w:rPr>
          <w:rFonts w:ascii="Times New Roman" w:hAnsi="Times New Roman" w:cs="Times New Roman"/>
          <w:bCs/>
        </w:rPr>
        <w:t xml:space="preserve">) </w:t>
      </w:r>
      <w:r w:rsidRPr="001D0C1C">
        <w:rPr>
          <w:rFonts w:ascii="Times New Roman" w:hAnsi="Times New Roman" w:cs="Times New Roman"/>
          <w:bCs/>
        </w:rPr>
        <w:fldChar w:fldCharType="begin" w:fldLock="1"/>
      </w:r>
      <w:r w:rsidRPr="001D0C1C">
        <w:rPr>
          <w:rFonts w:ascii="Times New Roman" w:hAnsi="Times New Roman" w:cs="Times New Roman"/>
          <w:bCs/>
        </w:rPr>
        <w:instrText>ADDIN CSL_CITATION {"citationItems":[{"id":"ITEM-1","itemData":{"DOI":"10.1016/j.ptsp.2014.12.004","ISSN":"1466853X","author":[{"dropping-particle":"","family":"Borreani","given":"Sebastien","non-dropping-particle":"","parse-names":false,"suffix":""},{"dropping-particle":"","family":"Calatayud","given":"Joaquin","non-dropping-particle":"","parse-names":false,"suffix":""},{"dropping-particle":"","family":"Colado","given":"Juan C.","non-dropping-particle":"","parse-names":false,"suffix":""},{"dropping-particle":"","family":"Tella","given":"Victor","non-dropping-particle":"","parse-names":false,"suffix":""},{"dropping-particle":"","family":"Moya-Nájera","given":"Diego","non-dropping-particle":"","parse-names":false,"suffix":""},{"dropping-particle":"","family":"Martin","given":"Fernando","non-dropping-particle":"","parse-names":false,"suffix":""},{"dropping-particle":"","family":"Rogers","given":"Michael E.","non-dropping-particle":"","parse-names":false,"suffix":""}],"container-title":"Physical Therapy in Sport","id":"ITEM-1","issue":"3","issued":{"date-parts":[["2015","8"]]},"page":"248-254","title":"Shoulder muscle activation during stable and suspended push-ups at different heights in healthy subjects","type":"article-journal","volume":"16"},"uris":["http://www.mendeley.com/documents/?uuid=913524a6-475e-44ae-acd0-5329eb492f69"]}],"mendeley":{"formattedCitation":"&lt;sup&gt;(&lt;sup&gt;12&lt;/sup&gt;)&lt;/sup&gt;","plainTextFormattedCitation":"(12)","previouslyFormattedCitation":"&lt;sup&gt;(&lt;sup&gt;12&lt;/sup&gt;)&lt;/sup&gt;"},"properties":{"noteIndex":0},"schema":"https://github.com/citation-style-language/schema/raw/master/csl-citation.json"}</w:instrText>
      </w:r>
      <w:r w:rsidRPr="001D0C1C">
        <w:rPr>
          <w:rFonts w:ascii="Times New Roman" w:hAnsi="Times New Roman" w:cs="Times New Roman"/>
          <w:bCs/>
        </w:rPr>
        <w:fldChar w:fldCharType="separate"/>
      </w:r>
      <w:r w:rsidRPr="001D0C1C">
        <w:rPr>
          <w:rFonts w:ascii="Times New Roman" w:hAnsi="Times New Roman" w:cs="Times New Roman"/>
          <w:bCs/>
          <w:noProof/>
          <w:vertAlign w:val="superscript"/>
        </w:rPr>
        <w:t>(12)</w:t>
      </w:r>
      <w:r w:rsidRPr="001D0C1C">
        <w:rPr>
          <w:rFonts w:ascii="Times New Roman" w:hAnsi="Times New Roman" w:cs="Times New Roman"/>
          <w:bCs/>
        </w:rPr>
        <w:fldChar w:fldCharType="end"/>
      </w:r>
      <w:r w:rsidR="00BB3AA8" w:rsidRPr="001D0C1C">
        <w:rPr>
          <w:rFonts w:ascii="Times New Roman" w:hAnsi="Times New Roman" w:cs="Times New Roman"/>
          <w:bCs/>
        </w:rPr>
        <w:t xml:space="preserve"> partieron de la anterior hipótesis, pero incorporaron la activación muscular del trapecio, en flexiones de brazos en cuatro situaciones distintas: suspendidos a 10 y 65 cm del suelo, </w:t>
      </w:r>
      <w:r w:rsidR="00152192" w:rsidRPr="001D0C1C">
        <w:rPr>
          <w:rFonts w:ascii="Times New Roman" w:hAnsi="Times New Roman" w:cs="Times New Roman"/>
          <w:bCs/>
        </w:rPr>
        <w:t>versus la activación</w:t>
      </w:r>
      <w:r w:rsidR="00BB3AA8" w:rsidRPr="001D0C1C">
        <w:rPr>
          <w:rFonts w:ascii="Times New Roman" w:hAnsi="Times New Roman" w:cs="Times New Roman"/>
          <w:bCs/>
        </w:rPr>
        <w:t xml:space="preserve"> </w:t>
      </w:r>
      <w:r w:rsidR="00152192" w:rsidRPr="001D0C1C">
        <w:rPr>
          <w:rFonts w:ascii="Times New Roman" w:hAnsi="Times New Roman" w:cs="Times New Roman"/>
          <w:bCs/>
        </w:rPr>
        <w:t xml:space="preserve">con situación estable </w:t>
      </w:r>
      <w:r w:rsidR="00BB3AA8" w:rsidRPr="001D0C1C">
        <w:rPr>
          <w:rFonts w:ascii="Times New Roman" w:hAnsi="Times New Roman" w:cs="Times New Roman"/>
          <w:bCs/>
        </w:rPr>
        <w:t>de igual manera a 10 cm y 65 cm del suelo.</w:t>
      </w:r>
    </w:p>
    <w:p w:rsidR="009D2580" w:rsidRPr="001D0C1C" w:rsidRDefault="008E2BFE" w:rsidP="00373797">
      <w:pPr>
        <w:spacing w:line="276" w:lineRule="auto"/>
        <w:jc w:val="both"/>
        <w:rPr>
          <w:rFonts w:ascii="Times New Roman" w:hAnsi="Times New Roman" w:cs="Times New Roman"/>
          <w:bCs/>
        </w:rPr>
      </w:pPr>
      <w:r w:rsidRPr="001D0C1C">
        <w:rPr>
          <w:rFonts w:ascii="Times New Roman" w:hAnsi="Times New Roman" w:cs="Times New Roman"/>
          <w:bCs/>
        </w:rPr>
        <w:t>(</w:t>
      </w:r>
      <w:r w:rsidR="00152192" w:rsidRPr="001D0C1C">
        <w:rPr>
          <w:rFonts w:ascii="Times New Roman" w:hAnsi="Times New Roman" w:cs="Times New Roman"/>
          <w:bCs/>
        </w:rPr>
        <w:t>Gulmez, 2017</w:t>
      </w:r>
      <w:r w:rsidRPr="001D0C1C">
        <w:rPr>
          <w:rFonts w:ascii="Times New Roman" w:hAnsi="Times New Roman" w:cs="Times New Roman"/>
          <w:bCs/>
        </w:rPr>
        <w:t>)</w:t>
      </w:r>
      <w:r w:rsidR="00D65B41" w:rsidRPr="001D0C1C">
        <w:rPr>
          <w:rFonts w:ascii="Times New Roman" w:hAnsi="Times New Roman" w:cs="Times New Roman"/>
          <w:bCs/>
        </w:rPr>
        <w:t xml:space="preserve"> </w:t>
      </w:r>
      <w:r w:rsidRPr="001D0C1C">
        <w:rPr>
          <w:rFonts w:ascii="Times New Roman" w:hAnsi="Times New Roman" w:cs="Times New Roman"/>
          <w:bCs/>
        </w:rPr>
        <w:fldChar w:fldCharType="begin" w:fldLock="1"/>
      </w:r>
      <w:r w:rsidR="00D65B41" w:rsidRPr="001D0C1C">
        <w:rPr>
          <w:rFonts w:ascii="Times New Roman" w:hAnsi="Times New Roman" w:cs="Times New Roman"/>
          <w:bCs/>
        </w:rPr>
        <w:instrText>ADDIN CSL_CITATION {"citationItems":[{"id":"ITEM-1","itemData":{"DOI":"10.1249/01.MSS.0000385941.71566.aa","ISSN":"0195-9131","author":[{"dropping-particle":"","family":"Dudgeon","given":"Wesley D","non-dropping-particle":"","parse-names":false,"suffix":""},{"dropping-particle":"","family":"Aartun","given":"Johannes","non-dropping-particle":"","parse-names":false,"suffix":""},{"dropping-particle":"","family":"Herrin","given":"Judith","non-dropping-particle":"","parse-names":false,"suffix":""},{"dropping-particle":"","family":"Thomas","given":"David","non-dropping-particle":"","parse-names":false,"suffix":""},{"dropping-particle":"","family":"Scheett","given":"Timothy P","non-dropping-particle":"","parse-names":false,"suffix":""}],"container-title":"Medicine &amp; Science in Sports &amp; Exercise","id":"ITEM-1","issue":"5","issued":{"date-parts":[["2010","5"]]},"page":"695-696","publisher":"LWW","title":"Metabolic Responses During and Following a Suspension Training Workout","type":"article-journal","volume":"42"},"uris":["http://www.mendeley.com/documents/?uuid=50d9f3ed-f77d-4618-bb8e-a5419a5faeee"]}],"mendeley":{"formattedCitation":"&lt;sup&gt;(&lt;sup&gt;13&lt;/sup&gt;)&lt;/sup&gt;","plainTextFormattedCitation":"(13)","previouslyFormattedCitation":"&lt;sup&gt;(&lt;sup&gt;13&lt;/sup&gt;)&lt;/sup&gt;"},"properties":{"noteIndex":0},"schema":"https://github.com/citation-style-language/schema/raw/master/csl-citation.json"}</w:instrText>
      </w:r>
      <w:r w:rsidRPr="001D0C1C">
        <w:rPr>
          <w:rFonts w:ascii="Times New Roman" w:hAnsi="Times New Roman" w:cs="Times New Roman"/>
          <w:bCs/>
        </w:rPr>
        <w:fldChar w:fldCharType="separate"/>
      </w:r>
      <w:r w:rsidR="00D65B41" w:rsidRPr="001D0C1C">
        <w:rPr>
          <w:rFonts w:ascii="Times New Roman" w:hAnsi="Times New Roman" w:cs="Times New Roman"/>
          <w:bCs/>
          <w:noProof/>
          <w:vertAlign w:val="superscript"/>
        </w:rPr>
        <w:t>(13)</w:t>
      </w:r>
      <w:r w:rsidRPr="001D0C1C">
        <w:rPr>
          <w:rFonts w:ascii="Times New Roman" w:hAnsi="Times New Roman" w:cs="Times New Roman"/>
          <w:bCs/>
        </w:rPr>
        <w:fldChar w:fldCharType="end"/>
      </w:r>
      <w:r w:rsidR="0050053F" w:rsidRPr="001D0C1C">
        <w:rPr>
          <w:rFonts w:ascii="Times New Roman" w:hAnsi="Times New Roman" w:cs="Times New Roman"/>
          <w:bCs/>
        </w:rPr>
        <w:t xml:space="preserve"> realizó una </w:t>
      </w:r>
      <w:r w:rsidR="00152192" w:rsidRPr="001D0C1C">
        <w:rPr>
          <w:rFonts w:ascii="Times New Roman" w:hAnsi="Times New Roman" w:cs="Times New Roman"/>
          <w:bCs/>
        </w:rPr>
        <w:t>investigación con el objetivo de determinar y comparar la cantidad de cargas en las correas del TRX y las fuerzas de reacción en el apoyo en el suelo en cuatro ángulos diferentes durante el ejercicio de flexiones en suspensión (0</w:t>
      </w:r>
      <w:r w:rsidR="009D2580" w:rsidRPr="001D0C1C">
        <w:rPr>
          <w:rFonts w:ascii="Times New Roman" w:hAnsi="Times New Roman" w:cs="Times New Roman"/>
          <w:bCs/>
        </w:rPr>
        <w:t>º, 15º, 30º y 45º)</w:t>
      </w:r>
      <w:r w:rsidR="00152192" w:rsidRPr="001D0C1C">
        <w:rPr>
          <w:rFonts w:ascii="Times New Roman" w:hAnsi="Times New Roman" w:cs="Times New Roman"/>
          <w:bCs/>
        </w:rPr>
        <w:t>.</w:t>
      </w:r>
      <w:r w:rsidR="009D2580" w:rsidRPr="001D0C1C">
        <w:rPr>
          <w:rFonts w:ascii="Times New Roman" w:hAnsi="Times New Roman" w:cs="Times New Roman"/>
          <w:bCs/>
        </w:rPr>
        <w:t xml:space="preserve"> </w:t>
      </w:r>
      <w:r w:rsidR="00152192" w:rsidRPr="001D0C1C">
        <w:rPr>
          <w:rFonts w:ascii="Times New Roman" w:hAnsi="Times New Roman" w:cs="Times New Roman"/>
          <w:bCs/>
        </w:rPr>
        <w:t xml:space="preserve">Los resultados muestran que cuando el ángulo del TRX fue reducido, la carga aplicada a las correas TRX aumentó y simultáneamente disminuyó la carga medida por la plataforma de fuerza. </w:t>
      </w:r>
      <w:r w:rsidR="00152192" w:rsidRPr="001D0C1C">
        <w:rPr>
          <w:rFonts w:ascii="Times New Roman" w:hAnsi="Times New Roman" w:cs="Times New Roman"/>
          <w:bCs/>
        </w:rPr>
        <w:lastRenderedPageBreak/>
        <w:t>Igual que ocurría para el cambio de articulación del codo de la extensión a la flexión. Cuan</w:t>
      </w:r>
      <w:r w:rsidR="009D2580" w:rsidRPr="001D0C1C">
        <w:rPr>
          <w:rFonts w:ascii="Times New Roman" w:hAnsi="Times New Roman" w:cs="Times New Roman"/>
          <w:bCs/>
        </w:rPr>
        <w:t xml:space="preserve">do el ángulo de TRX se fijó en </w:t>
      </w:r>
      <w:r w:rsidR="00152192" w:rsidRPr="001D0C1C">
        <w:rPr>
          <w:rFonts w:ascii="Times New Roman" w:hAnsi="Times New Roman" w:cs="Times New Roman"/>
          <w:bCs/>
        </w:rPr>
        <w:t>0º y los codos de los sujetos estaban en extensión durante el empuje de TRX, se aplicaba el 50,4% del peso corporal de los sujetos en las correas y cuan</w:t>
      </w:r>
      <w:r w:rsidR="00D65B41" w:rsidRPr="001D0C1C">
        <w:rPr>
          <w:rFonts w:ascii="Times New Roman" w:hAnsi="Times New Roman" w:cs="Times New Roman"/>
          <w:bCs/>
        </w:rPr>
        <w:t>do los codos estaban en flexión</w:t>
      </w:r>
      <w:r w:rsidR="00152192" w:rsidRPr="001D0C1C">
        <w:rPr>
          <w:rFonts w:ascii="Times New Roman" w:hAnsi="Times New Roman" w:cs="Times New Roman"/>
          <w:bCs/>
        </w:rPr>
        <w:t xml:space="preserve"> el 75,3%</w:t>
      </w:r>
      <w:r w:rsidR="009D2580" w:rsidRPr="001D0C1C">
        <w:rPr>
          <w:rFonts w:ascii="Times New Roman" w:hAnsi="Times New Roman" w:cs="Times New Roman"/>
          <w:bCs/>
        </w:rPr>
        <w:t xml:space="preserve"> del peso corporal</w:t>
      </w:r>
      <w:r w:rsidR="00152192" w:rsidRPr="001D0C1C">
        <w:rPr>
          <w:rFonts w:ascii="Times New Roman" w:hAnsi="Times New Roman" w:cs="Times New Roman"/>
          <w:bCs/>
        </w:rPr>
        <w:t>.</w:t>
      </w:r>
    </w:p>
    <w:p w:rsidR="00152192" w:rsidRPr="001D0C1C" w:rsidRDefault="00152192" w:rsidP="00373797">
      <w:pPr>
        <w:spacing w:line="276" w:lineRule="auto"/>
        <w:jc w:val="both"/>
        <w:rPr>
          <w:rFonts w:ascii="Times New Roman" w:hAnsi="Times New Roman" w:cs="Times New Roman"/>
          <w:bCs/>
        </w:rPr>
      </w:pPr>
      <w:r w:rsidRPr="001D0C1C">
        <w:rPr>
          <w:rFonts w:ascii="Times New Roman" w:hAnsi="Times New Roman" w:cs="Times New Roman"/>
          <w:bCs/>
        </w:rPr>
        <w:t>Los resultados de</w:t>
      </w:r>
      <w:r w:rsidR="009D2580" w:rsidRPr="001D0C1C">
        <w:rPr>
          <w:rFonts w:ascii="Times New Roman" w:hAnsi="Times New Roman" w:cs="Times New Roman"/>
          <w:bCs/>
        </w:rPr>
        <w:t>l anterior estudio</w:t>
      </w:r>
      <w:r w:rsidRPr="001D0C1C">
        <w:rPr>
          <w:rFonts w:ascii="Times New Roman" w:hAnsi="Times New Roman" w:cs="Times New Roman"/>
          <w:bCs/>
        </w:rPr>
        <w:t xml:space="preserve"> pueden utilizarse en el cálculo de la carga y el volumen de entrenamiento, </w:t>
      </w:r>
      <w:r w:rsidR="009D2580" w:rsidRPr="001D0C1C">
        <w:rPr>
          <w:rFonts w:ascii="Times New Roman" w:hAnsi="Times New Roman" w:cs="Times New Roman"/>
          <w:bCs/>
        </w:rPr>
        <w:t xml:space="preserve">para </w:t>
      </w:r>
      <w:r w:rsidRPr="001D0C1C">
        <w:rPr>
          <w:rFonts w:ascii="Times New Roman" w:hAnsi="Times New Roman" w:cs="Times New Roman"/>
          <w:bCs/>
        </w:rPr>
        <w:t>la programación de entrenamientos de fuerza resistencia y comparar las adaptaciones que genera con otros tipos de entrenamiento tradicionales.</w:t>
      </w:r>
    </w:p>
    <w:p w:rsidR="00266C63" w:rsidRPr="001D0C1C" w:rsidRDefault="001D0C1C" w:rsidP="00373797">
      <w:pPr>
        <w:pStyle w:val="Ttulo2"/>
        <w:jc w:val="both"/>
      </w:pPr>
      <w:r w:rsidRPr="001D0C1C">
        <w:t xml:space="preserve">Otros aspectos a destacar del entrenamiento en suspensión </w:t>
      </w:r>
    </w:p>
    <w:p w:rsidR="00266C63" w:rsidRPr="001D0C1C" w:rsidRDefault="00266C63" w:rsidP="00373797">
      <w:pPr>
        <w:spacing w:line="276" w:lineRule="auto"/>
        <w:jc w:val="both"/>
        <w:rPr>
          <w:rFonts w:ascii="Times New Roman" w:hAnsi="Times New Roman" w:cs="Times New Roman"/>
          <w:bCs/>
        </w:rPr>
      </w:pPr>
      <w:r w:rsidRPr="001D0C1C">
        <w:rPr>
          <w:rFonts w:ascii="Times New Roman" w:hAnsi="Times New Roman" w:cs="Times New Roman"/>
          <w:bCs/>
        </w:rPr>
        <w:t xml:space="preserve">Mientras el entrenamiento en suspensión se asentaba como herramienta para el trabajo de la fuerza resistencia en propiocepción, </w:t>
      </w:r>
      <w:r w:rsidR="00D65B41" w:rsidRPr="001D0C1C">
        <w:rPr>
          <w:rFonts w:ascii="Times New Roman" w:hAnsi="Times New Roman" w:cs="Times New Roman"/>
          <w:bCs/>
        </w:rPr>
        <w:t>(</w:t>
      </w:r>
      <w:r w:rsidRPr="001D0C1C">
        <w:rPr>
          <w:rFonts w:ascii="Times New Roman" w:hAnsi="Times New Roman" w:cs="Times New Roman"/>
          <w:bCs/>
        </w:rPr>
        <w:t xml:space="preserve">Dudgeon </w:t>
      </w:r>
      <w:r w:rsidR="00213D2E" w:rsidRPr="001D0C1C">
        <w:rPr>
          <w:rFonts w:ascii="Times New Roman" w:hAnsi="Times New Roman" w:cs="Times New Roman"/>
          <w:bCs/>
        </w:rPr>
        <w:t>et al</w:t>
      </w:r>
      <w:r w:rsidR="00D65B41" w:rsidRPr="001D0C1C">
        <w:rPr>
          <w:rFonts w:ascii="Times New Roman" w:hAnsi="Times New Roman" w:cs="Times New Roman"/>
          <w:bCs/>
        </w:rPr>
        <w:t xml:space="preserve">, </w:t>
      </w:r>
      <w:r w:rsidRPr="001D0C1C">
        <w:rPr>
          <w:rFonts w:ascii="Times New Roman" w:hAnsi="Times New Roman" w:cs="Times New Roman"/>
          <w:bCs/>
        </w:rPr>
        <w:t>2010</w:t>
      </w:r>
      <w:r w:rsidR="00D65B41" w:rsidRPr="001D0C1C">
        <w:rPr>
          <w:rFonts w:ascii="Times New Roman" w:hAnsi="Times New Roman" w:cs="Times New Roman"/>
          <w:bCs/>
        </w:rPr>
        <w:t>;</w:t>
      </w:r>
      <w:r w:rsidRPr="001D0C1C">
        <w:rPr>
          <w:rFonts w:ascii="Times New Roman" w:hAnsi="Times New Roman" w:cs="Times New Roman"/>
          <w:bCs/>
        </w:rPr>
        <w:t xml:space="preserve"> 2011)</w:t>
      </w:r>
      <w:r w:rsidR="00F66193" w:rsidRPr="001D0C1C">
        <w:rPr>
          <w:rFonts w:ascii="Times New Roman" w:hAnsi="Times New Roman" w:cs="Times New Roman"/>
          <w:bCs/>
        </w:rPr>
        <w:t xml:space="preserve"> </w:t>
      </w:r>
      <w:r w:rsidR="00D65B41" w:rsidRPr="001D0C1C">
        <w:rPr>
          <w:rFonts w:ascii="Times New Roman" w:hAnsi="Times New Roman" w:cs="Times New Roman"/>
          <w:bCs/>
        </w:rPr>
        <w:fldChar w:fldCharType="begin" w:fldLock="1"/>
      </w:r>
      <w:r w:rsidR="00F66193" w:rsidRPr="001D0C1C">
        <w:rPr>
          <w:rFonts w:ascii="Times New Roman" w:hAnsi="Times New Roman" w:cs="Times New Roman"/>
          <w:bCs/>
        </w:rPr>
        <w:instrText>ADDIN CSL_CITATION {"citationItems":[{"id":"ITEM-1","itemData":{"DOI":"10.1249/01.MSS.0000385941.71566.aa","ISSN":"0195-9131","author":[{"dropping-particle":"","family":"Dudgeon","given":"Wesley D","non-dropping-particle":"","parse-names":false,"suffix":""},{"dropping-particle":"","family":"Aartun","given":"Johannes","non-dropping-particle":"","parse-names":false,"suffix":""},{"dropping-particle":"","family":"Herrin","given":"Judith","non-dropping-particle":"","parse-names":false,"suffix":""},{"dropping-particle":"","family":"Thomas","given":"David","non-dropping-particle":"","parse-names":false,"suffix":""},{"dropping-particle":"","family":"Scheett","given":"Timothy P","non-dropping-particle":"","parse-names":false,"suffix":""}],"container-title":"Medicine &amp; Science in Sports &amp; Exercise","id":"ITEM-1","issue":"5","issued":{"date-parts":[["2010","5"]]},"page":"695-696","publisher":"LWW","title":"Metabolic Responses During and Following a Suspension Training Workout","type":"article-journal","volume":"42"},"uris":["http://www.mendeley.com/documents/?uuid=50d9f3ed-f77d-4618-bb8e-a5419a5faeee"]},{"id":"ITEM-2","itemData":{"DOI":"10.1097/01.JSC.0000395677.91938.83","ISSN":"1064-8011","author":[{"dropping-particle":"","family":"Dudgeon","given":"W D","non-dropping-particle":"","parse-names":false,"suffix":""},{"dropping-particle":"","family":"Aartun","given":"J D","non-dropping-particle":"","parse-names":false,"suffix":""},{"dropping-particle":"","family":"Thomas","given":"D D","non-dropping-particle":"","parse-names":false,"suffix":""},{"dropping-particle":"","family":"Herrin","given":"J","non-dropping-particle":"","parse-names":false,"suffix":""},{"dropping-particle":"","family":"Scheett","given":"T P","non-dropping-particle":"","parse-names":false,"suffix":""}],"container-title":"Journal of Strength and Conditioning Research","id":"ITEM-2","issued":{"date-parts":[["2011","3"]]},"page":"S62","title":"Effects of Suspension Training on the Growth Hormone Axis","type":"article-journal","volume":"25"},"uris":["http://www.mendeley.com/documents/?uuid=b7811f06-1f2b-4b11-a775-9fe11a6109cc"]}],"mendeley":{"formattedCitation":"&lt;sup&gt;(&lt;sup&gt;13&lt;/sup&gt;,&lt;sup&gt;14&lt;/sup&gt;)&lt;/sup&gt;","plainTextFormattedCitation":"(13,14)","previouslyFormattedCitation":"&lt;sup&gt;(&lt;sup&gt;13&lt;/sup&gt;,&lt;sup&gt;14&lt;/sup&gt;)&lt;/sup&gt;"},"properties":{"noteIndex":0},"schema":"https://github.com/citation-style-language/schema/raw/master/csl-citation.json"}</w:instrText>
      </w:r>
      <w:r w:rsidR="00D65B41" w:rsidRPr="001D0C1C">
        <w:rPr>
          <w:rFonts w:ascii="Times New Roman" w:hAnsi="Times New Roman" w:cs="Times New Roman"/>
          <w:bCs/>
        </w:rPr>
        <w:fldChar w:fldCharType="separate"/>
      </w:r>
      <w:r w:rsidR="00F66193" w:rsidRPr="001D0C1C">
        <w:rPr>
          <w:rFonts w:ascii="Times New Roman" w:hAnsi="Times New Roman" w:cs="Times New Roman"/>
          <w:bCs/>
          <w:noProof/>
          <w:vertAlign w:val="superscript"/>
        </w:rPr>
        <w:t>(13,14)</w:t>
      </w:r>
      <w:r w:rsidR="00D65B41" w:rsidRPr="001D0C1C">
        <w:rPr>
          <w:rFonts w:ascii="Times New Roman" w:hAnsi="Times New Roman" w:cs="Times New Roman"/>
          <w:bCs/>
        </w:rPr>
        <w:fldChar w:fldCharType="end"/>
      </w:r>
      <w:r w:rsidRPr="001D0C1C">
        <w:rPr>
          <w:rFonts w:ascii="Times New Roman" w:hAnsi="Times New Roman" w:cs="Times New Roman"/>
          <w:bCs/>
        </w:rPr>
        <w:t xml:space="preserve"> intentaron determinar el gasto calórico durante y después de una sesión de fuerza resistencia de una hora en TRX. Los sujetos </w:t>
      </w:r>
      <w:r w:rsidR="00213D2E" w:rsidRPr="001D0C1C">
        <w:rPr>
          <w:rFonts w:ascii="Times New Roman" w:hAnsi="Times New Roman" w:cs="Times New Roman"/>
          <w:bCs/>
        </w:rPr>
        <w:t xml:space="preserve">que </w:t>
      </w:r>
      <w:r w:rsidRPr="001D0C1C">
        <w:rPr>
          <w:rFonts w:ascii="Times New Roman" w:hAnsi="Times New Roman" w:cs="Times New Roman"/>
          <w:bCs/>
        </w:rPr>
        <w:t xml:space="preserve">realizaron 30 segundos de ejercicio con 60 segundos de descanso y un número total de 23 ejercicios. Los datos indicaron que los carbohidratos fueron la principal fuente de combustible durante el entrenamiento </w:t>
      </w:r>
      <w:r w:rsidR="00213D2E" w:rsidRPr="001D0C1C">
        <w:rPr>
          <w:rFonts w:ascii="Times New Roman" w:hAnsi="Times New Roman" w:cs="Times New Roman"/>
          <w:bCs/>
        </w:rPr>
        <w:t>con TRX</w:t>
      </w:r>
      <w:r w:rsidRPr="001D0C1C">
        <w:rPr>
          <w:rFonts w:ascii="Times New Roman" w:hAnsi="Times New Roman" w:cs="Times New Roman"/>
          <w:bCs/>
        </w:rPr>
        <w:t>. Paralelamente, estos autores midieron también antes, durante y después la frecuencia cardíaca de los sujetos y el nivel de lactato generado. Los datos obtenidos sugirieron que un entrenamiento de TRX usando estos intervalos de trabajo, provocaron respuestas de lactato y de frecuencia cardiaca indicativos de ejercicio de intensidad moderada en varones físicamente activos</w:t>
      </w:r>
      <w:r w:rsidR="00213D2E" w:rsidRPr="001D0C1C">
        <w:rPr>
          <w:rFonts w:ascii="Times New Roman" w:hAnsi="Times New Roman" w:cs="Times New Roman"/>
          <w:bCs/>
        </w:rPr>
        <w:t>.</w:t>
      </w:r>
    </w:p>
    <w:p w:rsidR="00045922" w:rsidRPr="001D0C1C" w:rsidRDefault="00045922" w:rsidP="00373797">
      <w:pPr>
        <w:spacing w:line="276" w:lineRule="auto"/>
        <w:jc w:val="both"/>
        <w:rPr>
          <w:rFonts w:ascii="Times New Roman" w:hAnsi="Times New Roman" w:cs="Times New Roman"/>
          <w:bCs/>
        </w:rPr>
      </w:pPr>
      <w:r w:rsidRPr="001D0C1C">
        <w:rPr>
          <w:rFonts w:ascii="Times New Roman" w:hAnsi="Times New Roman" w:cs="Times New Roman"/>
          <w:bCs/>
        </w:rPr>
        <w:t xml:space="preserve">En el caso de los Ejercicios Específicos para lesiones de Hombro y Rodilla a ejecutar con el TRX constituyen una propuesta para la rehabilitación la estructura se compone de </w:t>
      </w:r>
      <w:r w:rsidR="00184655" w:rsidRPr="001D0C1C">
        <w:rPr>
          <w:rFonts w:ascii="Times New Roman" w:hAnsi="Times New Roman" w:cs="Times New Roman"/>
          <w:bCs/>
        </w:rPr>
        <w:t>series, repeticiones y pausas (</w:t>
      </w:r>
      <w:r w:rsidR="00A54934" w:rsidRPr="001D0C1C">
        <w:rPr>
          <w:rFonts w:ascii="Times New Roman" w:hAnsi="Times New Roman" w:cs="Times New Roman"/>
          <w:bCs/>
        </w:rPr>
        <w:t>Ver Anexos</w:t>
      </w:r>
      <w:r w:rsidRPr="001D0C1C">
        <w:rPr>
          <w:rFonts w:ascii="Times New Roman" w:hAnsi="Times New Roman" w:cs="Times New Roman"/>
          <w:bCs/>
        </w:rPr>
        <w:t>).</w:t>
      </w:r>
    </w:p>
    <w:p w:rsidR="00921EFA" w:rsidRPr="001D0C1C" w:rsidRDefault="00921EFA" w:rsidP="00373797">
      <w:pPr>
        <w:spacing w:line="276" w:lineRule="auto"/>
        <w:jc w:val="both"/>
        <w:rPr>
          <w:rFonts w:ascii="Times New Roman" w:hAnsi="Times New Roman" w:cs="Times New Roman"/>
          <w:bCs/>
        </w:rPr>
      </w:pPr>
      <w:r w:rsidRPr="001D0C1C">
        <w:rPr>
          <w:rFonts w:ascii="Times New Roman" w:hAnsi="Times New Roman" w:cs="Times New Roman"/>
          <w:bCs/>
        </w:rPr>
        <w:t xml:space="preserve">Finalmente basado en los </w:t>
      </w:r>
      <w:r w:rsidR="00372F6E" w:rsidRPr="001D0C1C">
        <w:rPr>
          <w:rFonts w:ascii="Times New Roman" w:hAnsi="Times New Roman" w:cs="Times New Roman"/>
          <w:bCs/>
        </w:rPr>
        <w:t>usos</w:t>
      </w:r>
      <w:r w:rsidRPr="001D0C1C">
        <w:rPr>
          <w:rFonts w:ascii="Times New Roman" w:hAnsi="Times New Roman" w:cs="Times New Roman"/>
          <w:bCs/>
        </w:rPr>
        <w:t xml:space="preserve"> del TRX (Ver </w:t>
      </w:r>
      <w:r w:rsidR="008F76F6" w:rsidRPr="001D0C1C">
        <w:rPr>
          <w:rFonts w:ascii="Times New Roman" w:hAnsi="Times New Roman" w:cs="Times New Roman"/>
          <w:bCs/>
        </w:rPr>
        <w:t>Anexo</w:t>
      </w:r>
      <w:r w:rsidRPr="001D0C1C">
        <w:rPr>
          <w:rFonts w:ascii="Times New Roman" w:hAnsi="Times New Roman" w:cs="Times New Roman"/>
          <w:bCs/>
        </w:rPr>
        <w:t xml:space="preserve"> )</w:t>
      </w:r>
      <w:r w:rsidR="00741577" w:rsidRPr="001D0C1C">
        <w:rPr>
          <w:rFonts w:ascii="Times New Roman" w:hAnsi="Times New Roman" w:cs="Times New Roman"/>
          <w:bCs/>
        </w:rPr>
        <w:t xml:space="preserve"> según los aportes de </w:t>
      </w:r>
      <w:r w:rsidR="00F66193" w:rsidRPr="001D0C1C">
        <w:rPr>
          <w:rFonts w:ascii="Times New Roman" w:hAnsi="Times New Roman" w:cs="Times New Roman"/>
          <w:bCs/>
        </w:rPr>
        <w:t>(</w:t>
      </w:r>
      <w:r w:rsidR="00741577" w:rsidRPr="001D0C1C">
        <w:rPr>
          <w:rFonts w:ascii="Times New Roman" w:hAnsi="Times New Roman" w:cs="Times New Roman"/>
          <w:bCs/>
        </w:rPr>
        <w:t>Soler-Alarcón,</w:t>
      </w:r>
      <w:r w:rsidR="00F66193" w:rsidRPr="001D0C1C">
        <w:rPr>
          <w:rFonts w:ascii="Times New Roman" w:hAnsi="Times New Roman" w:cs="Times New Roman"/>
          <w:bCs/>
        </w:rPr>
        <w:t xml:space="preserve"> </w:t>
      </w:r>
      <w:r w:rsidR="00741577" w:rsidRPr="001D0C1C">
        <w:rPr>
          <w:rFonts w:ascii="Times New Roman" w:hAnsi="Times New Roman" w:cs="Times New Roman"/>
          <w:bCs/>
        </w:rPr>
        <w:t>2017)</w:t>
      </w:r>
      <w:r w:rsidR="00F66193" w:rsidRPr="001D0C1C">
        <w:rPr>
          <w:rFonts w:ascii="Times New Roman" w:hAnsi="Times New Roman" w:cs="Times New Roman"/>
          <w:bCs/>
        </w:rPr>
        <w:t xml:space="preserve"> </w:t>
      </w:r>
      <w:r w:rsidR="00F66193" w:rsidRPr="001D0C1C">
        <w:rPr>
          <w:rFonts w:ascii="Times New Roman" w:hAnsi="Times New Roman" w:cs="Times New Roman"/>
          <w:bCs/>
        </w:rPr>
        <w:fldChar w:fldCharType="begin" w:fldLock="1"/>
      </w:r>
      <w:r w:rsidR="00F66193" w:rsidRPr="001D0C1C">
        <w:rPr>
          <w:rFonts w:ascii="Times New Roman" w:hAnsi="Times New Roman" w:cs="Times New Roman"/>
          <w:bCs/>
        </w:rPr>
        <w:instrText>ADDIN CSL_CITATION {"citationItems":[{"id":"ITEM-1","itemData":{"author":[{"dropping-particle":"","family":"Soler Alarcón","given":"Antonio","non-dropping-particle":"","parse-names":false,"suffix":""}],"id":"ITEM-1","issued":{"date-parts":[["2017"]]},"number-of-pages":"Aprox 42","publisher":"Universidad de Almería","publisher-place":"España","title":"Entrenamiento en Suspensión. Revisión Sistemática de la Literatura","type":"thesis"},"uris":["http://www.mendeley.com/documents/?uuid=666ca717-d937-4cd6-8542-7503e2736749"]}],"mendeley":{"formattedCitation":"&lt;sup&gt;(&lt;sup&gt;15&lt;/sup&gt;)&lt;/sup&gt;","plainTextFormattedCitation":"(15)","previouslyFormattedCitation":"&lt;sup&gt;(&lt;sup&gt;15&lt;/sup&gt;)&lt;/sup&gt;"},"properties":{"noteIndex":0},"schema":"https://github.com/citation-style-language/schema/raw/master/csl-citation.json"}</w:instrText>
      </w:r>
      <w:r w:rsidR="00F66193" w:rsidRPr="001D0C1C">
        <w:rPr>
          <w:rFonts w:ascii="Times New Roman" w:hAnsi="Times New Roman" w:cs="Times New Roman"/>
          <w:bCs/>
        </w:rPr>
        <w:fldChar w:fldCharType="separate"/>
      </w:r>
      <w:r w:rsidR="00F66193" w:rsidRPr="001D0C1C">
        <w:rPr>
          <w:rFonts w:ascii="Times New Roman" w:hAnsi="Times New Roman" w:cs="Times New Roman"/>
          <w:bCs/>
          <w:noProof/>
          <w:vertAlign w:val="superscript"/>
        </w:rPr>
        <w:t>(15)</w:t>
      </w:r>
      <w:r w:rsidR="00F66193" w:rsidRPr="001D0C1C">
        <w:rPr>
          <w:rFonts w:ascii="Times New Roman" w:hAnsi="Times New Roman" w:cs="Times New Roman"/>
          <w:bCs/>
        </w:rPr>
        <w:fldChar w:fldCharType="end"/>
      </w:r>
      <w:r w:rsidR="00741577" w:rsidRPr="001D0C1C">
        <w:rPr>
          <w:rFonts w:ascii="Times New Roman" w:hAnsi="Times New Roman" w:cs="Times New Roman"/>
          <w:bCs/>
        </w:rPr>
        <w:t xml:space="preserve">. </w:t>
      </w:r>
    </w:p>
    <w:p w:rsidR="00C0642E" w:rsidRPr="001D0C1C" w:rsidRDefault="00C0642E" w:rsidP="00373797">
      <w:pPr>
        <w:pStyle w:val="Ttulo2"/>
        <w:jc w:val="both"/>
      </w:pPr>
      <w:r w:rsidRPr="001D0C1C">
        <w:t>CONCLUSIONES</w:t>
      </w:r>
    </w:p>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La implementación de un programa de ejercicios para lesiones de partes blanda de rodilla y hombro con el uso del método de TRX en los procesos de rehabilitación aporta un abordaje completo, sencillo y fácil de utilizar.</w:t>
      </w:r>
    </w:p>
    <w:p w:rsidR="00C0642E" w:rsidRPr="001D0C1C" w:rsidRDefault="00C0642E" w:rsidP="00373797">
      <w:pPr>
        <w:spacing w:line="276" w:lineRule="auto"/>
        <w:jc w:val="both"/>
        <w:rPr>
          <w:rFonts w:ascii="Times New Roman" w:hAnsi="Times New Roman" w:cs="Times New Roman"/>
        </w:rPr>
      </w:pPr>
    </w:p>
    <w:p w:rsidR="00C0642E" w:rsidRPr="001D0C1C" w:rsidRDefault="00C0642E" w:rsidP="00373797">
      <w:pPr>
        <w:pStyle w:val="Ttulo2"/>
        <w:jc w:val="both"/>
      </w:pPr>
      <w:r w:rsidRPr="001D0C1C">
        <w:t>REFERENCIAS BIBLIOGRAFICAS</w:t>
      </w:r>
    </w:p>
    <w:p w:rsidR="00666319" w:rsidRPr="001D0C1C" w:rsidRDefault="00C0642E" w:rsidP="00373797">
      <w:pPr>
        <w:widowControl w:val="0"/>
        <w:autoSpaceDE w:val="0"/>
        <w:autoSpaceDN w:val="0"/>
        <w:adjustRightInd w:val="0"/>
        <w:spacing w:line="240" w:lineRule="auto"/>
        <w:ind w:left="640" w:hanging="640"/>
        <w:jc w:val="both"/>
        <w:rPr>
          <w:rFonts w:ascii="Times New Roman" w:hAnsi="Times New Roman" w:cs="Times New Roman"/>
          <w:noProof/>
        </w:rPr>
      </w:pPr>
      <w:r w:rsidRPr="001D0C1C">
        <w:rPr>
          <w:rFonts w:ascii="Times New Roman" w:hAnsi="Times New Roman" w:cs="Times New Roman"/>
          <w:bCs/>
        </w:rPr>
        <w:fldChar w:fldCharType="begin" w:fldLock="1"/>
      </w:r>
      <w:r w:rsidRPr="001D0C1C">
        <w:rPr>
          <w:rFonts w:ascii="Times New Roman" w:hAnsi="Times New Roman" w:cs="Times New Roman"/>
          <w:bCs/>
        </w:rPr>
        <w:instrText xml:space="preserve">ADDIN Mendeley Bibliography CSL_BIBLIOGRAPHY </w:instrText>
      </w:r>
      <w:r w:rsidRPr="001D0C1C">
        <w:rPr>
          <w:rFonts w:ascii="Times New Roman" w:hAnsi="Times New Roman" w:cs="Times New Roman"/>
          <w:bCs/>
        </w:rPr>
        <w:fldChar w:fldCharType="separate"/>
      </w:r>
      <w:r w:rsidR="00666319" w:rsidRPr="001D0C1C">
        <w:rPr>
          <w:rFonts w:ascii="Times New Roman" w:hAnsi="Times New Roman" w:cs="Times New Roman"/>
          <w:noProof/>
        </w:rPr>
        <w:t xml:space="preserve">1. </w:t>
      </w:r>
      <w:r w:rsidR="00666319" w:rsidRPr="001D0C1C">
        <w:rPr>
          <w:rFonts w:ascii="Times New Roman" w:hAnsi="Times New Roman" w:cs="Times New Roman"/>
          <w:noProof/>
        </w:rPr>
        <w:tab/>
        <w:t>Navia Arcos DF. Entrenamiento funcional en suspensión TRX como método optimo de ejercitación en adultos [Internet]. Universidad de Guayaquil.; 2012. Available from: http://repositorio.ug.edu.ec/bitstream/redug/1294/1/Navia Arcos Danter  71-2012.pdf</w:t>
      </w:r>
    </w:p>
    <w:p w:rsidR="00666319" w:rsidRPr="002674A7"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lang w:val="en-US"/>
        </w:rPr>
      </w:pPr>
      <w:r w:rsidRPr="001D0C1C">
        <w:rPr>
          <w:rFonts w:ascii="Times New Roman" w:hAnsi="Times New Roman" w:cs="Times New Roman"/>
          <w:noProof/>
        </w:rPr>
        <w:t xml:space="preserve">2. </w:t>
      </w:r>
      <w:r w:rsidRPr="001D0C1C">
        <w:rPr>
          <w:rFonts w:ascii="Times New Roman" w:hAnsi="Times New Roman" w:cs="Times New Roman"/>
          <w:noProof/>
        </w:rPr>
        <w:tab/>
        <w:t xml:space="preserve">Galvis JCL, Moreno NEC. Compresión radicular lumbar: análisis de resultados de la mínimamente invasiva para tratamiento de radiculopatía lumbar. </w:t>
      </w:r>
      <w:r w:rsidRPr="002674A7">
        <w:rPr>
          <w:rFonts w:ascii="Times New Roman" w:hAnsi="Times New Roman" w:cs="Times New Roman"/>
          <w:noProof/>
          <w:lang w:val="en-US"/>
        </w:rPr>
        <w:t xml:space="preserve">Rev Científica C. 2021;15(Suplemento). </w:t>
      </w:r>
    </w:p>
    <w:p w:rsidR="00666319" w:rsidRPr="002674A7"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lang w:val="en-US"/>
        </w:rPr>
      </w:pPr>
      <w:r w:rsidRPr="002674A7">
        <w:rPr>
          <w:rFonts w:ascii="Times New Roman" w:hAnsi="Times New Roman" w:cs="Times New Roman"/>
          <w:noProof/>
          <w:lang w:val="en-US"/>
        </w:rPr>
        <w:t xml:space="preserve">3. </w:t>
      </w:r>
      <w:r w:rsidRPr="002674A7">
        <w:rPr>
          <w:rFonts w:ascii="Times New Roman" w:hAnsi="Times New Roman" w:cs="Times New Roman"/>
          <w:noProof/>
          <w:lang w:val="en-US"/>
        </w:rPr>
        <w:tab/>
        <w:t xml:space="preserve">Jurs SG, Wiersma W. Research methods in education: an introduction Itasca, III. Peacock Publishers, Inc; 2008. </w:t>
      </w:r>
    </w:p>
    <w:p w:rsidR="00666319" w:rsidRPr="002674A7"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lang w:val="en-US"/>
        </w:rPr>
      </w:pPr>
      <w:r w:rsidRPr="002674A7">
        <w:rPr>
          <w:rFonts w:ascii="Times New Roman" w:hAnsi="Times New Roman" w:cs="Times New Roman"/>
          <w:noProof/>
          <w:lang w:val="en-US"/>
        </w:rPr>
        <w:t xml:space="preserve">4. </w:t>
      </w:r>
      <w:r w:rsidRPr="002674A7">
        <w:rPr>
          <w:rFonts w:ascii="Times New Roman" w:hAnsi="Times New Roman" w:cs="Times New Roman"/>
          <w:noProof/>
          <w:lang w:val="en-US"/>
        </w:rPr>
        <w:tab/>
        <w:t xml:space="preserve">Jeffreys H. The theory of probability. OUP Oxford; 1998. </w:t>
      </w:r>
    </w:p>
    <w:p w:rsidR="00666319" w:rsidRPr="001D0C1C"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rPr>
      </w:pPr>
      <w:r w:rsidRPr="001D0C1C">
        <w:rPr>
          <w:rFonts w:ascii="Times New Roman" w:hAnsi="Times New Roman" w:cs="Times New Roman"/>
          <w:noProof/>
        </w:rPr>
        <w:t xml:space="preserve">5. </w:t>
      </w:r>
      <w:r w:rsidRPr="001D0C1C">
        <w:rPr>
          <w:rFonts w:ascii="Times New Roman" w:hAnsi="Times New Roman" w:cs="Times New Roman"/>
          <w:noProof/>
        </w:rPr>
        <w:tab/>
        <w:t>Solano-López J, Zamorano JL, Pardo Sanz A, Amat-Santos I, Sarnago F, Gutiérrez Ibañes E, et al. Factores de riesgo de muerte hospitalaria en pacientes con infarto agudo de miocardio durante la pandemia de la COVID-19. Rev Española Cardiol [Internet]. 2020 Dec;73(12):985–93. Available from: http://www.ncbi.nlm.nih.gov/pubmed/32963419</w:t>
      </w:r>
    </w:p>
    <w:p w:rsidR="00666319" w:rsidRPr="002674A7"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lang w:val="en-US"/>
        </w:rPr>
      </w:pPr>
      <w:r w:rsidRPr="001D0C1C">
        <w:rPr>
          <w:rFonts w:ascii="Times New Roman" w:hAnsi="Times New Roman" w:cs="Times New Roman"/>
          <w:noProof/>
        </w:rPr>
        <w:t xml:space="preserve">6. </w:t>
      </w:r>
      <w:r w:rsidRPr="001D0C1C">
        <w:rPr>
          <w:rFonts w:ascii="Times New Roman" w:hAnsi="Times New Roman" w:cs="Times New Roman"/>
          <w:noProof/>
        </w:rPr>
        <w:tab/>
        <w:t xml:space="preserve">Ramos-Vera CA. El uso del factor Bayes en la investigación clínica de cardiología. </w:t>
      </w:r>
      <w:r w:rsidRPr="002674A7">
        <w:rPr>
          <w:rFonts w:ascii="Times New Roman" w:hAnsi="Times New Roman" w:cs="Times New Roman"/>
          <w:noProof/>
          <w:lang w:val="en-US"/>
        </w:rPr>
        <w:t>Rev Española Cardiol [Internet]. 2021 Jul;74(7):641–2. Available from: https://linkinghub.elsevier.com/retrieve/pii/S030089322100052X</w:t>
      </w:r>
    </w:p>
    <w:p w:rsidR="00666319" w:rsidRPr="002674A7"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lang w:val="en-US"/>
        </w:rPr>
      </w:pPr>
      <w:r w:rsidRPr="002674A7">
        <w:rPr>
          <w:rFonts w:ascii="Times New Roman" w:hAnsi="Times New Roman" w:cs="Times New Roman"/>
          <w:noProof/>
          <w:lang w:val="en-US"/>
        </w:rPr>
        <w:t xml:space="preserve">7. </w:t>
      </w:r>
      <w:r w:rsidRPr="002674A7">
        <w:rPr>
          <w:rFonts w:ascii="Times New Roman" w:hAnsi="Times New Roman" w:cs="Times New Roman"/>
          <w:noProof/>
          <w:lang w:val="en-US"/>
        </w:rPr>
        <w:tab/>
        <w:t>Henke T, Luig P, Schulz D. Sports injuries in German club sports, Aspects of epidemiology and prevention. Bundesgesundheitsblatt Gesundheitsforschung Gesundheitsschutz [Internet]. 2014 Jun 27;57(6):628–37. Available from: http://www.ncbi.nlm.nih.gov/pubmed/24863705</w:t>
      </w:r>
    </w:p>
    <w:p w:rsidR="00666319" w:rsidRPr="002674A7"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lang w:val="en-US"/>
        </w:rPr>
      </w:pPr>
      <w:r w:rsidRPr="002674A7">
        <w:rPr>
          <w:rFonts w:ascii="Times New Roman" w:hAnsi="Times New Roman" w:cs="Times New Roman"/>
          <w:noProof/>
          <w:lang w:val="en-US"/>
        </w:rPr>
        <w:t xml:space="preserve">8. </w:t>
      </w:r>
      <w:r w:rsidRPr="002674A7">
        <w:rPr>
          <w:rFonts w:ascii="Times New Roman" w:hAnsi="Times New Roman" w:cs="Times New Roman"/>
          <w:noProof/>
          <w:lang w:val="en-US"/>
        </w:rPr>
        <w:tab/>
        <w:t>Gong W, Ren H, Tong H, Shen X, Luo J, Chen S, et al. A comparison of ultrasound and magnetic resonance imaging to assess visceral fat in the metabolic syndrome. Asia Pac J Clin Nutr [Internet]. 2007;16 Suppl 1:339–45. Available from: http://www.ncbi.nlm.nih.gov/pubmed/17392130</w:t>
      </w:r>
    </w:p>
    <w:p w:rsidR="00666319" w:rsidRPr="002674A7"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lang w:val="en-US"/>
        </w:rPr>
      </w:pPr>
      <w:r w:rsidRPr="002674A7">
        <w:rPr>
          <w:rFonts w:ascii="Times New Roman" w:hAnsi="Times New Roman" w:cs="Times New Roman"/>
          <w:noProof/>
          <w:lang w:val="en-US"/>
        </w:rPr>
        <w:t xml:space="preserve">9. </w:t>
      </w:r>
      <w:r w:rsidRPr="002674A7">
        <w:rPr>
          <w:rFonts w:ascii="Times New Roman" w:hAnsi="Times New Roman" w:cs="Times New Roman"/>
          <w:noProof/>
          <w:lang w:val="en-US"/>
        </w:rPr>
        <w:tab/>
        <w:t xml:space="preserve">Emmons RR, Garber CE, Cirnigliaro CM, Kirshblum SC, Spungen AM, Bauman WA. Assessment of measures for abdominal adiposity in persons with spinal cord injury. Ultrasound Med Biol [Internet]. 2011 </w:t>
      </w:r>
      <w:r w:rsidRPr="002674A7">
        <w:rPr>
          <w:rFonts w:ascii="Times New Roman" w:hAnsi="Times New Roman" w:cs="Times New Roman"/>
          <w:noProof/>
          <w:lang w:val="en-US"/>
        </w:rPr>
        <w:lastRenderedPageBreak/>
        <w:t>May;37(5):734–41. Available from: http://www.ncbi.nlm.nih.gov/pubmed/21439716</w:t>
      </w:r>
    </w:p>
    <w:p w:rsidR="00666319" w:rsidRPr="002674A7"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lang w:val="en-US"/>
        </w:rPr>
      </w:pPr>
      <w:r w:rsidRPr="002674A7">
        <w:rPr>
          <w:rFonts w:ascii="Times New Roman" w:hAnsi="Times New Roman" w:cs="Times New Roman"/>
          <w:noProof/>
          <w:lang w:val="en-US"/>
        </w:rPr>
        <w:t xml:space="preserve">10. </w:t>
      </w:r>
      <w:r w:rsidRPr="002674A7">
        <w:rPr>
          <w:rFonts w:ascii="Times New Roman" w:hAnsi="Times New Roman" w:cs="Times New Roman"/>
          <w:noProof/>
          <w:lang w:val="en-US"/>
        </w:rPr>
        <w:tab/>
        <w:t>Posner M, Cameron KL, Wolf JM, Belmont PJ, Owens BD. Epidemiology of Major League Baseball injuries. Am J Sports Med [Internet]. 2011 Aug;39(8):1676–80. Available from: http://www.ncbi.nlm.nih.gov/pubmed/21709023</w:t>
      </w:r>
    </w:p>
    <w:p w:rsidR="00666319" w:rsidRPr="002674A7"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lang w:val="en-US"/>
        </w:rPr>
      </w:pPr>
      <w:r w:rsidRPr="002674A7">
        <w:rPr>
          <w:rFonts w:ascii="Times New Roman" w:hAnsi="Times New Roman" w:cs="Times New Roman"/>
          <w:noProof/>
          <w:lang w:val="en-US"/>
        </w:rPr>
        <w:t xml:space="preserve">11. </w:t>
      </w:r>
      <w:r w:rsidRPr="002674A7">
        <w:rPr>
          <w:rFonts w:ascii="Times New Roman" w:hAnsi="Times New Roman" w:cs="Times New Roman"/>
          <w:noProof/>
          <w:lang w:val="en-US"/>
        </w:rPr>
        <w:tab/>
        <w:t>Schneider S. Sports injuries: population based representative data on incidence, diagnosis, sequelae, and high risk groups * Commentary. Br J Sports Med [Internet]. 2006 Apr 1;40(4):334–9. Available from: http://www.ncbi.nlm.nih.gov/pubmed/16556789</w:t>
      </w:r>
    </w:p>
    <w:p w:rsidR="00666319" w:rsidRPr="002674A7"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lang w:val="en-US"/>
        </w:rPr>
      </w:pPr>
      <w:r w:rsidRPr="001D0C1C">
        <w:rPr>
          <w:rFonts w:ascii="Times New Roman" w:hAnsi="Times New Roman" w:cs="Times New Roman"/>
          <w:noProof/>
        </w:rPr>
        <w:t xml:space="preserve">12. </w:t>
      </w:r>
      <w:r w:rsidRPr="001D0C1C">
        <w:rPr>
          <w:rFonts w:ascii="Times New Roman" w:hAnsi="Times New Roman" w:cs="Times New Roman"/>
          <w:noProof/>
        </w:rPr>
        <w:tab/>
        <w:t xml:space="preserve">Borreani S, Calatayud J, Colado JC, Tella V, Moya-Nájera D, Martin F, et al. </w:t>
      </w:r>
      <w:r w:rsidRPr="002674A7">
        <w:rPr>
          <w:rFonts w:ascii="Times New Roman" w:hAnsi="Times New Roman" w:cs="Times New Roman"/>
          <w:noProof/>
          <w:lang w:val="en-US"/>
        </w:rPr>
        <w:t>Shoulder muscle activation during stable and suspended push-ups at different heights in healthy subjects. Phys Ther Sport [Internet]. 2015 Aug;16(3):248–54. Available from: https://linkinghub.elsevier.com/retrieve/pii/S1466853X14001096</w:t>
      </w:r>
    </w:p>
    <w:p w:rsidR="00666319" w:rsidRPr="002674A7"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lang w:val="en-US"/>
        </w:rPr>
      </w:pPr>
      <w:r w:rsidRPr="002674A7">
        <w:rPr>
          <w:rFonts w:ascii="Times New Roman" w:hAnsi="Times New Roman" w:cs="Times New Roman"/>
          <w:noProof/>
          <w:lang w:val="en-US"/>
        </w:rPr>
        <w:t xml:space="preserve">13. </w:t>
      </w:r>
      <w:r w:rsidRPr="002674A7">
        <w:rPr>
          <w:rFonts w:ascii="Times New Roman" w:hAnsi="Times New Roman" w:cs="Times New Roman"/>
          <w:noProof/>
          <w:lang w:val="en-US"/>
        </w:rPr>
        <w:tab/>
        <w:t>Dudgeon WD, Aartun J, Herrin J, Thomas D, Scheett TP. Metabolic Responses During and Following a Suspension Training Workout. Med Sci Sport Exerc [Internet]. 2010 May;42(5):695–6. Available from: https://journals.lww.com/00005768-201005001-02043</w:t>
      </w:r>
    </w:p>
    <w:p w:rsidR="00666319" w:rsidRPr="002674A7"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lang w:val="en-US"/>
        </w:rPr>
      </w:pPr>
      <w:r w:rsidRPr="002674A7">
        <w:rPr>
          <w:rFonts w:ascii="Times New Roman" w:hAnsi="Times New Roman" w:cs="Times New Roman"/>
          <w:noProof/>
          <w:lang w:val="en-US"/>
        </w:rPr>
        <w:t xml:space="preserve">14. </w:t>
      </w:r>
      <w:r w:rsidRPr="002674A7">
        <w:rPr>
          <w:rFonts w:ascii="Times New Roman" w:hAnsi="Times New Roman" w:cs="Times New Roman"/>
          <w:noProof/>
          <w:lang w:val="en-US"/>
        </w:rPr>
        <w:tab/>
        <w:t>Dudgeon WD, Aartun JD, Thomas DD, Herrin J, Scheett TP. Effects of Suspension Training on the Growth Hormone Axis. J Strength Cond Res [Internet]. 2011 Mar;25:S62. Available from: http://journals.lww.com/00124278-201103001-00097</w:t>
      </w:r>
    </w:p>
    <w:p w:rsidR="00666319" w:rsidRPr="001D0C1C"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rPr>
      </w:pPr>
      <w:r w:rsidRPr="001D0C1C">
        <w:rPr>
          <w:rFonts w:ascii="Times New Roman" w:hAnsi="Times New Roman" w:cs="Times New Roman"/>
          <w:noProof/>
        </w:rPr>
        <w:t xml:space="preserve">15. </w:t>
      </w:r>
      <w:r w:rsidRPr="001D0C1C">
        <w:rPr>
          <w:rFonts w:ascii="Times New Roman" w:hAnsi="Times New Roman" w:cs="Times New Roman"/>
          <w:noProof/>
        </w:rPr>
        <w:tab/>
        <w:t>Soler Alarcón A. Entrenamiento en Suspensión. Revisión Sistemática de la Literatura [Internet]. [España]: Universidad de Almería; 2017. Available from: http://repositorio.ual.es/bitstream/handle/10835/6626/13856_tfg 10 completado para subir.pdf?sequence=1</w:t>
      </w:r>
    </w:p>
    <w:p w:rsidR="00666319" w:rsidRPr="002674A7"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lang w:val="en-US"/>
        </w:rPr>
      </w:pPr>
      <w:r w:rsidRPr="002674A7">
        <w:rPr>
          <w:rFonts w:ascii="Times New Roman" w:hAnsi="Times New Roman" w:cs="Times New Roman"/>
          <w:noProof/>
          <w:lang w:val="en-US"/>
        </w:rPr>
        <w:t xml:space="preserve">16. </w:t>
      </w:r>
      <w:r w:rsidRPr="002674A7">
        <w:rPr>
          <w:rFonts w:ascii="Times New Roman" w:hAnsi="Times New Roman" w:cs="Times New Roman"/>
          <w:noProof/>
          <w:lang w:val="en-US"/>
        </w:rPr>
        <w:tab/>
        <w:t>Nuzzo JL, McBride JM, Dayne AM, Israetel MA, Dumke CL, Triplett NT. Testing of the Maximal Dynamic Output Hypothesis in Trained and Untrained Subjects. J Strength Cond Res [Internet]. 2010 May;24(5):1269–76. Available from: https://journals.lww.com/00124278-201005000-00016</w:t>
      </w:r>
    </w:p>
    <w:p w:rsidR="00666319" w:rsidRPr="002674A7"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lang w:val="en-US"/>
        </w:rPr>
      </w:pPr>
      <w:r w:rsidRPr="002674A7">
        <w:rPr>
          <w:rFonts w:ascii="Times New Roman" w:hAnsi="Times New Roman" w:cs="Times New Roman"/>
          <w:noProof/>
          <w:lang w:val="en-US"/>
        </w:rPr>
        <w:t xml:space="preserve">17. </w:t>
      </w:r>
      <w:r w:rsidRPr="002674A7">
        <w:rPr>
          <w:rFonts w:ascii="Times New Roman" w:hAnsi="Times New Roman" w:cs="Times New Roman"/>
          <w:noProof/>
          <w:lang w:val="en-US"/>
        </w:rPr>
        <w:tab/>
        <w:t xml:space="preserve">Calatayud J, Borreani S, Colado JC, Martin F, Rogers ME. Muscle activity levels in upper-body push exercises with different loads and stability conditions. Phys Sportsmed. 2014;42(4):106–19. </w:t>
      </w:r>
    </w:p>
    <w:p w:rsidR="00666319" w:rsidRPr="001D0C1C" w:rsidRDefault="00666319" w:rsidP="00373797">
      <w:pPr>
        <w:widowControl w:val="0"/>
        <w:autoSpaceDE w:val="0"/>
        <w:autoSpaceDN w:val="0"/>
        <w:adjustRightInd w:val="0"/>
        <w:spacing w:line="240" w:lineRule="auto"/>
        <w:ind w:left="640" w:hanging="640"/>
        <w:jc w:val="both"/>
        <w:rPr>
          <w:rFonts w:ascii="Times New Roman" w:hAnsi="Times New Roman" w:cs="Times New Roman"/>
          <w:noProof/>
        </w:rPr>
      </w:pPr>
      <w:r w:rsidRPr="002674A7">
        <w:rPr>
          <w:rFonts w:ascii="Times New Roman" w:hAnsi="Times New Roman" w:cs="Times New Roman"/>
          <w:noProof/>
          <w:lang w:val="en-US"/>
        </w:rPr>
        <w:t xml:space="preserve">18. </w:t>
      </w:r>
      <w:r w:rsidRPr="002674A7">
        <w:rPr>
          <w:rFonts w:ascii="Times New Roman" w:hAnsi="Times New Roman" w:cs="Times New Roman"/>
          <w:noProof/>
          <w:lang w:val="en-US"/>
        </w:rPr>
        <w:tab/>
        <w:t xml:space="preserve">Atkins SJ, Bentley I, Brooks D, Burrows MP, Hurst HT, Sinclair JK. Electromyographic response of global abdominal stabilizers in response to stable-and unstable-base isometric exercise. </w:t>
      </w:r>
      <w:r w:rsidRPr="001D0C1C">
        <w:rPr>
          <w:rFonts w:ascii="Times New Roman" w:hAnsi="Times New Roman" w:cs="Times New Roman"/>
          <w:noProof/>
        </w:rPr>
        <w:t xml:space="preserve">J Strength Cond Res. 2015;29(6):1609–15. </w:t>
      </w:r>
    </w:p>
    <w:p w:rsidR="00C0642E" w:rsidRDefault="00C0642E" w:rsidP="00373797">
      <w:pPr>
        <w:widowControl w:val="0"/>
        <w:autoSpaceDE w:val="0"/>
        <w:autoSpaceDN w:val="0"/>
        <w:adjustRightInd w:val="0"/>
        <w:spacing w:line="276" w:lineRule="auto"/>
        <w:ind w:left="640" w:hanging="640"/>
        <w:jc w:val="both"/>
        <w:rPr>
          <w:rFonts w:ascii="Times New Roman" w:hAnsi="Times New Roman" w:cs="Times New Roman"/>
        </w:rPr>
      </w:pPr>
      <w:r w:rsidRPr="001D0C1C">
        <w:rPr>
          <w:rFonts w:ascii="Times New Roman" w:hAnsi="Times New Roman" w:cs="Times New Roman"/>
        </w:rPr>
        <w:fldChar w:fldCharType="end"/>
      </w:r>
    </w:p>
    <w:p w:rsidR="00524E6A" w:rsidRDefault="00524E6A" w:rsidP="00373797">
      <w:pPr>
        <w:widowControl w:val="0"/>
        <w:autoSpaceDE w:val="0"/>
        <w:autoSpaceDN w:val="0"/>
        <w:adjustRightInd w:val="0"/>
        <w:spacing w:line="276" w:lineRule="auto"/>
        <w:ind w:left="640" w:hanging="640"/>
        <w:jc w:val="both"/>
        <w:rPr>
          <w:rFonts w:ascii="Times New Roman" w:hAnsi="Times New Roman" w:cs="Times New Roman"/>
        </w:rPr>
      </w:pPr>
    </w:p>
    <w:p w:rsidR="00524E6A" w:rsidRPr="002674A7" w:rsidRDefault="00524E6A" w:rsidP="00373797">
      <w:pPr>
        <w:widowControl w:val="0"/>
        <w:autoSpaceDE w:val="0"/>
        <w:autoSpaceDN w:val="0"/>
        <w:adjustRightInd w:val="0"/>
        <w:spacing w:line="276" w:lineRule="auto"/>
        <w:ind w:left="640" w:hanging="640"/>
        <w:jc w:val="both"/>
        <w:rPr>
          <w:rFonts w:ascii="Times New Roman" w:hAnsi="Times New Roman" w:cs="Times New Roman"/>
        </w:rPr>
      </w:pPr>
    </w:p>
    <w:p w:rsidR="00045922" w:rsidRPr="001D0C1C" w:rsidRDefault="00A54934" w:rsidP="00373797">
      <w:pPr>
        <w:pStyle w:val="Ttulo2"/>
        <w:jc w:val="both"/>
      </w:pPr>
      <w:r w:rsidRPr="001D0C1C">
        <w:t xml:space="preserve">Anexo </w:t>
      </w:r>
      <w:r w:rsidR="00C0642E" w:rsidRPr="001D0C1C">
        <w:t xml:space="preserve">1. </w:t>
      </w:r>
      <w:r w:rsidR="00045922" w:rsidRPr="001D0C1C">
        <w:t>Programa de ejercicios con TRX específicos para hombro</w:t>
      </w:r>
    </w:p>
    <w:tbl>
      <w:tblPr>
        <w:tblW w:w="4888" w:type="pct"/>
        <w:tblBorders>
          <w:top w:val="single" w:sz="4" w:space="0" w:color="7F7F7F"/>
          <w:bottom w:val="single" w:sz="4" w:space="0" w:color="7F7F7F"/>
        </w:tblBorders>
        <w:tblLook w:val="0620" w:firstRow="1" w:lastRow="0" w:firstColumn="0" w:lastColumn="0" w:noHBand="1" w:noVBand="1"/>
      </w:tblPr>
      <w:tblGrid>
        <w:gridCol w:w="800"/>
        <w:gridCol w:w="4027"/>
        <w:gridCol w:w="1039"/>
        <w:gridCol w:w="2427"/>
        <w:gridCol w:w="1810"/>
      </w:tblGrid>
      <w:tr w:rsidR="00C0642E" w:rsidRPr="001D0C1C" w:rsidTr="003F082D">
        <w:trPr>
          <w:trHeight w:val="1134"/>
        </w:trPr>
        <w:tc>
          <w:tcPr>
            <w:tcW w:w="396" w:type="pct"/>
            <w:tcBorders>
              <w:bottom w:val="single" w:sz="4" w:space="0" w:color="7F7F7F"/>
            </w:tcBorders>
            <w:shd w:val="clear" w:color="auto" w:fill="auto"/>
            <w:vAlign w:val="center"/>
          </w:tcPr>
          <w:p w:rsidR="00C0642E" w:rsidRPr="001D0C1C" w:rsidRDefault="00C0642E" w:rsidP="00373797">
            <w:pPr>
              <w:spacing w:line="276" w:lineRule="auto"/>
              <w:jc w:val="both"/>
              <w:rPr>
                <w:rFonts w:ascii="Times New Roman" w:hAnsi="Times New Roman" w:cs="Times New Roman"/>
                <w:b/>
                <w:bCs/>
                <w:vertAlign w:val="superscript"/>
              </w:rPr>
            </w:pPr>
            <w:r w:rsidRPr="001D0C1C">
              <w:rPr>
                <w:rFonts w:ascii="Times New Roman" w:hAnsi="Times New Roman" w:cs="Times New Roman"/>
                <w:b/>
                <w:bCs/>
              </w:rPr>
              <w:t>N</w:t>
            </w:r>
          </w:p>
        </w:tc>
        <w:tc>
          <w:tcPr>
            <w:tcW w:w="1993" w:type="pct"/>
            <w:tcBorders>
              <w:bottom w:val="single" w:sz="4" w:space="0" w:color="7F7F7F"/>
            </w:tcBorders>
            <w:shd w:val="clear" w:color="auto" w:fill="auto"/>
            <w:vAlign w:val="center"/>
          </w:tcPr>
          <w:p w:rsidR="00C0642E" w:rsidRPr="001D0C1C" w:rsidRDefault="00C0642E" w:rsidP="00373797">
            <w:pPr>
              <w:spacing w:line="276" w:lineRule="auto"/>
              <w:jc w:val="both"/>
              <w:rPr>
                <w:rFonts w:ascii="Times New Roman" w:hAnsi="Times New Roman" w:cs="Times New Roman"/>
                <w:b/>
                <w:bCs/>
              </w:rPr>
            </w:pPr>
            <w:r w:rsidRPr="001D0C1C">
              <w:rPr>
                <w:rFonts w:ascii="Times New Roman" w:hAnsi="Times New Roman" w:cs="Times New Roman"/>
                <w:b/>
                <w:bCs/>
              </w:rPr>
              <w:t>EJERCICOS</w:t>
            </w:r>
          </w:p>
        </w:tc>
        <w:tc>
          <w:tcPr>
            <w:tcW w:w="514" w:type="pct"/>
            <w:tcBorders>
              <w:bottom w:val="single" w:sz="4" w:space="0" w:color="7F7F7F"/>
            </w:tcBorders>
            <w:shd w:val="clear" w:color="auto" w:fill="auto"/>
            <w:textDirection w:val="btLr"/>
            <w:vAlign w:val="center"/>
          </w:tcPr>
          <w:p w:rsidR="00C0642E" w:rsidRPr="001D0C1C" w:rsidRDefault="00C0642E" w:rsidP="00373797">
            <w:pPr>
              <w:spacing w:line="276" w:lineRule="auto"/>
              <w:jc w:val="both"/>
              <w:rPr>
                <w:rFonts w:ascii="Times New Roman" w:hAnsi="Times New Roman" w:cs="Times New Roman"/>
                <w:b/>
                <w:bCs/>
              </w:rPr>
            </w:pPr>
            <w:r w:rsidRPr="001D0C1C">
              <w:rPr>
                <w:rFonts w:ascii="Times New Roman" w:hAnsi="Times New Roman" w:cs="Times New Roman"/>
                <w:b/>
                <w:bCs/>
              </w:rPr>
              <w:t>SERIES</w:t>
            </w:r>
          </w:p>
        </w:tc>
        <w:tc>
          <w:tcPr>
            <w:tcW w:w="1201" w:type="pct"/>
            <w:tcBorders>
              <w:bottom w:val="single" w:sz="4" w:space="0" w:color="7F7F7F"/>
            </w:tcBorders>
            <w:shd w:val="clear" w:color="auto" w:fill="auto"/>
            <w:vAlign w:val="center"/>
          </w:tcPr>
          <w:p w:rsidR="00C0642E" w:rsidRPr="001D0C1C" w:rsidRDefault="00C0642E" w:rsidP="00373797">
            <w:pPr>
              <w:spacing w:line="276" w:lineRule="auto"/>
              <w:jc w:val="both"/>
              <w:rPr>
                <w:rFonts w:ascii="Times New Roman" w:hAnsi="Times New Roman" w:cs="Times New Roman"/>
                <w:b/>
                <w:bCs/>
              </w:rPr>
            </w:pPr>
            <w:r w:rsidRPr="001D0C1C">
              <w:rPr>
                <w:rFonts w:ascii="Times New Roman" w:hAnsi="Times New Roman" w:cs="Times New Roman"/>
                <w:b/>
                <w:bCs/>
              </w:rPr>
              <w:t>REPETICIONES</w:t>
            </w:r>
          </w:p>
        </w:tc>
        <w:tc>
          <w:tcPr>
            <w:tcW w:w="896" w:type="pct"/>
            <w:tcBorders>
              <w:bottom w:val="single" w:sz="4" w:space="0" w:color="7F7F7F"/>
            </w:tcBorders>
            <w:shd w:val="clear" w:color="auto" w:fill="auto"/>
            <w:vAlign w:val="center"/>
          </w:tcPr>
          <w:p w:rsidR="00C0642E" w:rsidRPr="001D0C1C" w:rsidRDefault="00C0642E" w:rsidP="00373797">
            <w:pPr>
              <w:spacing w:line="276" w:lineRule="auto"/>
              <w:jc w:val="both"/>
              <w:rPr>
                <w:rFonts w:ascii="Times New Roman" w:hAnsi="Times New Roman" w:cs="Times New Roman"/>
                <w:b/>
                <w:bCs/>
              </w:rPr>
            </w:pPr>
            <w:r w:rsidRPr="001D0C1C">
              <w:rPr>
                <w:rFonts w:ascii="Times New Roman" w:hAnsi="Times New Roman" w:cs="Times New Roman"/>
                <w:b/>
                <w:bCs/>
              </w:rPr>
              <w:t>RELAX</w:t>
            </w:r>
          </w:p>
        </w:tc>
      </w:tr>
      <w:tr w:rsidR="00C0642E" w:rsidRPr="001D0C1C" w:rsidTr="003F082D">
        <w:tc>
          <w:tcPr>
            <w:tcW w:w="396"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1</w:t>
            </w:r>
          </w:p>
        </w:tc>
        <w:tc>
          <w:tcPr>
            <w:tcW w:w="1993"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TRX Empuje de fuerza</w:t>
            </w:r>
          </w:p>
        </w:tc>
        <w:tc>
          <w:tcPr>
            <w:tcW w:w="514"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2</w:t>
            </w:r>
          </w:p>
        </w:tc>
        <w:tc>
          <w:tcPr>
            <w:tcW w:w="1201"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10 de cada lado</w:t>
            </w:r>
          </w:p>
        </w:tc>
        <w:tc>
          <w:tcPr>
            <w:tcW w:w="896"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No</w:t>
            </w:r>
          </w:p>
        </w:tc>
      </w:tr>
      <w:tr w:rsidR="00C0642E" w:rsidRPr="001D0C1C" w:rsidTr="003F082D">
        <w:tc>
          <w:tcPr>
            <w:tcW w:w="396"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2</w:t>
            </w:r>
          </w:p>
        </w:tc>
        <w:tc>
          <w:tcPr>
            <w:tcW w:w="1993"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TRX Tirón de nadador</w:t>
            </w:r>
          </w:p>
        </w:tc>
        <w:tc>
          <w:tcPr>
            <w:tcW w:w="514"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2</w:t>
            </w:r>
          </w:p>
        </w:tc>
        <w:tc>
          <w:tcPr>
            <w:tcW w:w="1201"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10</w:t>
            </w:r>
          </w:p>
        </w:tc>
        <w:tc>
          <w:tcPr>
            <w:tcW w:w="896"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30”</w:t>
            </w:r>
          </w:p>
        </w:tc>
      </w:tr>
      <w:tr w:rsidR="00C0642E" w:rsidRPr="001D0C1C" w:rsidTr="003F082D">
        <w:trPr>
          <w:trHeight w:val="70"/>
        </w:trPr>
        <w:tc>
          <w:tcPr>
            <w:tcW w:w="396"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3</w:t>
            </w:r>
          </w:p>
        </w:tc>
        <w:tc>
          <w:tcPr>
            <w:tcW w:w="1993"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TRX Aperturas para hombro en Y</w:t>
            </w:r>
          </w:p>
        </w:tc>
        <w:tc>
          <w:tcPr>
            <w:tcW w:w="514"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2</w:t>
            </w:r>
          </w:p>
        </w:tc>
        <w:tc>
          <w:tcPr>
            <w:tcW w:w="1201"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10</w:t>
            </w:r>
          </w:p>
        </w:tc>
        <w:tc>
          <w:tcPr>
            <w:tcW w:w="896"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30”</w:t>
            </w:r>
          </w:p>
        </w:tc>
      </w:tr>
      <w:tr w:rsidR="00C0642E" w:rsidRPr="001D0C1C" w:rsidTr="003F082D">
        <w:tc>
          <w:tcPr>
            <w:tcW w:w="396"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4</w:t>
            </w:r>
          </w:p>
        </w:tc>
        <w:tc>
          <w:tcPr>
            <w:tcW w:w="1993"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TRX Aperturas para hombro en T</w:t>
            </w:r>
          </w:p>
        </w:tc>
        <w:tc>
          <w:tcPr>
            <w:tcW w:w="514"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2</w:t>
            </w:r>
          </w:p>
        </w:tc>
        <w:tc>
          <w:tcPr>
            <w:tcW w:w="1201"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10</w:t>
            </w:r>
          </w:p>
        </w:tc>
        <w:tc>
          <w:tcPr>
            <w:tcW w:w="896"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30”</w:t>
            </w:r>
          </w:p>
        </w:tc>
      </w:tr>
      <w:tr w:rsidR="00C0642E" w:rsidRPr="001D0C1C" w:rsidTr="003F082D">
        <w:tc>
          <w:tcPr>
            <w:tcW w:w="396"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5</w:t>
            </w:r>
          </w:p>
        </w:tc>
        <w:tc>
          <w:tcPr>
            <w:tcW w:w="1993"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TRX Aperturas inferiores para hombro</w:t>
            </w:r>
          </w:p>
        </w:tc>
        <w:tc>
          <w:tcPr>
            <w:tcW w:w="514"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2</w:t>
            </w:r>
          </w:p>
        </w:tc>
        <w:tc>
          <w:tcPr>
            <w:tcW w:w="1201"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10</w:t>
            </w:r>
          </w:p>
        </w:tc>
        <w:tc>
          <w:tcPr>
            <w:tcW w:w="896"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30”</w:t>
            </w:r>
          </w:p>
        </w:tc>
      </w:tr>
      <w:tr w:rsidR="00C0642E" w:rsidRPr="001D0C1C" w:rsidTr="003F082D">
        <w:tc>
          <w:tcPr>
            <w:tcW w:w="396"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6</w:t>
            </w:r>
          </w:p>
        </w:tc>
        <w:tc>
          <w:tcPr>
            <w:tcW w:w="1993"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TRX Extensión de espalda con los brazos</w:t>
            </w:r>
          </w:p>
        </w:tc>
        <w:tc>
          <w:tcPr>
            <w:tcW w:w="514"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2</w:t>
            </w:r>
          </w:p>
        </w:tc>
        <w:tc>
          <w:tcPr>
            <w:tcW w:w="1201"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15</w:t>
            </w:r>
          </w:p>
        </w:tc>
        <w:tc>
          <w:tcPr>
            <w:tcW w:w="896" w:type="pct"/>
            <w:shd w:val="clear" w:color="auto" w:fill="auto"/>
            <w:vAlign w:val="center"/>
          </w:tcPr>
          <w:p w:rsidR="00C0642E" w:rsidRPr="001D0C1C" w:rsidRDefault="00C0642E" w:rsidP="00373797">
            <w:pPr>
              <w:spacing w:line="276" w:lineRule="auto"/>
              <w:jc w:val="both"/>
              <w:rPr>
                <w:rFonts w:ascii="Times New Roman" w:hAnsi="Times New Roman" w:cs="Times New Roman"/>
              </w:rPr>
            </w:pPr>
            <w:r w:rsidRPr="001D0C1C">
              <w:rPr>
                <w:rFonts w:ascii="Times New Roman" w:hAnsi="Times New Roman" w:cs="Times New Roman"/>
              </w:rPr>
              <w:t>30”</w:t>
            </w:r>
          </w:p>
        </w:tc>
      </w:tr>
    </w:tbl>
    <w:p w:rsidR="00C0642E" w:rsidRPr="001D0C1C" w:rsidRDefault="00C0642E" w:rsidP="00373797">
      <w:pPr>
        <w:spacing w:line="276" w:lineRule="auto"/>
        <w:jc w:val="both"/>
        <w:rPr>
          <w:rFonts w:ascii="Times New Roman" w:hAnsi="Times New Roman" w:cs="Times New Roman"/>
        </w:rPr>
      </w:pPr>
    </w:p>
    <w:p w:rsidR="003F082D" w:rsidRPr="001D0C1C" w:rsidRDefault="00D021DD" w:rsidP="00373797">
      <w:pPr>
        <w:keepNext/>
        <w:spacing w:line="276" w:lineRule="auto"/>
        <w:jc w:val="both"/>
        <w:rPr>
          <w:rFonts w:ascii="Times New Roman" w:hAnsi="Times New Roman" w:cs="Times New Roman"/>
        </w:rPr>
      </w:pPr>
      <w:r>
        <w:rPr>
          <w:noProof/>
          <w:lang w:eastAsia="es-ES"/>
        </w:rPr>
        <w:lastRenderedPageBreak/>
        <w:drawing>
          <wp:inline distT="0" distB="0" distL="0" distR="0" wp14:anchorId="3103A170" wp14:editId="67C310FA">
            <wp:extent cx="6562725" cy="4528820"/>
            <wp:effectExtent l="0" t="0" r="952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62725" cy="4528820"/>
                    </a:xfrm>
                    <a:prstGeom prst="rect">
                      <a:avLst/>
                    </a:prstGeom>
                  </pic:spPr>
                </pic:pic>
              </a:graphicData>
            </a:graphic>
          </wp:inline>
        </w:drawing>
      </w:r>
    </w:p>
    <w:p w:rsidR="00045922" w:rsidRDefault="003F082D" w:rsidP="00373797">
      <w:pPr>
        <w:pStyle w:val="Descripcin"/>
        <w:spacing w:line="276" w:lineRule="auto"/>
        <w:jc w:val="both"/>
        <w:rPr>
          <w:rFonts w:ascii="Times New Roman" w:hAnsi="Times New Roman" w:cs="Times New Roman"/>
          <w:szCs w:val="24"/>
        </w:rPr>
      </w:pPr>
      <w:r w:rsidRPr="001D0C1C">
        <w:rPr>
          <w:rFonts w:ascii="Times New Roman" w:hAnsi="Times New Roman" w:cs="Times New Roman"/>
          <w:szCs w:val="24"/>
        </w:rPr>
        <w:t xml:space="preserve">Ilustración </w:t>
      </w:r>
      <w:r w:rsidRPr="001D0C1C">
        <w:rPr>
          <w:rFonts w:ascii="Times New Roman" w:hAnsi="Times New Roman" w:cs="Times New Roman"/>
          <w:szCs w:val="24"/>
        </w:rPr>
        <w:fldChar w:fldCharType="begin"/>
      </w:r>
      <w:r w:rsidRPr="001D0C1C">
        <w:rPr>
          <w:rFonts w:ascii="Times New Roman" w:hAnsi="Times New Roman" w:cs="Times New Roman"/>
          <w:szCs w:val="24"/>
        </w:rPr>
        <w:instrText xml:space="preserve"> SEQ Ilustración \* ARABIC </w:instrText>
      </w:r>
      <w:r w:rsidRPr="001D0C1C">
        <w:rPr>
          <w:rFonts w:ascii="Times New Roman" w:hAnsi="Times New Roman" w:cs="Times New Roman"/>
          <w:szCs w:val="24"/>
        </w:rPr>
        <w:fldChar w:fldCharType="separate"/>
      </w:r>
      <w:r w:rsidR="002674A7">
        <w:rPr>
          <w:rFonts w:ascii="Times New Roman" w:hAnsi="Times New Roman" w:cs="Times New Roman"/>
          <w:noProof/>
          <w:szCs w:val="24"/>
        </w:rPr>
        <w:t>1</w:t>
      </w:r>
      <w:r w:rsidRPr="001D0C1C">
        <w:rPr>
          <w:rFonts w:ascii="Times New Roman" w:hAnsi="Times New Roman" w:cs="Times New Roman"/>
          <w:szCs w:val="24"/>
        </w:rPr>
        <w:fldChar w:fldCharType="end"/>
      </w:r>
      <w:r w:rsidRPr="001D0C1C">
        <w:rPr>
          <w:rFonts w:ascii="Times New Roman" w:hAnsi="Times New Roman" w:cs="Times New Roman"/>
          <w:szCs w:val="24"/>
        </w:rPr>
        <w:t xml:space="preserve">. </w:t>
      </w:r>
      <w:r w:rsidR="00746AE4" w:rsidRPr="001D0C1C">
        <w:rPr>
          <w:rFonts w:ascii="Times New Roman" w:hAnsi="Times New Roman" w:cs="Times New Roman"/>
          <w:b w:val="0"/>
          <w:szCs w:val="24"/>
        </w:rPr>
        <w:t>Imagen t</w:t>
      </w:r>
      <w:r w:rsidR="00D021DD">
        <w:rPr>
          <w:rFonts w:ascii="Times New Roman" w:hAnsi="Times New Roman" w:cs="Times New Roman"/>
          <w:b w:val="0"/>
          <w:szCs w:val="24"/>
        </w:rPr>
        <w:t>omada</w:t>
      </w:r>
      <w:r w:rsidRPr="001D0C1C">
        <w:rPr>
          <w:rFonts w:ascii="Times New Roman" w:hAnsi="Times New Roman" w:cs="Times New Roman"/>
          <w:b w:val="0"/>
          <w:szCs w:val="24"/>
        </w:rPr>
        <w:t xml:space="preserve"> y a</w:t>
      </w:r>
      <w:r w:rsidR="00D021DD">
        <w:rPr>
          <w:rFonts w:ascii="Times New Roman" w:hAnsi="Times New Roman" w:cs="Times New Roman"/>
          <w:b w:val="0"/>
          <w:szCs w:val="24"/>
        </w:rPr>
        <w:t>daptada</w:t>
      </w:r>
      <w:r w:rsidR="00746AE4" w:rsidRPr="001D0C1C">
        <w:rPr>
          <w:rFonts w:ascii="Times New Roman" w:hAnsi="Times New Roman" w:cs="Times New Roman"/>
          <w:b w:val="0"/>
          <w:szCs w:val="24"/>
        </w:rPr>
        <w:t xml:space="preserve"> de “Práctica guía con los ejercicios que puedes realizar con tu TRX”. Disponible en: </w:t>
      </w:r>
      <w:hyperlink r:id="rId11" w:history="1">
        <w:r w:rsidR="00746AE4" w:rsidRPr="001D0C1C">
          <w:rPr>
            <w:rStyle w:val="Hipervnculo"/>
            <w:rFonts w:ascii="Times New Roman" w:hAnsi="Times New Roman" w:cs="Times New Roman"/>
            <w:b w:val="0"/>
            <w:szCs w:val="24"/>
          </w:rPr>
          <w:t>https://issuu.com/fitnessdigital/docs/guiaejerciciostrx</w:t>
        </w:r>
      </w:hyperlink>
      <w:r w:rsidR="00746AE4" w:rsidRPr="001D0C1C">
        <w:rPr>
          <w:rFonts w:ascii="Times New Roman" w:hAnsi="Times New Roman" w:cs="Times New Roman"/>
          <w:szCs w:val="24"/>
        </w:rPr>
        <w:t xml:space="preserve"> </w:t>
      </w:r>
    </w:p>
    <w:p w:rsidR="00D021DD" w:rsidRDefault="00D021DD" w:rsidP="00373797">
      <w:pPr>
        <w:jc w:val="both"/>
      </w:pPr>
    </w:p>
    <w:p w:rsidR="00D021DD" w:rsidRPr="00D021DD" w:rsidRDefault="00D021DD" w:rsidP="00373797">
      <w:pPr>
        <w:jc w:val="both"/>
      </w:pPr>
      <w:r>
        <w:rPr>
          <w:noProof/>
          <w:lang w:eastAsia="es-ES"/>
        </w:rPr>
        <w:drawing>
          <wp:inline distT="0" distB="0" distL="0" distR="0" wp14:anchorId="0E4600A4" wp14:editId="07E5FF73">
            <wp:extent cx="6562725" cy="427164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62725" cy="4271645"/>
                    </a:xfrm>
                    <a:prstGeom prst="rect">
                      <a:avLst/>
                    </a:prstGeom>
                  </pic:spPr>
                </pic:pic>
              </a:graphicData>
            </a:graphic>
          </wp:inline>
        </w:drawing>
      </w:r>
    </w:p>
    <w:p w:rsidR="00746AE4" w:rsidRPr="001D0C1C" w:rsidRDefault="00746AE4" w:rsidP="00373797">
      <w:pPr>
        <w:pStyle w:val="Descripcin"/>
        <w:spacing w:line="276" w:lineRule="auto"/>
        <w:jc w:val="both"/>
        <w:rPr>
          <w:rFonts w:ascii="Times New Roman" w:hAnsi="Times New Roman" w:cs="Times New Roman"/>
          <w:b w:val="0"/>
          <w:szCs w:val="24"/>
        </w:rPr>
      </w:pPr>
      <w:r w:rsidRPr="001D0C1C">
        <w:rPr>
          <w:rFonts w:ascii="Times New Roman" w:hAnsi="Times New Roman" w:cs="Times New Roman"/>
          <w:szCs w:val="24"/>
        </w:rPr>
        <w:lastRenderedPageBreak/>
        <w:t xml:space="preserve">Ilustración </w:t>
      </w:r>
      <w:r w:rsidR="00D81CFE" w:rsidRPr="001D0C1C">
        <w:rPr>
          <w:rFonts w:ascii="Times New Roman" w:hAnsi="Times New Roman" w:cs="Times New Roman"/>
          <w:szCs w:val="24"/>
        </w:rPr>
        <w:t>2</w:t>
      </w:r>
      <w:r w:rsidRPr="001D0C1C">
        <w:rPr>
          <w:rFonts w:ascii="Times New Roman" w:hAnsi="Times New Roman" w:cs="Times New Roman"/>
          <w:szCs w:val="24"/>
        </w:rPr>
        <w:t xml:space="preserve">. </w:t>
      </w:r>
      <w:r w:rsidRPr="001D0C1C">
        <w:rPr>
          <w:rFonts w:ascii="Times New Roman" w:hAnsi="Times New Roman" w:cs="Times New Roman"/>
          <w:b w:val="0"/>
          <w:szCs w:val="24"/>
        </w:rPr>
        <w:t>Imagen tomad</w:t>
      </w:r>
      <w:r w:rsidR="00511CB1">
        <w:rPr>
          <w:rFonts w:ascii="Times New Roman" w:hAnsi="Times New Roman" w:cs="Times New Roman"/>
          <w:b w:val="0"/>
          <w:szCs w:val="24"/>
        </w:rPr>
        <w:t>a</w:t>
      </w:r>
      <w:r w:rsidRPr="001D0C1C">
        <w:rPr>
          <w:rFonts w:ascii="Times New Roman" w:hAnsi="Times New Roman" w:cs="Times New Roman"/>
          <w:b w:val="0"/>
          <w:szCs w:val="24"/>
        </w:rPr>
        <w:t xml:space="preserve"> y adaptad</w:t>
      </w:r>
      <w:r w:rsidR="00511CB1">
        <w:rPr>
          <w:rFonts w:ascii="Times New Roman" w:hAnsi="Times New Roman" w:cs="Times New Roman"/>
          <w:b w:val="0"/>
          <w:szCs w:val="24"/>
        </w:rPr>
        <w:t>a</w:t>
      </w:r>
      <w:r w:rsidRPr="001D0C1C">
        <w:rPr>
          <w:rFonts w:ascii="Times New Roman" w:hAnsi="Times New Roman" w:cs="Times New Roman"/>
          <w:b w:val="0"/>
          <w:szCs w:val="24"/>
        </w:rPr>
        <w:t xml:space="preserve"> de “Práctica guía con los ejercicios que puedes realizar con tu TRX”. Disponible en: </w:t>
      </w:r>
      <w:hyperlink r:id="rId13" w:history="1">
        <w:r w:rsidRPr="001D0C1C">
          <w:rPr>
            <w:rStyle w:val="Hipervnculo"/>
            <w:rFonts w:ascii="Times New Roman" w:hAnsi="Times New Roman" w:cs="Times New Roman"/>
            <w:b w:val="0"/>
            <w:szCs w:val="24"/>
          </w:rPr>
          <w:t>https://issuu.com/fitnessdigital/docs/guiaejerciciostrx</w:t>
        </w:r>
      </w:hyperlink>
      <w:r w:rsidRPr="001D0C1C">
        <w:rPr>
          <w:rFonts w:ascii="Times New Roman" w:hAnsi="Times New Roman" w:cs="Times New Roman"/>
          <w:szCs w:val="24"/>
        </w:rPr>
        <w:t xml:space="preserve"> </w:t>
      </w:r>
    </w:p>
    <w:p w:rsidR="00045922" w:rsidRPr="001D0C1C" w:rsidRDefault="00A57173" w:rsidP="00373797">
      <w:pPr>
        <w:spacing w:line="276" w:lineRule="auto"/>
        <w:jc w:val="both"/>
        <w:rPr>
          <w:rFonts w:ascii="Times New Roman" w:hAnsi="Times New Roman" w:cs="Times New Roman"/>
        </w:rPr>
      </w:pPr>
      <w:r>
        <w:rPr>
          <w:noProof/>
          <w:lang w:eastAsia="es-ES"/>
        </w:rPr>
        <w:drawing>
          <wp:inline distT="0" distB="0" distL="0" distR="0" wp14:anchorId="27C1004B" wp14:editId="7062D94B">
            <wp:extent cx="6562725" cy="4283213"/>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64528" cy="4284390"/>
                    </a:xfrm>
                    <a:prstGeom prst="rect">
                      <a:avLst/>
                    </a:prstGeom>
                  </pic:spPr>
                </pic:pic>
              </a:graphicData>
            </a:graphic>
          </wp:inline>
        </w:drawing>
      </w:r>
    </w:p>
    <w:p w:rsidR="00A54934" w:rsidRPr="001D0C1C" w:rsidRDefault="00A57173" w:rsidP="00373797">
      <w:pPr>
        <w:spacing w:line="276" w:lineRule="auto"/>
        <w:jc w:val="both"/>
        <w:rPr>
          <w:rFonts w:ascii="Times New Roman" w:hAnsi="Times New Roman" w:cs="Times New Roman"/>
        </w:rPr>
      </w:pPr>
      <w:r w:rsidRPr="00A57173">
        <w:rPr>
          <w:rFonts w:ascii="Times New Roman" w:hAnsi="Times New Roman" w:cs="Times New Roman"/>
          <w:b/>
        </w:rPr>
        <w:t>Ilustración 3</w:t>
      </w:r>
      <w:r w:rsidRPr="001D0C1C">
        <w:rPr>
          <w:rFonts w:ascii="Times New Roman" w:hAnsi="Times New Roman" w:cs="Times New Roman"/>
        </w:rPr>
        <w:t>. Imagen tomad</w:t>
      </w:r>
      <w:r w:rsidR="00511CB1">
        <w:rPr>
          <w:rFonts w:ascii="Times New Roman" w:hAnsi="Times New Roman" w:cs="Times New Roman"/>
        </w:rPr>
        <w:t>a</w:t>
      </w:r>
      <w:r w:rsidRPr="001D0C1C">
        <w:rPr>
          <w:rFonts w:ascii="Times New Roman" w:hAnsi="Times New Roman" w:cs="Times New Roman"/>
        </w:rPr>
        <w:t xml:space="preserve"> y adaptad</w:t>
      </w:r>
      <w:r w:rsidR="00511CB1">
        <w:rPr>
          <w:rFonts w:ascii="Times New Roman" w:hAnsi="Times New Roman" w:cs="Times New Roman"/>
        </w:rPr>
        <w:t>a</w:t>
      </w:r>
      <w:r w:rsidRPr="001D0C1C">
        <w:rPr>
          <w:rFonts w:ascii="Times New Roman" w:hAnsi="Times New Roman" w:cs="Times New Roman"/>
        </w:rPr>
        <w:t xml:space="preserve"> de “Práctica guía con los ejercicios que puedes realizar con tu TRX”. Disponible en: </w:t>
      </w:r>
      <w:hyperlink r:id="rId15" w:history="1">
        <w:r w:rsidRPr="001D0C1C">
          <w:rPr>
            <w:rStyle w:val="Hipervnculo"/>
            <w:rFonts w:ascii="Times New Roman" w:hAnsi="Times New Roman" w:cs="Times New Roman"/>
          </w:rPr>
          <w:t>https://issuu.com/fitnessdigital/docs/guiaejerciciostrx</w:t>
        </w:r>
      </w:hyperlink>
    </w:p>
    <w:p w:rsidR="00045922" w:rsidRPr="001D0C1C" w:rsidRDefault="00A54934" w:rsidP="00373797">
      <w:pPr>
        <w:pStyle w:val="Ttulo2"/>
        <w:jc w:val="both"/>
      </w:pPr>
      <w:r w:rsidRPr="001D0C1C">
        <w:t xml:space="preserve">Anexo 2. </w:t>
      </w:r>
      <w:r w:rsidR="00045922" w:rsidRPr="001D0C1C">
        <w:t>Programa de ejercicios con TRX específicos para rodilla</w:t>
      </w:r>
    </w:p>
    <w:tbl>
      <w:tblPr>
        <w:tblW w:w="5000" w:type="pct"/>
        <w:tblBorders>
          <w:top w:val="single" w:sz="4" w:space="0" w:color="7F7F7F"/>
          <w:bottom w:val="single" w:sz="4" w:space="0" w:color="7F7F7F"/>
        </w:tblBorders>
        <w:tblLook w:val="0620" w:firstRow="1" w:lastRow="0" w:firstColumn="0" w:lastColumn="0" w:noHBand="1" w:noVBand="1"/>
      </w:tblPr>
      <w:tblGrid>
        <w:gridCol w:w="632"/>
        <w:gridCol w:w="4194"/>
        <w:gridCol w:w="1040"/>
        <w:gridCol w:w="2427"/>
        <w:gridCol w:w="2042"/>
      </w:tblGrid>
      <w:tr w:rsidR="00045922" w:rsidRPr="001D0C1C" w:rsidTr="00560B16">
        <w:trPr>
          <w:trHeight w:val="1134"/>
        </w:trPr>
        <w:tc>
          <w:tcPr>
            <w:tcW w:w="306" w:type="pct"/>
            <w:tcBorders>
              <w:bottom w:val="single" w:sz="4" w:space="0" w:color="7F7F7F"/>
            </w:tcBorders>
            <w:shd w:val="clear" w:color="auto" w:fill="auto"/>
          </w:tcPr>
          <w:p w:rsidR="00045922" w:rsidRPr="001D0C1C" w:rsidRDefault="00045922" w:rsidP="00373797">
            <w:pPr>
              <w:jc w:val="both"/>
              <w:rPr>
                <w:rFonts w:ascii="Times New Roman" w:hAnsi="Times New Roman" w:cs="Times New Roman"/>
                <w:b/>
                <w:bCs/>
                <w:vertAlign w:val="superscript"/>
              </w:rPr>
            </w:pPr>
            <w:r w:rsidRPr="001D0C1C">
              <w:rPr>
                <w:rFonts w:ascii="Times New Roman" w:hAnsi="Times New Roman" w:cs="Times New Roman"/>
                <w:b/>
                <w:bCs/>
              </w:rPr>
              <w:t>N</w:t>
            </w:r>
          </w:p>
        </w:tc>
        <w:tc>
          <w:tcPr>
            <w:tcW w:w="2029" w:type="pct"/>
            <w:tcBorders>
              <w:bottom w:val="single" w:sz="4" w:space="0" w:color="7F7F7F"/>
            </w:tcBorders>
            <w:shd w:val="clear" w:color="auto" w:fill="auto"/>
          </w:tcPr>
          <w:p w:rsidR="00045922" w:rsidRPr="001D0C1C" w:rsidRDefault="00045922" w:rsidP="00373797">
            <w:pPr>
              <w:jc w:val="both"/>
              <w:rPr>
                <w:rFonts w:ascii="Times New Roman" w:hAnsi="Times New Roman" w:cs="Times New Roman"/>
                <w:b/>
                <w:bCs/>
              </w:rPr>
            </w:pPr>
            <w:r w:rsidRPr="001D0C1C">
              <w:rPr>
                <w:rFonts w:ascii="Times New Roman" w:hAnsi="Times New Roman" w:cs="Times New Roman"/>
                <w:b/>
                <w:bCs/>
              </w:rPr>
              <w:t>EJERCICOS</w:t>
            </w:r>
          </w:p>
        </w:tc>
        <w:tc>
          <w:tcPr>
            <w:tcW w:w="503" w:type="pct"/>
            <w:tcBorders>
              <w:bottom w:val="single" w:sz="4" w:space="0" w:color="7F7F7F"/>
            </w:tcBorders>
            <w:shd w:val="clear" w:color="auto" w:fill="auto"/>
            <w:textDirection w:val="btLr"/>
          </w:tcPr>
          <w:p w:rsidR="00045922" w:rsidRPr="001D0C1C" w:rsidRDefault="00045922" w:rsidP="00373797">
            <w:pPr>
              <w:jc w:val="both"/>
              <w:rPr>
                <w:rFonts w:ascii="Times New Roman" w:hAnsi="Times New Roman" w:cs="Times New Roman"/>
                <w:b/>
                <w:bCs/>
              </w:rPr>
            </w:pPr>
            <w:r w:rsidRPr="001D0C1C">
              <w:rPr>
                <w:rFonts w:ascii="Times New Roman" w:hAnsi="Times New Roman" w:cs="Times New Roman"/>
                <w:b/>
                <w:bCs/>
              </w:rPr>
              <w:t>SERIES</w:t>
            </w:r>
          </w:p>
        </w:tc>
        <w:tc>
          <w:tcPr>
            <w:tcW w:w="1174" w:type="pct"/>
            <w:tcBorders>
              <w:bottom w:val="single" w:sz="4" w:space="0" w:color="7F7F7F"/>
            </w:tcBorders>
            <w:shd w:val="clear" w:color="auto" w:fill="auto"/>
          </w:tcPr>
          <w:p w:rsidR="00045922" w:rsidRPr="001D0C1C" w:rsidRDefault="00045922" w:rsidP="00373797">
            <w:pPr>
              <w:jc w:val="both"/>
              <w:rPr>
                <w:rFonts w:ascii="Times New Roman" w:hAnsi="Times New Roman" w:cs="Times New Roman"/>
                <w:b/>
                <w:bCs/>
              </w:rPr>
            </w:pPr>
            <w:r w:rsidRPr="001D0C1C">
              <w:rPr>
                <w:rFonts w:ascii="Times New Roman" w:hAnsi="Times New Roman" w:cs="Times New Roman"/>
                <w:b/>
                <w:bCs/>
              </w:rPr>
              <w:t>REPETICIONES</w:t>
            </w:r>
          </w:p>
        </w:tc>
        <w:tc>
          <w:tcPr>
            <w:tcW w:w="988" w:type="pct"/>
            <w:tcBorders>
              <w:bottom w:val="single" w:sz="4" w:space="0" w:color="7F7F7F"/>
            </w:tcBorders>
            <w:shd w:val="clear" w:color="auto" w:fill="auto"/>
          </w:tcPr>
          <w:p w:rsidR="00045922" w:rsidRPr="001D0C1C" w:rsidRDefault="00045922" w:rsidP="00373797">
            <w:pPr>
              <w:jc w:val="both"/>
              <w:rPr>
                <w:rFonts w:ascii="Times New Roman" w:hAnsi="Times New Roman" w:cs="Times New Roman"/>
                <w:b/>
                <w:bCs/>
              </w:rPr>
            </w:pPr>
            <w:r w:rsidRPr="001D0C1C">
              <w:rPr>
                <w:rFonts w:ascii="Times New Roman" w:hAnsi="Times New Roman" w:cs="Times New Roman"/>
                <w:b/>
                <w:bCs/>
              </w:rPr>
              <w:t>RELAX</w:t>
            </w:r>
          </w:p>
        </w:tc>
      </w:tr>
      <w:tr w:rsidR="00045922" w:rsidRPr="001D0C1C" w:rsidTr="00560B16">
        <w:tc>
          <w:tcPr>
            <w:tcW w:w="306"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1</w:t>
            </w:r>
          </w:p>
        </w:tc>
        <w:tc>
          <w:tcPr>
            <w:tcW w:w="2029"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TRX Tijera</w:t>
            </w:r>
          </w:p>
        </w:tc>
        <w:tc>
          <w:tcPr>
            <w:tcW w:w="503"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2</w:t>
            </w:r>
          </w:p>
        </w:tc>
        <w:tc>
          <w:tcPr>
            <w:tcW w:w="1174"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10 de cada lado</w:t>
            </w:r>
          </w:p>
        </w:tc>
        <w:tc>
          <w:tcPr>
            <w:tcW w:w="988"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No</w:t>
            </w:r>
          </w:p>
        </w:tc>
      </w:tr>
      <w:tr w:rsidR="00045922" w:rsidRPr="001D0C1C" w:rsidTr="00560B16">
        <w:tc>
          <w:tcPr>
            <w:tcW w:w="306"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2</w:t>
            </w:r>
          </w:p>
        </w:tc>
        <w:tc>
          <w:tcPr>
            <w:tcW w:w="2029"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TRX Sentadilla a una sola pierna</w:t>
            </w:r>
          </w:p>
        </w:tc>
        <w:tc>
          <w:tcPr>
            <w:tcW w:w="503"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2</w:t>
            </w:r>
          </w:p>
        </w:tc>
        <w:tc>
          <w:tcPr>
            <w:tcW w:w="1174"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10 de cada lado</w:t>
            </w:r>
          </w:p>
        </w:tc>
        <w:tc>
          <w:tcPr>
            <w:tcW w:w="988"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No</w:t>
            </w:r>
          </w:p>
        </w:tc>
      </w:tr>
      <w:tr w:rsidR="00045922" w:rsidRPr="001D0C1C" w:rsidTr="00560B16">
        <w:tc>
          <w:tcPr>
            <w:tcW w:w="306"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3</w:t>
            </w:r>
          </w:p>
        </w:tc>
        <w:tc>
          <w:tcPr>
            <w:tcW w:w="2029"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TRX Inicio de velocista</w:t>
            </w:r>
          </w:p>
        </w:tc>
        <w:tc>
          <w:tcPr>
            <w:tcW w:w="503"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2</w:t>
            </w:r>
          </w:p>
        </w:tc>
        <w:tc>
          <w:tcPr>
            <w:tcW w:w="1174"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10 de cada lado</w:t>
            </w:r>
          </w:p>
        </w:tc>
        <w:tc>
          <w:tcPr>
            <w:tcW w:w="988"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No</w:t>
            </w:r>
          </w:p>
        </w:tc>
      </w:tr>
      <w:tr w:rsidR="00045922" w:rsidRPr="001D0C1C" w:rsidTr="00560B16">
        <w:tc>
          <w:tcPr>
            <w:tcW w:w="306"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4</w:t>
            </w:r>
          </w:p>
        </w:tc>
        <w:tc>
          <w:tcPr>
            <w:tcW w:w="2029"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TRX Flexión de piernas</w:t>
            </w:r>
          </w:p>
        </w:tc>
        <w:tc>
          <w:tcPr>
            <w:tcW w:w="503"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2</w:t>
            </w:r>
          </w:p>
        </w:tc>
        <w:tc>
          <w:tcPr>
            <w:tcW w:w="1174"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10</w:t>
            </w:r>
          </w:p>
        </w:tc>
        <w:tc>
          <w:tcPr>
            <w:tcW w:w="988"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30”</w:t>
            </w:r>
          </w:p>
        </w:tc>
      </w:tr>
      <w:tr w:rsidR="00045922" w:rsidRPr="001D0C1C" w:rsidTr="00560B16">
        <w:tc>
          <w:tcPr>
            <w:tcW w:w="306"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5</w:t>
            </w:r>
          </w:p>
        </w:tc>
        <w:tc>
          <w:tcPr>
            <w:tcW w:w="2029"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TRX Flexión de piernas tipo bicicleta</w:t>
            </w:r>
          </w:p>
        </w:tc>
        <w:tc>
          <w:tcPr>
            <w:tcW w:w="503"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2</w:t>
            </w:r>
          </w:p>
        </w:tc>
        <w:tc>
          <w:tcPr>
            <w:tcW w:w="1174"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20 alternando lados</w:t>
            </w:r>
          </w:p>
        </w:tc>
        <w:tc>
          <w:tcPr>
            <w:tcW w:w="988"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30”</w:t>
            </w:r>
          </w:p>
        </w:tc>
      </w:tr>
      <w:tr w:rsidR="00045922" w:rsidRPr="001D0C1C" w:rsidTr="00560B16">
        <w:tc>
          <w:tcPr>
            <w:tcW w:w="306"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6</w:t>
            </w:r>
          </w:p>
        </w:tc>
        <w:tc>
          <w:tcPr>
            <w:tcW w:w="2029"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TRX Encogimientos abdominales</w:t>
            </w:r>
          </w:p>
        </w:tc>
        <w:tc>
          <w:tcPr>
            <w:tcW w:w="503"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2</w:t>
            </w:r>
          </w:p>
        </w:tc>
        <w:tc>
          <w:tcPr>
            <w:tcW w:w="1174"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10</w:t>
            </w:r>
          </w:p>
        </w:tc>
        <w:tc>
          <w:tcPr>
            <w:tcW w:w="988" w:type="pct"/>
            <w:shd w:val="clear" w:color="auto" w:fill="auto"/>
          </w:tcPr>
          <w:p w:rsidR="00045922" w:rsidRPr="001D0C1C" w:rsidRDefault="00045922" w:rsidP="00373797">
            <w:pPr>
              <w:jc w:val="both"/>
              <w:rPr>
                <w:rFonts w:ascii="Times New Roman" w:hAnsi="Times New Roman" w:cs="Times New Roman"/>
              </w:rPr>
            </w:pPr>
            <w:r w:rsidRPr="001D0C1C">
              <w:rPr>
                <w:rFonts w:ascii="Times New Roman" w:hAnsi="Times New Roman" w:cs="Times New Roman"/>
              </w:rPr>
              <w:t>30”</w:t>
            </w:r>
          </w:p>
        </w:tc>
      </w:tr>
    </w:tbl>
    <w:p w:rsidR="00045922" w:rsidRPr="001D0C1C" w:rsidRDefault="00045922" w:rsidP="00373797">
      <w:pPr>
        <w:spacing w:line="276" w:lineRule="auto"/>
        <w:jc w:val="both"/>
        <w:rPr>
          <w:rFonts w:ascii="Times New Roman" w:hAnsi="Times New Roman" w:cs="Times New Roman"/>
        </w:rPr>
      </w:pPr>
    </w:p>
    <w:p w:rsidR="00045922" w:rsidRPr="001D0C1C" w:rsidRDefault="003A50F8" w:rsidP="00373797">
      <w:pPr>
        <w:spacing w:line="276" w:lineRule="auto"/>
        <w:jc w:val="both"/>
        <w:rPr>
          <w:rFonts w:ascii="Times New Roman" w:hAnsi="Times New Roman" w:cs="Times New Roman"/>
        </w:rPr>
      </w:pPr>
      <w:r w:rsidRPr="001D0C1C">
        <w:rPr>
          <w:rFonts w:ascii="Times New Roman" w:hAnsi="Times New Roman" w:cs="Times New Roman"/>
          <w:noProof/>
          <w:lang w:eastAsia="es-ES"/>
        </w:rPr>
        <w:lastRenderedPageBreak/>
        <w:drawing>
          <wp:inline distT="0" distB="0" distL="0" distR="0">
            <wp:extent cx="6090920" cy="3721100"/>
            <wp:effectExtent l="0" t="0" r="0" b="0"/>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3351" t="8777" r="33875" b="27901"/>
                    <a:stretch>
                      <a:fillRect/>
                    </a:stretch>
                  </pic:blipFill>
                  <pic:spPr bwMode="auto">
                    <a:xfrm>
                      <a:off x="0" y="0"/>
                      <a:ext cx="6090920" cy="3721100"/>
                    </a:xfrm>
                    <a:prstGeom prst="rect">
                      <a:avLst/>
                    </a:prstGeom>
                    <a:noFill/>
                    <a:ln>
                      <a:noFill/>
                    </a:ln>
                  </pic:spPr>
                </pic:pic>
              </a:graphicData>
            </a:graphic>
          </wp:inline>
        </w:drawing>
      </w:r>
    </w:p>
    <w:p w:rsidR="00D81CFE" w:rsidRPr="001D0C1C" w:rsidRDefault="00D81CFE" w:rsidP="00373797">
      <w:pPr>
        <w:pStyle w:val="Descripcin"/>
        <w:spacing w:line="276" w:lineRule="auto"/>
        <w:jc w:val="both"/>
        <w:rPr>
          <w:rFonts w:ascii="Times New Roman" w:hAnsi="Times New Roman" w:cs="Times New Roman"/>
          <w:b w:val="0"/>
          <w:szCs w:val="24"/>
        </w:rPr>
      </w:pPr>
      <w:r w:rsidRPr="001D0C1C">
        <w:rPr>
          <w:rFonts w:ascii="Times New Roman" w:hAnsi="Times New Roman" w:cs="Times New Roman"/>
          <w:szCs w:val="24"/>
        </w:rPr>
        <w:t xml:space="preserve">Ilustración </w:t>
      </w:r>
      <w:r w:rsidR="00511CB1">
        <w:rPr>
          <w:rFonts w:ascii="Times New Roman" w:hAnsi="Times New Roman" w:cs="Times New Roman"/>
          <w:szCs w:val="24"/>
        </w:rPr>
        <w:t>4</w:t>
      </w:r>
      <w:r w:rsidRPr="001D0C1C">
        <w:rPr>
          <w:rFonts w:ascii="Times New Roman" w:hAnsi="Times New Roman" w:cs="Times New Roman"/>
          <w:szCs w:val="24"/>
        </w:rPr>
        <w:t xml:space="preserve">. </w:t>
      </w:r>
      <w:r w:rsidRPr="001D0C1C">
        <w:rPr>
          <w:rFonts w:ascii="Times New Roman" w:hAnsi="Times New Roman" w:cs="Times New Roman"/>
          <w:b w:val="0"/>
          <w:szCs w:val="24"/>
        </w:rPr>
        <w:t xml:space="preserve">Imagen tomado y adaptado de “Práctica guía con los ejercicios que puedes realizar con tu TRX”. Disponible en: </w:t>
      </w:r>
      <w:hyperlink r:id="rId17" w:history="1">
        <w:r w:rsidRPr="001D0C1C">
          <w:rPr>
            <w:rStyle w:val="Hipervnculo"/>
            <w:rFonts w:ascii="Times New Roman" w:hAnsi="Times New Roman" w:cs="Times New Roman"/>
            <w:b w:val="0"/>
            <w:szCs w:val="24"/>
          </w:rPr>
          <w:t>https://issuu.com/fitnessdigital/docs/guiaejerciciostrx</w:t>
        </w:r>
      </w:hyperlink>
      <w:r w:rsidRPr="001D0C1C">
        <w:rPr>
          <w:rFonts w:ascii="Times New Roman" w:hAnsi="Times New Roman" w:cs="Times New Roman"/>
          <w:szCs w:val="24"/>
        </w:rPr>
        <w:t xml:space="preserve"> </w:t>
      </w:r>
    </w:p>
    <w:p w:rsidR="00045922" w:rsidRPr="001D0C1C" w:rsidRDefault="005966E6" w:rsidP="00373797">
      <w:pPr>
        <w:spacing w:line="276" w:lineRule="auto"/>
        <w:jc w:val="both"/>
        <w:rPr>
          <w:rFonts w:ascii="Times New Roman" w:hAnsi="Times New Roman" w:cs="Times New Roman"/>
        </w:rPr>
      </w:pPr>
      <w:r>
        <w:rPr>
          <w:noProof/>
          <w:lang w:eastAsia="es-ES"/>
        </w:rPr>
        <w:drawing>
          <wp:inline distT="0" distB="0" distL="0" distR="0" wp14:anchorId="29E5670E" wp14:editId="2FEAA9BA">
            <wp:extent cx="6562725" cy="423081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63625" cy="4231392"/>
                    </a:xfrm>
                    <a:prstGeom prst="rect">
                      <a:avLst/>
                    </a:prstGeom>
                  </pic:spPr>
                </pic:pic>
              </a:graphicData>
            </a:graphic>
          </wp:inline>
        </w:drawing>
      </w:r>
    </w:p>
    <w:p w:rsidR="00511CB1" w:rsidRDefault="00511CB1" w:rsidP="00373797">
      <w:pPr>
        <w:pStyle w:val="Descripcin"/>
        <w:spacing w:line="276" w:lineRule="auto"/>
        <w:jc w:val="both"/>
        <w:rPr>
          <w:rFonts w:ascii="Times New Roman" w:hAnsi="Times New Roman" w:cs="Times New Roman"/>
          <w:b w:val="0"/>
          <w:szCs w:val="24"/>
        </w:rPr>
      </w:pPr>
      <w:r w:rsidRPr="001D0C1C">
        <w:rPr>
          <w:rFonts w:ascii="Times New Roman" w:hAnsi="Times New Roman" w:cs="Times New Roman"/>
          <w:szCs w:val="24"/>
        </w:rPr>
        <w:t xml:space="preserve">Ilustración </w:t>
      </w:r>
      <w:r w:rsidR="005966E6">
        <w:rPr>
          <w:rFonts w:ascii="Times New Roman" w:hAnsi="Times New Roman" w:cs="Times New Roman"/>
          <w:szCs w:val="24"/>
        </w:rPr>
        <w:t>5</w:t>
      </w:r>
      <w:r w:rsidRPr="001D0C1C">
        <w:rPr>
          <w:rFonts w:ascii="Times New Roman" w:hAnsi="Times New Roman" w:cs="Times New Roman"/>
          <w:szCs w:val="24"/>
        </w:rPr>
        <w:t xml:space="preserve">. </w:t>
      </w:r>
      <w:r w:rsidRPr="001D0C1C">
        <w:rPr>
          <w:rFonts w:ascii="Times New Roman" w:hAnsi="Times New Roman" w:cs="Times New Roman"/>
          <w:b w:val="0"/>
          <w:szCs w:val="24"/>
        </w:rPr>
        <w:t xml:space="preserve">Imagen tomado y adaptado de “Práctica guía con los ejercicios que puedes realizar con tu TRX”. Disponible en: </w:t>
      </w:r>
      <w:hyperlink r:id="rId19" w:history="1">
        <w:r w:rsidR="005966E6" w:rsidRPr="0006766B">
          <w:rPr>
            <w:rStyle w:val="Hipervnculo"/>
            <w:rFonts w:ascii="Times New Roman" w:hAnsi="Times New Roman" w:cs="Times New Roman"/>
            <w:b w:val="0"/>
            <w:szCs w:val="24"/>
          </w:rPr>
          <w:t>https://issuu.com/fitnessdigital/docs/guiaejerciciostrx</w:t>
        </w:r>
      </w:hyperlink>
      <w:r w:rsidR="005966E6">
        <w:rPr>
          <w:rFonts w:ascii="Times New Roman" w:hAnsi="Times New Roman" w:cs="Times New Roman"/>
          <w:b w:val="0"/>
          <w:szCs w:val="24"/>
        </w:rPr>
        <w:t xml:space="preserve"> </w:t>
      </w:r>
    </w:p>
    <w:p w:rsidR="003637F7" w:rsidRDefault="000057A6" w:rsidP="00373797">
      <w:pPr>
        <w:jc w:val="both"/>
      </w:pPr>
      <w:r>
        <w:rPr>
          <w:noProof/>
          <w:lang w:eastAsia="es-ES"/>
        </w:rPr>
        <w:lastRenderedPageBreak/>
        <w:drawing>
          <wp:inline distT="0" distB="0" distL="0" distR="0" wp14:anchorId="1A57B2A1" wp14:editId="6F5A97B1">
            <wp:extent cx="6562145" cy="424599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172"/>
                    <a:stretch/>
                  </pic:blipFill>
                  <pic:spPr bwMode="auto">
                    <a:xfrm>
                      <a:off x="0" y="0"/>
                      <a:ext cx="6563548" cy="4246905"/>
                    </a:xfrm>
                    <a:prstGeom prst="rect">
                      <a:avLst/>
                    </a:prstGeom>
                    <a:ln>
                      <a:noFill/>
                    </a:ln>
                    <a:extLst>
                      <a:ext uri="{53640926-AAD7-44D8-BBD7-CCE9431645EC}">
                        <a14:shadowObscured xmlns:a14="http://schemas.microsoft.com/office/drawing/2010/main"/>
                      </a:ext>
                    </a:extLst>
                  </pic:spPr>
                </pic:pic>
              </a:graphicData>
            </a:graphic>
          </wp:inline>
        </w:drawing>
      </w:r>
    </w:p>
    <w:p w:rsidR="003637F7" w:rsidRPr="001D0C1C" w:rsidRDefault="003637F7" w:rsidP="00373797">
      <w:pPr>
        <w:pStyle w:val="Descripcin"/>
        <w:spacing w:line="276" w:lineRule="auto"/>
        <w:jc w:val="both"/>
        <w:rPr>
          <w:rFonts w:ascii="Times New Roman" w:hAnsi="Times New Roman" w:cs="Times New Roman"/>
          <w:b w:val="0"/>
          <w:szCs w:val="24"/>
        </w:rPr>
      </w:pPr>
      <w:r w:rsidRPr="001D0C1C">
        <w:rPr>
          <w:rFonts w:ascii="Times New Roman" w:hAnsi="Times New Roman" w:cs="Times New Roman"/>
          <w:szCs w:val="24"/>
        </w:rPr>
        <w:t xml:space="preserve">Ilustración </w:t>
      </w:r>
      <w:r>
        <w:rPr>
          <w:rFonts w:ascii="Times New Roman" w:hAnsi="Times New Roman" w:cs="Times New Roman"/>
          <w:szCs w:val="24"/>
        </w:rPr>
        <w:t>6</w:t>
      </w:r>
      <w:r w:rsidRPr="001D0C1C">
        <w:rPr>
          <w:rFonts w:ascii="Times New Roman" w:hAnsi="Times New Roman" w:cs="Times New Roman"/>
          <w:szCs w:val="24"/>
        </w:rPr>
        <w:t xml:space="preserve">. </w:t>
      </w:r>
      <w:r w:rsidRPr="001D0C1C">
        <w:rPr>
          <w:rFonts w:ascii="Times New Roman" w:hAnsi="Times New Roman" w:cs="Times New Roman"/>
          <w:b w:val="0"/>
          <w:szCs w:val="24"/>
        </w:rPr>
        <w:t xml:space="preserve">Imagen tomado y adaptado de “Práctica guía con los ejercicios que puedes realizar con tu TRX”. Disponible en: </w:t>
      </w:r>
      <w:hyperlink r:id="rId21" w:history="1">
        <w:r w:rsidRPr="0006766B">
          <w:rPr>
            <w:rStyle w:val="Hipervnculo"/>
            <w:rFonts w:ascii="Times New Roman" w:hAnsi="Times New Roman" w:cs="Times New Roman"/>
            <w:b w:val="0"/>
            <w:szCs w:val="24"/>
          </w:rPr>
          <w:t>https://issuu.com/fitnessdigital/docs/guiaejerciciostrx</w:t>
        </w:r>
      </w:hyperlink>
      <w:r>
        <w:rPr>
          <w:rFonts w:ascii="Times New Roman" w:hAnsi="Times New Roman" w:cs="Times New Roman"/>
          <w:b w:val="0"/>
          <w:szCs w:val="24"/>
        </w:rPr>
        <w:t xml:space="preserve"> </w:t>
      </w:r>
    </w:p>
    <w:p w:rsidR="00524E6A" w:rsidRPr="001D0C1C" w:rsidRDefault="00524E6A" w:rsidP="00373797">
      <w:pPr>
        <w:jc w:val="both"/>
        <w:rPr>
          <w:rFonts w:ascii="Times New Roman" w:hAnsi="Times New Roman" w:cs="Times New Roman"/>
        </w:rPr>
        <w:sectPr w:rsidR="00524E6A" w:rsidRPr="001D0C1C" w:rsidSect="00BD7A70">
          <w:pgSz w:w="11906" w:h="16838"/>
          <w:pgMar w:top="851" w:right="720" w:bottom="720" w:left="851" w:header="708" w:footer="708" w:gutter="0"/>
          <w:cols w:space="708"/>
          <w:docGrid w:linePitch="360"/>
        </w:sectPr>
      </w:pPr>
    </w:p>
    <w:tbl>
      <w:tblPr>
        <w:tblStyle w:val="Tablanormal2"/>
        <w:tblW w:w="5000" w:type="pct"/>
        <w:tblLook w:val="0620" w:firstRow="1" w:lastRow="0" w:firstColumn="0" w:lastColumn="0" w:noHBand="1" w:noVBand="1"/>
      </w:tblPr>
      <w:tblGrid>
        <w:gridCol w:w="3131"/>
        <w:gridCol w:w="3104"/>
        <w:gridCol w:w="3121"/>
      </w:tblGrid>
      <w:tr w:rsidR="00524E6A" w:rsidRPr="0063091E" w:rsidTr="00373797">
        <w:trPr>
          <w:cnfStyle w:val="100000000000" w:firstRow="1" w:lastRow="0" w:firstColumn="0" w:lastColumn="0" w:oddVBand="0" w:evenVBand="0" w:oddHBand="0" w:evenHBand="0" w:firstRowFirstColumn="0" w:firstRowLastColumn="0" w:lastRowFirstColumn="0" w:lastRowLastColumn="0"/>
        </w:trPr>
        <w:tc>
          <w:tcPr>
            <w:tcW w:w="5000" w:type="pct"/>
            <w:gridSpan w:val="3"/>
          </w:tcPr>
          <w:p w:rsidR="00524E6A" w:rsidRPr="0063091E" w:rsidRDefault="00524E6A" w:rsidP="00373797">
            <w:pPr>
              <w:pStyle w:val="Ttulo2"/>
              <w:jc w:val="both"/>
              <w:outlineLvl w:val="1"/>
              <w:rPr>
                <w:bCs/>
                <w:sz w:val="24"/>
              </w:rPr>
            </w:pPr>
            <w:r w:rsidRPr="0063091E">
              <w:rPr>
                <w:b/>
                <w:bCs/>
                <w:sz w:val="24"/>
              </w:rPr>
              <w:lastRenderedPageBreak/>
              <w:t>Anexo 3.</w:t>
            </w:r>
            <w:r w:rsidRPr="0063091E">
              <w:rPr>
                <w:bCs/>
                <w:sz w:val="24"/>
              </w:rPr>
              <w:t xml:space="preserve"> </w:t>
            </w:r>
            <w:r w:rsidR="0081430E" w:rsidRPr="0063091E">
              <w:rPr>
                <w:b/>
                <w:bCs/>
                <w:sz w:val="24"/>
              </w:rPr>
              <w:t>Usos</w:t>
            </w:r>
            <w:r w:rsidRPr="0063091E">
              <w:rPr>
                <w:b/>
                <w:bCs/>
                <w:sz w:val="24"/>
              </w:rPr>
              <w:t xml:space="preserve"> de</w:t>
            </w:r>
            <w:r w:rsidR="0081430E" w:rsidRPr="0063091E">
              <w:rPr>
                <w:b/>
                <w:bCs/>
                <w:sz w:val="24"/>
              </w:rPr>
              <w:t>l</w:t>
            </w:r>
            <w:r w:rsidRPr="0063091E">
              <w:rPr>
                <w:b/>
                <w:bCs/>
                <w:sz w:val="24"/>
              </w:rPr>
              <w:t xml:space="preserve"> entrena</w:t>
            </w:r>
            <w:r w:rsidR="0081430E" w:rsidRPr="0063091E">
              <w:rPr>
                <w:b/>
                <w:bCs/>
                <w:sz w:val="24"/>
              </w:rPr>
              <w:t>dor</w:t>
            </w:r>
            <w:r w:rsidRPr="0063091E">
              <w:rPr>
                <w:b/>
                <w:bCs/>
                <w:sz w:val="24"/>
              </w:rPr>
              <w:t xml:space="preserve"> en suspensión (TRX)</w:t>
            </w:r>
          </w:p>
        </w:tc>
      </w:tr>
      <w:tr w:rsidR="008F76F6" w:rsidRPr="0063091E" w:rsidTr="00373797">
        <w:tc>
          <w:tcPr>
            <w:tcW w:w="1673" w:type="pct"/>
          </w:tcPr>
          <w:p w:rsidR="008F76F6" w:rsidRPr="0063091E" w:rsidRDefault="008F76F6" w:rsidP="00373797">
            <w:pPr>
              <w:pStyle w:val="Ttulo2"/>
              <w:jc w:val="both"/>
              <w:outlineLvl w:val="1"/>
              <w:rPr>
                <w:sz w:val="24"/>
              </w:rPr>
            </w:pPr>
            <w:r w:rsidRPr="0063091E">
              <w:rPr>
                <w:sz w:val="24"/>
              </w:rPr>
              <w:t>Usos aconsejados</w:t>
            </w:r>
          </w:p>
        </w:tc>
        <w:tc>
          <w:tcPr>
            <w:tcW w:w="1659" w:type="pct"/>
          </w:tcPr>
          <w:p w:rsidR="008F76F6" w:rsidRPr="0063091E" w:rsidRDefault="008F76F6" w:rsidP="00373797">
            <w:pPr>
              <w:pStyle w:val="Ttulo2"/>
              <w:jc w:val="both"/>
              <w:outlineLvl w:val="1"/>
              <w:rPr>
                <w:sz w:val="24"/>
              </w:rPr>
            </w:pPr>
            <w:r w:rsidRPr="0063091E">
              <w:rPr>
                <w:sz w:val="24"/>
              </w:rPr>
              <w:t>Justificación del uso</w:t>
            </w:r>
          </w:p>
        </w:tc>
        <w:tc>
          <w:tcPr>
            <w:tcW w:w="1667" w:type="pct"/>
          </w:tcPr>
          <w:p w:rsidR="008F76F6" w:rsidRPr="0063091E" w:rsidRDefault="008F76F6" w:rsidP="00373797">
            <w:pPr>
              <w:pStyle w:val="Ttulo2"/>
              <w:jc w:val="both"/>
              <w:outlineLvl w:val="1"/>
              <w:rPr>
                <w:sz w:val="24"/>
              </w:rPr>
            </w:pPr>
            <w:r w:rsidRPr="0063091E">
              <w:rPr>
                <w:sz w:val="24"/>
              </w:rPr>
              <w:t>Usos desaconsejados</w:t>
            </w:r>
          </w:p>
        </w:tc>
      </w:tr>
      <w:tr w:rsidR="008F76F6" w:rsidRPr="0063091E" w:rsidTr="00373797">
        <w:trPr>
          <w:trHeight w:val="1040"/>
        </w:trPr>
        <w:tc>
          <w:tcPr>
            <w:tcW w:w="1673" w:type="pct"/>
          </w:tcPr>
          <w:p w:rsidR="008F76F6" w:rsidRPr="0063091E" w:rsidRDefault="008F76F6" w:rsidP="00373797">
            <w:pPr>
              <w:pStyle w:val="Ttulo2"/>
              <w:jc w:val="both"/>
              <w:outlineLvl w:val="1"/>
              <w:rPr>
                <w:b w:val="0"/>
                <w:sz w:val="24"/>
              </w:rPr>
            </w:pPr>
            <w:r w:rsidRPr="0063091E">
              <w:rPr>
                <w:b w:val="0"/>
                <w:sz w:val="24"/>
              </w:rPr>
              <w:t>Rehabilitación de lesiones y trabajo para sujetos con miembros con movilidad reducida.</w:t>
            </w:r>
          </w:p>
        </w:tc>
        <w:tc>
          <w:tcPr>
            <w:tcW w:w="1659" w:type="pct"/>
          </w:tcPr>
          <w:p w:rsidR="008F76F6" w:rsidRPr="0063091E" w:rsidRDefault="008F76F6" w:rsidP="00373797">
            <w:pPr>
              <w:pStyle w:val="Ttulo2"/>
              <w:jc w:val="both"/>
              <w:outlineLvl w:val="1"/>
              <w:rPr>
                <w:b w:val="0"/>
                <w:sz w:val="24"/>
              </w:rPr>
            </w:pPr>
            <w:r w:rsidRPr="0063091E">
              <w:rPr>
                <w:b w:val="0"/>
                <w:sz w:val="24"/>
              </w:rPr>
              <w:t xml:space="preserve">Reduce la asimetría de la carga en ambos miembros </w:t>
            </w:r>
          </w:p>
        </w:tc>
        <w:tc>
          <w:tcPr>
            <w:tcW w:w="1667" w:type="pct"/>
          </w:tcPr>
          <w:p w:rsidR="008F76F6" w:rsidRPr="0063091E" w:rsidRDefault="008F76F6" w:rsidP="00373797">
            <w:pPr>
              <w:pStyle w:val="Ttulo2"/>
              <w:jc w:val="both"/>
              <w:outlineLvl w:val="1"/>
              <w:rPr>
                <w:b w:val="0"/>
                <w:sz w:val="24"/>
              </w:rPr>
            </w:pPr>
            <w:r w:rsidRPr="0063091E">
              <w:rPr>
                <w:b w:val="0"/>
                <w:sz w:val="24"/>
              </w:rPr>
              <w:t>Ninguno a destacar</w:t>
            </w:r>
          </w:p>
        </w:tc>
      </w:tr>
      <w:tr w:rsidR="008F76F6" w:rsidRPr="0063091E" w:rsidTr="00373797">
        <w:tc>
          <w:tcPr>
            <w:tcW w:w="1673" w:type="pct"/>
          </w:tcPr>
          <w:p w:rsidR="008F76F6" w:rsidRPr="0063091E" w:rsidRDefault="008F76F6" w:rsidP="00373797">
            <w:pPr>
              <w:pStyle w:val="Ttulo2"/>
              <w:jc w:val="both"/>
              <w:outlineLvl w:val="1"/>
              <w:rPr>
                <w:b w:val="0"/>
                <w:sz w:val="24"/>
              </w:rPr>
            </w:pPr>
            <w:r w:rsidRPr="0063091E">
              <w:rPr>
                <w:b w:val="0"/>
                <w:sz w:val="24"/>
              </w:rPr>
              <w:t>Readaptación al ejercicio de sujetos no entrenados o tras larga inactividad</w:t>
            </w:r>
          </w:p>
        </w:tc>
        <w:tc>
          <w:tcPr>
            <w:tcW w:w="1659" w:type="pct"/>
          </w:tcPr>
          <w:p w:rsidR="008F76F6" w:rsidRPr="0063091E" w:rsidRDefault="008F76F6" w:rsidP="00373797">
            <w:pPr>
              <w:pStyle w:val="Ttulo2"/>
              <w:jc w:val="both"/>
              <w:outlineLvl w:val="1"/>
              <w:rPr>
                <w:b w:val="0"/>
                <w:sz w:val="24"/>
              </w:rPr>
            </w:pPr>
            <w:r w:rsidRPr="0063091E">
              <w:rPr>
                <w:b w:val="0"/>
                <w:sz w:val="24"/>
              </w:rPr>
              <w:t xml:space="preserve">Reduce % peso corporal, facilita la progresión de intensidad. Aplicación de mayor fa en menor tiempo (Nuzzo et al, 2010) </w:t>
            </w:r>
            <w:r w:rsidRPr="0063091E">
              <w:rPr>
                <w:b w:val="0"/>
                <w:sz w:val="24"/>
              </w:rPr>
              <w:fldChar w:fldCharType="begin" w:fldLock="1"/>
            </w:r>
            <w:r w:rsidRPr="0063091E">
              <w:rPr>
                <w:b w:val="0"/>
                <w:sz w:val="24"/>
              </w:rPr>
              <w:instrText>ADDIN CSL_CITATION {"citationItems":[{"id":"ITEM-1","itemData":{"DOI":"10.1519/JSC.0b013e3181d68691","ISSN":"1064-8011","author":[{"dropping-particle":"","family":"Nuzzo","given":"James L","non-dropping-particle":"","parse-names":false,"suffix":""},{"dropping-particle":"","family":"McBride","given":"Jeffrey M","non-dropping-particle":"","parse-names":false,"suffix":""},{"dropping-particle":"","family":"Dayne","given":"Andrea M","non-dropping-particle":"","parse-names":false,"suffix":""},{"dropping-particle":"","family":"Israetel","given":"Michael A","non-dropping-particle":"","parse-names":false,"suffix":""},{"dropping-particle":"","family":"Dumke","given":"Charles L","non-dropping-particle":"","parse-names":false,"suffix":""},{"dropping-particle":"","family":"Triplett","given":"N Travis","non-dropping-particle":"","parse-names":false,"suffix":""}],"container-title":"Journal of Strength and Conditioning Research","id":"ITEM-1","issue":"5","issued":{"date-parts":[["2010","5"]]},"page":"1269-1276","title":"Testing of the Maximal Dynamic Output Hypothesis in Trained and Untrained Subjects","type":"article-journal","volume":"24"},"uris":["http://www.mendeley.com/documents/?uuid=18f59bbb-3cac-4f4f-bc5b-8b0cd7fa1034"]}],"mendeley":{"formattedCitation":"&lt;sup&gt;(&lt;sup&gt;16&lt;/sup&gt;)&lt;/sup&gt;","plainTextFormattedCitation":"(16)"},"properties":{"noteIndex":0},"schema":"https://github.com/citation-style-language/schema/raw/master/csl-citation.json"}</w:instrText>
            </w:r>
            <w:r w:rsidRPr="0063091E">
              <w:rPr>
                <w:b w:val="0"/>
                <w:sz w:val="24"/>
              </w:rPr>
              <w:fldChar w:fldCharType="separate"/>
            </w:r>
            <w:r w:rsidRPr="0063091E">
              <w:rPr>
                <w:b w:val="0"/>
                <w:sz w:val="24"/>
                <w:vertAlign w:val="superscript"/>
              </w:rPr>
              <w:t>(16)</w:t>
            </w:r>
            <w:r w:rsidRPr="0063091E">
              <w:rPr>
                <w:b w:val="0"/>
                <w:sz w:val="24"/>
              </w:rPr>
              <w:fldChar w:fldCharType="end"/>
            </w:r>
            <w:r w:rsidRPr="0063091E">
              <w:rPr>
                <w:b w:val="0"/>
                <w:sz w:val="24"/>
              </w:rPr>
              <w:t xml:space="preserve">. </w:t>
            </w:r>
          </w:p>
        </w:tc>
        <w:tc>
          <w:tcPr>
            <w:tcW w:w="1667" w:type="pct"/>
          </w:tcPr>
          <w:p w:rsidR="008F76F6" w:rsidRPr="0063091E" w:rsidRDefault="008F76F6" w:rsidP="00373797">
            <w:pPr>
              <w:pStyle w:val="Ttulo2"/>
              <w:jc w:val="both"/>
              <w:outlineLvl w:val="1"/>
              <w:rPr>
                <w:b w:val="0"/>
                <w:sz w:val="24"/>
              </w:rPr>
            </w:pPr>
            <w:r w:rsidRPr="0063091E">
              <w:rPr>
                <w:b w:val="0"/>
                <w:sz w:val="24"/>
              </w:rPr>
              <w:t>Entrenamiento de la fuerza</w:t>
            </w:r>
          </w:p>
        </w:tc>
      </w:tr>
      <w:tr w:rsidR="008F76F6" w:rsidRPr="0063091E" w:rsidTr="00373797">
        <w:tc>
          <w:tcPr>
            <w:tcW w:w="1673" w:type="pct"/>
          </w:tcPr>
          <w:p w:rsidR="008F76F6" w:rsidRPr="0063091E" w:rsidRDefault="008F76F6" w:rsidP="00373797">
            <w:pPr>
              <w:pStyle w:val="Ttulo2"/>
              <w:jc w:val="both"/>
              <w:outlineLvl w:val="1"/>
              <w:rPr>
                <w:b w:val="0"/>
                <w:sz w:val="24"/>
              </w:rPr>
            </w:pPr>
            <w:r w:rsidRPr="0063091E">
              <w:rPr>
                <w:b w:val="0"/>
                <w:sz w:val="24"/>
              </w:rPr>
              <w:t>Entrenamiento en términos de potencia</w:t>
            </w:r>
          </w:p>
        </w:tc>
        <w:tc>
          <w:tcPr>
            <w:tcW w:w="1659" w:type="pct"/>
          </w:tcPr>
          <w:p w:rsidR="008F76F6" w:rsidRPr="0063091E" w:rsidRDefault="008F76F6" w:rsidP="00373797">
            <w:pPr>
              <w:pStyle w:val="Ttulo2"/>
              <w:jc w:val="both"/>
              <w:outlineLvl w:val="1"/>
              <w:rPr>
                <w:b w:val="0"/>
                <w:sz w:val="24"/>
              </w:rPr>
            </w:pPr>
          </w:p>
        </w:tc>
        <w:tc>
          <w:tcPr>
            <w:tcW w:w="1667" w:type="pct"/>
          </w:tcPr>
          <w:p w:rsidR="008F76F6" w:rsidRPr="0063091E" w:rsidRDefault="008F76F6" w:rsidP="00373797">
            <w:pPr>
              <w:pStyle w:val="Ttulo2"/>
              <w:jc w:val="both"/>
              <w:outlineLvl w:val="1"/>
              <w:rPr>
                <w:b w:val="0"/>
                <w:sz w:val="24"/>
              </w:rPr>
            </w:pPr>
            <w:r w:rsidRPr="0063091E">
              <w:rPr>
                <w:b w:val="0"/>
                <w:sz w:val="24"/>
              </w:rPr>
              <w:t>Entrenamiento de la fuerza</w:t>
            </w:r>
          </w:p>
        </w:tc>
      </w:tr>
      <w:tr w:rsidR="008F76F6" w:rsidRPr="0063091E" w:rsidTr="00373797">
        <w:tc>
          <w:tcPr>
            <w:tcW w:w="1673" w:type="pct"/>
          </w:tcPr>
          <w:p w:rsidR="008F76F6" w:rsidRPr="0063091E" w:rsidRDefault="008F76F6" w:rsidP="00373797">
            <w:pPr>
              <w:pStyle w:val="Ttulo2"/>
              <w:jc w:val="both"/>
              <w:outlineLvl w:val="1"/>
              <w:rPr>
                <w:b w:val="0"/>
                <w:sz w:val="24"/>
              </w:rPr>
            </w:pPr>
            <w:r w:rsidRPr="0063091E">
              <w:rPr>
                <w:b w:val="0"/>
                <w:sz w:val="24"/>
              </w:rPr>
              <w:t>Entrenamiento de la fuerza resistencia, entrenamiento funcional o complementario a un entrenamiento de fa</w:t>
            </w:r>
          </w:p>
        </w:tc>
        <w:tc>
          <w:tcPr>
            <w:tcW w:w="1659" w:type="pct"/>
          </w:tcPr>
          <w:p w:rsidR="008F76F6" w:rsidRPr="0063091E" w:rsidRDefault="008F76F6" w:rsidP="00373797">
            <w:pPr>
              <w:pStyle w:val="Ttulo2"/>
              <w:jc w:val="both"/>
              <w:outlineLvl w:val="1"/>
              <w:rPr>
                <w:b w:val="0"/>
                <w:sz w:val="24"/>
              </w:rPr>
            </w:pPr>
            <w:r w:rsidRPr="0063091E">
              <w:rPr>
                <w:b w:val="0"/>
                <w:sz w:val="24"/>
              </w:rPr>
              <w:t xml:space="preserve">Alto índice de consumo calórico durante y hasta 2h después del ejercicio, frecuencia cardíaca y baja lactacidemia. Favorece procesos anabólicos y limita catabólicos. </w:t>
            </w:r>
          </w:p>
        </w:tc>
        <w:tc>
          <w:tcPr>
            <w:tcW w:w="1667" w:type="pct"/>
          </w:tcPr>
          <w:p w:rsidR="008F76F6" w:rsidRPr="0063091E" w:rsidRDefault="008F76F6" w:rsidP="00373797">
            <w:pPr>
              <w:pStyle w:val="Ttulo2"/>
              <w:jc w:val="both"/>
              <w:outlineLvl w:val="1"/>
              <w:rPr>
                <w:b w:val="0"/>
                <w:sz w:val="24"/>
              </w:rPr>
            </w:pPr>
            <w:r w:rsidRPr="0063091E">
              <w:rPr>
                <w:b w:val="0"/>
                <w:sz w:val="24"/>
              </w:rPr>
              <w:t>Entrenamiento base de alto rendimiento</w:t>
            </w:r>
          </w:p>
        </w:tc>
      </w:tr>
      <w:tr w:rsidR="008F76F6" w:rsidRPr="0063091E" w:rsidTr="00373797">
        <w:tc>
          <w:tcPr>
            <w:tcW w:w="1673" w:type="pct"/>
          </w:tcPr>
          <w:p w:rsidR="008F76F6" w:rsidRPr="0063091E" w:rsidRDefault="008F76F6" w:rsidP="00373797">
            <w:pPr>
              <w:pStyle w:val="Ttulo2"/>
              <w:jc w:val="both"/>
              <w:outlineLvl w:val="1"/>
              <w:rPr>
                <w:b w:val="0"/>
                <w:sz w:val="24"/>
              </w:rPr>
            </w:pPr>
            <w:r w:rsidRPr="0063091E">
              <w:rPr>
                <w:b w:val="0"/>
                <w:sz w:val="24"/>
              </w:rPr>
              <w:t>Entrenamiento de la fuerza neural y prevención de lesiones</w:t>
            </w:r>
          </w:p>
        </w:tc>
        <w:tc>
          <w:tcPr>
            <w:tcW w:w="1659" w:type="pct"/>
            <w:vMerge w:val="restart"/>
          </w:tcPr>
          <w:p w:rsidR="008F76F6" w:rsidRPr="0063091E" w:rsidRDefault="008F76F6" w:rsidP="00373797">
            <w:pPr>
              <w:pStyle w:val="Ttulo2"/>
              <w:jc w:val="both"/>
              <w:outlineLvl w:val="1"/>
              <w:rPr>
                <w:b w:val="0"/>
                <w:sz w:val="24"/>
              </w:rPr>
            </w:pPr>
            <w:r w:rsidRPr="0063091E">
              <w:rPr>
                <w:b w:val="0"/>
                <w:sz w:val="24"/>
              </w:rPr>
              <w:t xml:space="preserve">Propiocepción provocada, aumenta la actividad muscular general del organismo (Calatayud et al, 2014) </w:t>
            </w:r>
            <w:r w:rsidRPr="0063091E">
              <w:rPr>
                <w:b w:val="0"/>
                <w:sz w:val="24"/>
              </w:rPr>
              <w:fldChar w:fldCharType="begin" w:fldLock="1"/>
            </w:r>
            <w:r w:rsidRPr="0063091E">
              <w:rPr>
                <w:b w:val="0"/>
                <w:sz w:val="24"/>
              </w:rPr>
              <w:instrText>ADDIN CSL_CITATION {"citationItems":[{"id":"ITEM-1","itemData":{"ISSN":"0091-3847","author":[{"dropping-particle":"","family":"Calatayud","given":"Joaquin","non-dropping-particle":"","parse-names":false,"suffix":""},{"dropping-particle":"","family":"Borreani","given":"Sebastien","non-dropping-particle":"","parse-names":false,"suffix":""},{"dropping-particle":"","family":"Colado","given":"Juan Carlos","non-dropping-particle":"","parse-names":false,"suffix":""},{"dropping-particle":"","family":"Martin","given":"Fernando","non-dropping-particle":"","parse-names":false,"suffix":""},{"dropping-particle":"","family":"Rogers","given":"Michael E","non-dropping-particle":"","parse-names":false,"suffix":""}],"container-title":"The Physician and Sportsmedicine","id":"ITEM-1","issue":"4","issued":{"date-parts":[["2014"]]},"page":"106-119","publisher":"Taylor &amp; Francis","title":"Muscle activity levels in upper-body push exercises with different loads and stability conditions","type":"article-journal","volume":"42"},"uris":["http://www.mendeley.com/documents/?uuid=715d95e3-497a-4965-b964-f77602aa619b"]}],"mendeley":{"formattedCitation":"&lt;sup&gt;(&lt;sup&gt;17&lt;/sup&gt;)&lt;/sup&gt;","plainTextFormattedCitation":"(17)","previouslyFormattedCitation":"&lt;sup&gt;(&lt;sup&gt;16&lt;/sup&gt;)&lt;/sup&gt;"},"properties":{"noteIndex":0},"schema":"https://github.com/citation-style-language/schema/raw/master/csl-citation.json"}</w:instrText>
            </w:r>
            <w:r w:rsidRPr="0063091E">
              <w:rPr>
                <w:b w:val="0"/>
                <w:sz w:val="24"/>
              </w:rPr>
              <w:fldChar w:fldCharType="separate"/>
            </w:r>
            <w:r w:rsidRPr="0063091E">
              <w:rPr>
                <w:b w:val="0"/>
                <w:sz w:val="24"/>
                <w:vertAlign w:val="superscript"/>
              </w:rPr>
              <w:t>(17)</w:t>
            </w:r>
            <w:r w:rsidRPr="0063091E">
              <w:rPr>
                <w:b w:val="0"/>
                <w:sz w:val="24"/>
              </w:rPr>
              <w:fldChar w:fldCharType="end"/>
            </w:r>
            <w:r w:rsidRPr="0063091E">
              <w:rPr>
                <w:b w:val="0"/>
                <w:sz w:val="24"/>
              </w:rPr>
              <w:t xml:space="preserve">; (Atkins et al, 2015) </w:t>
            </w:r>
            <w:r w:rsidRPr="0063091E">
              <w:rPr>
                <w:b w:val="0"/>
                <w:sz w:val="24"/>
              </w:rPr>
              <w:fldChar w:fldCharType="begin" w:fldLock="1"/>
            </w:r>
            <w:r w:rsidRPr="0063091E">
              <w:rPr>
                <w:b w:val="0"/>
                <w:sz w:val="24"/>
              </w:rPr>
              <w:instrText>ADDIN CSL_CITATION {"citationItems":[{"id":"ITEM-1","itemData":{"ISSN":"1064-8011","author":[{"dropping-particle":"","family":"Atkins","given":"Stephen J","non-dropping-particle":"","parse-names":false,"suffix":""},{"dropping-particle":"","family":"Bentley","given":"Ian","non-dropping-particle":"","parse-names":false,"suffix":""},{"dropping-particle":"","family":"Brooks","given":"Darrell","non-dropping-particle":"","parse-names":false,"suffix":""},{"dropping-particle":"","family":"Burrows","given":"Mark P","non-dropping-particle":"","parse-names":false,"suffix":""},{"dropping-particle":"","family":"Hurst","given":"Howard T","non-dropping-particle":"","parse-names":false,"suffix":""},{"dropping-particle":"","family":"Sinclair","given":"Jonathan K","non-dropping-particle":"","parse-names":false,"suffix":""}],"container-title":"The Journal of Strength &amp; Conditioning Research","id":"ITEM-1","issue":"6","issued":{"date-parts":[["2015"]]},"page":"1609-1615","publisher":"LWW","title":"Electromyographic response of global abdominal stabilizers in response to stable-and unstable-base isometric exercise","type":"article-journal","volume":"29"},"uris":["http://www.mendeley.com/documents/?uuid=a56515fb-cd96-44f4-9a47-061eec27b651"]}],"mendeley":{"formattedCitation":"&lt;sup&gt;(&lt;sup&gt;18&lt;/sup&gt;)&lt;/sup&gt;","plainTextFormattedCitation":"(18)","previouslyFormattedCitation":"&lt;sup&gt;(&lt;sup&gt;17&lt;/sup&gt;)&lt;/sup&gt;"},"properties":{"noteIndex":0},"schema":"https://github.com/citation-style-language/schema/raw/master/csl-citation.json"}</w:instrText>
            </w:r>
            <w:r w:rsidRPr="0063091E">
              <w:rPr>
                <w:b w:val="0"/>
                <w:sz w:val="24"/>
              </w:rPr>
              <w:fldChar w:fldCharType="separate"/>
            </w:r>
            <w:r w:rsidRPr="0063091E">
              <w:rPr>
                <w:b w:val="0"/>
                <w:sz w:val="24"/>
                <w:vertAlign w:val="superscript"/>
              </w:rPr>
              <w:t>(18)</w:t>
            </w:r>
            <w:r w:rsidRPr="0063091E">
              <w:rPr>
                <w:b w:val="0"/>
                <w:sz w:val="24"/>
              </w:rPr>
              <w:fldChar w:fldCharType="end"/>
            </w:r>
            <w:r w:rsidRPr="0063091E">
              <w:rPr>
                <w:b w:val="0"/>
                <w:sz w:val="24"/>
              </w:rPr>
              <w:t>.</w:t>
            </w:r>
          </w:p>
        </w:tc>
        <w:tc>
          <w:tcPr>
            <w:tcW w:w="1667" w:type="pct"/>
          </w:tcPr>
          <w:p w:rsidR="008F76F6" w:rsidRPr="0063091E" w:rsidRDefault="008F76F6" w:rsidP="00373797">
            <w:pPr>
              <w:pStyle w:val="Ttulo2"/>
              <w:jc w:val="both"/>
              <w:outlineLvl w:val="1"/>
              <w:rPr>
                <w:b w:val="0"/>
                <w:sz w:val="24"/>
              </w:rPr>
            </w:pPr>
            <w:r w:rsidRPr="0063091E">
              <w:rPr>
                <w:b w:val="0"/>
                <w:sz w:val="24"/>
              </w:rPr>
              <w:t>Entrenamiento con cargas añadidas, provoca mayor número de trampas en ejecución. ¡peligro de lesión!</w:t>
            </w:r>
          </w:p>
        </w:tc>
      </w:tr>
      <w:tr w:rsidR="008F76F6" w:rsidRPr="0063091E" w:rsidTr="00373797">
        <w:tc>
          <w:tcPr>
            <w:tcW w:w="1673" w:type="pct"/>
          </w:tcPr>
          <w:p w:rsidR="008F76F6" w:rsidRPr="0063091E" w:rsidRDefault="008F76F6" w:rsidP="00373797">
            <w:pPr>
              <w:pStyle w:val="Ttulo2"/>
              <w:jc w:val="both"/>
              <w:outlineLvl w:val="1"/>
              <w:rPr>
                <w:b w:val="0"/>
                <w:sz w:val="24"/>
              </w:rPr>
            </w:pPr>
            <w:r w:rsidRPr="0063091E">
              <w:rPr>
                <w:b w:val="0"/>
                <w:sz w:val="24"/>
              </w:rPr>
              <w:t>Utilización como calentamiento previo a sesiones de fuerza</w:t>
            </w:r>
          </w:p>
        </w:tc>
        <w:tc>
          <w:tcPr>
            <w:tcW w:w="1659" w:type="pct"/>
            <w:vMerge/>
          </w:tcPr>
          <w:p w:rsidR="008F76F6" w:rsidRPr="0063091E" w:rsidRDefault="008F76F6" w:rsidP="00373797">
            <w:pPr>
              <w:pStyle w:val="Ttulo2"/>
              <w:jc w:val="both"/>
              <w:outlineLvl w:val="1"/>
              <w:rPr>
                <w:b w:val="0"/>
                <w:sz w:val="24"/>
              </w:rPr>
            </w:pPr>
          </w:p>
        </w:tc>
        <w:tc>
          <w:tcPr>
            <w:tcW w:w="1667" w:type="pct"/>
          </w:tcPr>
          <w:p w:rsidR="008F76F6" w:rsidRPr="0063091E" w:rsidRDefault="008F76F6" w:rsidP="00373797">
            <w:pPr>
              <w:pStyle w:val="Ttulo2"/>
              <w:jc w:val="both"/>
              <w:outlineLvl w:val="1"/>
              <w:rPr>
                <w:b w:val="0"/>
                <w:sz w:val="24"/>
              </w:rPr>
            </w:pPr>
            <w:r w:rsidRPr="0063091E">
              <w:rPr>
                <w:b w:val="0"/>
                <w:sz w:val="24"/>
              </w:rPr>
              <w:t>Entrenamiento en alta inestabilidad en sujetos no entrenados provoca mayor número de trampas. ¡peligro de lesión!</w:t>
            </w:r>
          </w:p>
        </w:tc>
      </w:tr>
    </w:tbl>
    <w:p w:rsidR="00AE4390" w:rsidRPr="001D0C1C" w:rsidRDefault="00AE4390" w:rsidP="00373797">
      <w:pPr>
        <w:pStyle w:val="Ttulo2"/>
        <w:jc w:val="both"/>
      </w:pPr>
    </w:p>
    <w:sectPr w:rsidR="00AE4390" w:rsidRPr="001D0C1C" w:rsidSect="00B945E4">
      <w:footerReference w:type="default" r:id="rId22"/>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FEF" w:rsidRDefault="004D7FEF" w:rsidP="0023723F">
      <w:pPr>
        <w:spacing w:after="0" w:line="240" w:lineRule="auto"/>
      </w:pPr>
      <w:r>
        <w:separator/>
      </w:r>
    </w:p>
  </w:endnote>
  <w:endnote w:type="continuationSeparator" w:id="0">
    <w:p w:rsidR="004D7FEF" w:rsidRDefault="004D7FEF" w:rsidP="00237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41" w:rsidRDefault="00D65B41">
    <w:pPr>
      <w:pStyle w:val="Piedepgina"/>
      <w:jc w:val="right"/>
    </w:pPr>
    <w:r>
      <w:fldChar w:fldCharType="begin"/>
    </w:r>
    <w:r>
      <w:instrText>PAGE   \* MERGEFORMAT</w:instrText>
    </w:r>
    <w:r>
      <w:fldChar w:fldCharType="separate"/>
    </w:r>
    <w:r w:rsidR="00423AA0">
      <w:rPr>
        <w:noProof/>
      </w:rPr>
      <w:t>12</w:t>
    </w:r>
    <w:r>
      <w:fldChar w:fldCharType="end"/>
    </w:r>
  </w:p>
  <w:p w:rsidR="00D65B41" w:rsidRDefault="00D65B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FEF" w:rsidRDefault="004D7FEF" w:rsidP="0023723F">
      <w:pPr>
        <w:spacing w:after="0" w:line="240" w:lineRule="auto"/>
      </w:pPr>
      <w:r>
        <w:separator/>
      </w:r>
    </w:p>
  </w:footnote>
  <w:footnote w:type="continuationSeparator" w:id="0">
    <w:p w:rsidR="004D7FEF" w:rsidRDefault="004D7FEF" w:rsidP="00237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2E0E1E"/>
    <w:multiLevelType w:val="hybridMultilevel"/>
    <w:tmpl w:val="6C349270"/>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32755D06"/>
    <w:multiLevelType w:val="hybridMultilevel"/>
    <w:tmpl w:val="3FCCEE8A"/>
    <w:lvl w:ilvl="0" w:tplc="0C0A0013">
      <w:start w:val="1"/>
      <w:numFmt w:val="upp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41AA6ADF"/>
    <w:multiLevelType w:val="hybridMultilevel"/>
    <w:tmpl w:val="802CA49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7CD5544A"/>
    <w:multiLevelType w:val="hybridMultilevel"/>
    <w:tmpl w:val="3F96EAE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linkStyle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5E4"/>
    <w:rsid w:val="0000358C"/>
    <w:rsid w:val="000057A6"/>
    <w:rsid w:val="000076AB"/>
    <w:rsid w:val="00045922"/>
    <w:rsid w:val="00045E12"/>
    <w:rsid w:val="0004611F"/>
    <w:rsid w:val="00081F28"/>
    <w:rsid w:val="000B0BFF"/>
    <w:rsid w:val="000E0D0D"/>
    <w:rsid w:val="00152192"/>
    <w:rsid w:val="00157A57"/>
    <w:rsid w:val="001728AF"/>
    <w:rsid w:val="00184655"/>
    <w:rsid w:val="001D0C1C"/>
    <w:rsid w:val="001D46D7"/>
    <w:rsid w:val="002012B0"/>
    <w:rsid w:val="00203881"/>
    <w:rsid w:val="00210FC5"/>
    <w:rsid w:val="00213D2E"/>
    <w:rsid w:val="00222749"/>
    <w:rsid w:val="0022608B"/>
    <w:rsid w:val="0023723F"/>
    <w:rsid w:val="00266C63"/>
    <w:rsid w:val="002674A7"/>
    <w:rsid w:val="002B63DB"/>
    <w:rsid w:val="002C39DC"/>
    <w:rsid w:val="002D33F6"/>
    <w:rsid w:val="00324162"/>
    <w:rsid w:val="0034532D"/>
    <w:rsid w:val="00347D07"/>
    <w:rsid w:val="003637F7"/>
    <w:rsid w:val="00371F43"/>
    <w:rsid w:val="0037233D"/>
    <w:rsid w:val="00372F6E"/>
    <w:rsid w:val="00373797"/>
    <w:rsid w:val="00395EBC"/>
    <w:rsid w:val="003A396F"/>
    <w:rsid w:val="003A50F8"/>
    <w:rsid w:val="003F082D"/>
    <w:rsid w:val="00415083"/>
    <w:rsid w:val="00423AA0"/>
    <w:rsid w:val="004244FF"/>
    <w:rsid w:val="00434848"/>
    <w:rsid w:val="00460BF8"/>
    <w:rsid w:val="0047705E"/>
    <w:rsid w:val="00480C1F"/>
    <w:rsid w:val="004B3350"/>
    <w:rsid w:val="004B5FE2"/>
    <w:rsid w:val="004D72F6"/>
    <w:rsid w:val="004D7FEF"/>
    <w:rsid w:val="0050053F"/>
    <w:rsid w:val="00511CB1"/>
    <w:rsid w:val="00524E6A"/>
    <w:rsid w:val="00525807"/>
    <w:rsid w:val="00532DE3"/>
    <w:rsid w:val="00560B16"/>
    <w:rsid w:val="00561406"/>
    <w:rsid w:val="00564180"/>
    <w:rsid w:val="00567996"/>
    <w:rsid w:val="00570B0B"/>
    <w:rsid w:val="005966E6"/>
    <w:rsid w:val="005C7E91"/>
    <w:rsid w:val="005F1859"/>
    <w:rsid w:val="0063091E"/>
    <w:rsid w:val="00633D81"/>
    <w:rsid w:val="00666319"/>
    <w:rsid w:val="00685717"/>
    <w:rsid w:val="006914D3"/>
    <w:rsid w:val="006C49F6"/>
    <w:rsid w:val="00707BE5"/>
    <w:rsid w:val="00724218"/>
    <w:rsid w:val="00741577"/>
    <w:rsid w:val="00746AE4"/>
    <w:rsid w:val="00755507"/>
    <w:rsid w:val="007663B1"/>
    <w:rsid w:val="00790FCD"/>
    <w:rsid w:val="0081430E"/>
    <w:rsid w:val="008A5DE4"/>
    <w:rsid w:val="008E2BFE"/>
    <w:rsid w:val="008F76F6"/>
    <w:rsid w:val="009016A3"/>
    <w:rsid w:val="00921EFA"/>
    <w:rsid w:val="009234D9"/>
    <w:rsid w:val="0097099F"/>
    <w:rsid w:val="009A4B7C"/>
    <w:rsid w:val="009B5DB1"/>
    <w:rsid w:val="009D06D1"/>
    <w:rsid w:val="009D2580"/>
    <w:rsid w:val="009E55F1"/>
    <w:rsid w:val="009E69D1"/>
    <w:rsid w:val="00A54934"/>
    <w:rsid w:val="00A57173"/>
    <w:rsid w:val="00AC12DB"/>
    <w:rsid w:val="00AE4390"/>
    <w:rsid w:val="00AF0D7D"/>
    <w:rsid w:val="00B256E7"/>
    <w:rsid w:val="00B84D25"/>
    <w:rsid w:val="00B945E4"/>
    <w:rsid w:val="00BB3AA8"/>
    <w:rsid w:val="00BD7A70"/>
    <w:rsid w:val="00C0642E"/>
    <w:rsid w:val="00C44AD2"/>
    <w:rsid w:val="00C50616"/>
    <w:rsid w:val="00C60BC6"/>
    <w:rsid w:val="00CA7F43"/>
    <w:rsid w:val="00D021DD"/>
    <w:rsid w:val="00D13AAE"/>
    <w:rsid w:val="00D65B41"/>
    <w:rsid w:val="00D81CFE"/>
    <w:rsid w:val="00D83BAE"/>
    <w:rsid w:val="00D85AD7"/>
    <w:rsid w:val="00D961BF"/>
    <w:rsid w:val="00DB5BCA"/>
    <w:rsid w:val="00DC1B19"/>
    <w:rsid w:val="00DC59AD"/>
    <w:rsid w:val="00DF4710"/>
    <w:rsid w:val="00E052DD"/>
    <w:rsid w:val="00E142D9"/>
    <w:rsid w:val="00E44374"/>
    <w:rsid w:val="00E47D6F"/>
    <w:rsid w:val="00E916CC"/>
    <w:rsid w:val="00F107B2"/>
    <w:rsid w:val="00F27C62"/>
    <w:rsid w:val="00F66193"/>
    <w:rsid w:val="00F72563"/>
    <w:rsid w:val="00F84B40"/>
    <w:rsid w:val="00FB4839"/>
    <w:rsid w:val="00FF1711"/>
    <w:rsid w:val="00FF78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095E5937-38FA-49E7-BD4C-17B01422C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717"/>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ar"/>
    <w:autoRedefine/>
    <w:uiPriority w:val="9"/>
    <w:qFormat/>
    <w:rsid w:val="002674A7"/>
    <w:pPr>
      <w:keepNext/>
      <w:keepLines/>
      <w:spacing w:before="240" w:after="0"/>
      <w:outlineLvl w:val="0"/>
    </w:pPr>
    <w:rPr>
      <w:rFonts w:eastAsiaTheme="majorEastAsia" w:cstheme="majorBidi"/>
      <w:b/>
      <w:sz w:val="28"/>
      <w:szCs w:val="32"/>
    </w:rPr>
  </w:style>
  <w:style w:type="paragraph" w:styleId="Ttulo2">
    <w:name w:val="heading 2"/>
    <w:basedOn w:val="Normal"/>
    <w:next w:val="Normal"/>
    <w:link w:val="Ttulo2Car"/>
    <w:autoRedefine/>
    <w:uiPriority w:val="9"/>
    <w:unhideWhenUsed/>
    <w:qFormat/>
    <w:rsid w:val="0063091E"/>
    <w:pPr>
      <w:keepNext/>
      <w:keepLines/>
      <w:spacing w:before="120" w:line="276" w:lineRule="auto"/>
      <w:outlineLvl w:val="1"/>
    </w:pPr>
    <w:rPr>
      <w:rFonts w:ascii="Times New Roman" w:eastAsiaTheme="majorEastAsia" w:hAnsi="Times New Roman" w:cs="Times New Roman"/>
      <w:b/>
      <w:bCs/>
      <w:szCs w:val="26"/>
    </w:rPr>
  </w:style>
  <w:style w:type="paragraph" w:styleId="Ttulo3">
    <w:name w:val="heading 3"/>
    <w:basedOn w:val="Normal"/>
    <w:next w:val="Normal"/>
    <w:link w:val="Ttulo3Car"/>
    <w:autoRedefine/>
    <w:uiPriority w:val="9"/>
    <w:unhideWhenUsed/>
    <w:qFormat/>
    <w:rsid w:val="002674A7"/>
    <w:pPr>
      <w:keepNext/>
      <w:keepLines/>
      <w:spacing w:before="40" w:after="0"/>
      <w:ind w:left="708"/>
      <w:outlineLvl w:val="2"/>
    </w:pPr>
    <w:rPr>
      <w:rFonts w:eastAsiaTheme="majorEastAsia" w:cstheme="majorBidi"/>
      <w:b/>
      <w:i/>
    </w:rPr>
  </w:style>
  <w:style w:type="character" w:default="1" w:styleId="Fuentedeprrafopredeter">
    <w:name w:val="Default Paragraph Font"/>
    <w:uiPriority w:val="1"/>
    <w:semiHidden/>
    <w:unhideWhenUsed/>
    <w:rsid w:val="00685717"/>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685717"/>
  </w:style>
  <w:style w:type="paragraph" w:styleId="Textodeglobo">
    <w:name w:val="Balloon Text"/>
    <w:basedOn w:val="Normal"/>
    <w:link w:val="TextodegloboCar"/>
    <w:uiPriority w:val="99"/>
    <w:semiHidden/>
    <w:unhideWhenUsed/>
    <w:rsid w:val="00B945E4"/>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945E4"/>
    <w:rPr>
      <w:rFonts w:ascii="Tahoma" w:hAnsi="Tahoma" w:cs="Tahoma"/>
      <w:sz w:val="16"/>
      <w:szCs w:val="16"/>
    </w:rPr>
  </w:style>
  <w:style w:type="paragraph" w:styleId="Encabezado">
    <w:name w:val="header"/>
    <w:basedOn w:val="Normal"/>
    <w:link w:val="EncabezadoCar"/>
    <w:uiPriority w:val="99"/>
    <w:unhideWhenUsed/>
    <w:rsid w:val="0023723F"/>
    <w:pPr>
      <w:tabs>
        <w:tab w:val="center" w:pos="4419"/>
        <w:tab w:val="right" w:pos="8838"/>
      </w:tabs>
    </w:pPr>
  </w:style>
  <w:style w:type="character" w:customStyle="1" w:styleId="EncabezadoCar">
    <w:name w:val="Encabezado Car"/>
    <w:link w:val="Encabezado"/>
    <w:uiPriority w:val="99"/>
    <w:rsid w:val="0023723F"/>
    <w:rPr>
      <w:szCs w:val="22"/>
      <w:lang w:eastAsia="en-US"/>
    </w:rPr>
  </w:style>
  <w:style w:type="paragraph" w:styleId="Piedepgina">
    <w:name w:val="footer"/>
    <w:basedOn w:val="Normal"/>
    <w:link w:val="PiedepginaCar"/>
    <w:uiPriority w:val="99"/>
    <w:unhideWhenUsed/>
    <w:rsid w:val="0023723F"/>
    <w:pPr>
      <w:tabs>
        <w:tab w:val="center" w:pos="4419"/>
        <w:tab w:val="right" w:pos="8838"/>
      </w:tabs>
    </w:pPr>
  </w:style>
  <w:style w:type="character" w:customStyle="1" w:styleId="PiedepginaCar">
    <w:name w:val="Pie de página Car"/>
    <w:link w:val="Piedepgina"/>
    <w:uiPriority w:val="99"/>
    <w:rsid w:val="0023723F"/>
    <w:rPr>
      <w:szCs w:val="22"/>
      <w:lang w:eastAsia="en-US"/>
    </w:rPr>
  </w:style>
  <w:style w:type="table" w:styleId="Tablanormal2">
    <w:name w:val="Plain Table 2"/>
    <w:basedOn w:val="Tablanormal"/>
    <w:uiPriority w:val="42"/>
    <w:rsid w:val="00045922"/>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1Car">
    <w:name w:val="Título 1 Car"/>
    <w:basedOn w:val="Fuentedeprrafopredeter"/>
    <w:link w:val="Ttulo1"/>
    <w:uiPriority w:val="9"/>
    <w:rsid w:val="002674A7"/>
    <w:rPr>
      <w:rFonts w:ascii="Arial" w:eastAsiaTheme="majorEastAsia" w:hAnsi="Arial" w:cstheme="majorBidi"/>
      <w:b/>
      <w:sz w:val="28"/>
      <w:szCs w:val="32"/>
      <w:lang w:val="es-ES_tradnl" w:eastAsia="en-US"/>
    </w:rPr>
  </w:style>
  <w:style w:type="character" w:customStyle="1" w:styleId="Ttulo2Car">
    <w:name w:val="Título 2 Car"/>
    <w:basedOn w:val="Fuentedeprrafopredeter"/>
    <w:link w:val="Ttulo2"/>
    <w:uiPriority w:val="9"/>
    <w:rsid w:val="0063091E"/>
    <w:rPr>
      <w:rFonts w:ascii="Times New Roman" w:eastAsiaTheme="majorEastAsia" w:hAnsi="Times New Roman"/>
      <w:b/>
      <w:bCs/>
      <w:sz w:val="22"/>
      <w:szCs w:val="26"/>
      <w:lang w:eastAsia="en-US"/>
    </w:rPr>
  </w:style>
  <w:style w:type="paragraph" w:styleId="Prrafodelista">
    <w:name w:val="List Paragraph"/>
    <w:basedOn w:val="Normal"/>
    <w:uiPriority w:val="34"/>
    <w:qFormat/>
    <w:rsid w:val="00045922"/>
    <w:pPr>
      <w:ind w:left="720"/>
      <w:contextualSpacing/>
    </w:pPr>
    <w:rPr>
      <w:rFonts w:ascii="Calibri" w:hAnsi="Calibri"/>
    </w:rPr>
  </w:style>
  <w:style w:type="paragraph" w:styleId="Textonotapie">
    <w:name w:val="footnote text"/>
    <w:basedOn w:val="Normal"/>
    <w:link w:val="TextonotapieCar"/>
    <w:uiPriority w:val="99"/>
    <w:semiHidden/>
    <w:unhideWhenUsed/>
    <w:rsid w:val="00045922"/>
    <w:pPr>
      <w:spacing w:after="0" w:line="240" w:lineRule="auto"/>
    </w:pPr>
    <w:rPr>
      <w:rFonts w:ascii="Calibri" w:hAnsi="Calibri"/>
      <w:szCs w:val="20"/>
    </w:rPr>
  </w:style>
  <w:style w:type="character" w:customStyle="1" w:styleId="TextonotapieCar">
    <w:name w:val="Texto nota pie Car"/>
    <w:link w:val="Textonotapie"/>
    <w:uiPriority w:val="99"/>
    <w:semiHidden/>
    <w:rsid w:val="00045922"/>
    <w:rPr>
      <w:rFonts w:ascii="Calibri" w:hAnsi="Calibri"/>
      <w:lang w:eastAsia="en-US"/>
    </w:rPr>
  </w:style>
  <w:style w:type="character" w:styleId="Refdenotaalpie">
    <w:name w:val="footnote reference"/>
    <w:uiPriority w:val="99"/>
    <w:semiHidden/>
    <w:unhideWhenUsed/>
    <w:rsid w:val="00045922"/>
    <w:rPr>
      <w:vertAlign w:val="superscript"/>
    </w:rPr>
  </w:style>
  <w:style w:type="character" w:styleId="Hipervnculo">
    <w:name w:val="Hyperlink"/>
    <w:uiPriority w:val="99"/>
    <w:unhideWhenUsed/>
    <w:rsid w:val="00045922"/>
    <w:rPr>
      <w:color w:val="0000FF"/>
      <w:u w:val="single"/>
    </w:rPr>
  </w:style>
  <w:style w:type="paragraph" w:styleId="Descripcin">
    <w:name w:val="caption"/>
    <w:basedOn w:val="Normal"/>
    <w:next w:val="Normal"/>
    <w:uiPriority w:val="35"/>
    <w:unhideWhenUsed/>
    <w:qFormat/>
    <w:rsid w:val="003F082D"/>
    <w:rPr>
      <w:b/>
      <w:bCs/>
      <w:szCs w:val="20"/>
    </w:rPr>
  </w:style>
  <w:style w:type="character" w:customStyle="1" w:styleId="Ttulo3Car">
    <w:name w:val="Título 3 Car"/>
    <w:basedOn w:val="Fuentedeprrafopredeter"/>
    <w:link w:val="Ttulo3"/>
    <w:uiPriority w:val="9"/>
    <w:rsid w:val="002674A7"/>
    <w:rPr>
      <w:rFonts w:ascii="Arial" w:eastAsiaTheme="majorEastAsia" w:hAnsi="Arial" w:cstheme="majorBidi"/>
      <w:b/>
      <w:i/>
      <w:sz w:val="24"/>
      <w:szCs w:val="24"/>
      <w:lang w:val="es-ES_tradnl" w:eastAsia="en-US"/>
    </w:rPr>
  </w:style>
  <w:style w:type="table" w:styleId="Tablaconcuadrcula">
    <w:name w:val="Table Grid"/>
    <w:basedOn w:val="Tablanormal"/>
    <w:uiPriority w:val="59"/>
    <w:rsid w:val="00921E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8521-0298" TargetMode="External"/><Relationship Id="rId13" Type="http://schemas.openxmlformats.org/officeDocument/2006/relationships/hyperlink" Target="https://issuu.com/fitnessdigital/docs/guiaejerciciostrx"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issuu.com/fitnessdigital/docs/guiaejerciciostrx"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issuu.com/fitnessdigital/docs/guiaejerciciostr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suu.com/fitnessdigital/docs/guiaejerciciostr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ssuu.com/fitnessdigital/docs/guiaejerciciostrx"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issuu.com/fitnessdigital/docs/guiaejerciciostrx" TargetMode="External"/><Relationship Id="rId4" Type="http://schemas.openxmlformats.org/officeDocument/2006/relationships/settings" Target="settings.xml"/><Relationship Id="rId9" Type="http://schemas.openxmlformats.org/officeDocument/2006/relationships/hyperlink" Target="mailto:amilcarandresbravo@gmail.com"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B0B6D441-0927-4EB9-9E6E-5924A633F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12</Pages>
  <Words>9702</Words>
  <Characters>53362</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62939</CharactersWithSpaces>
  <SharedDoc>false</SharedDoc>
  <HLinks>
    <vt:vector size="30" baseType="variant">
      <vt:variant>
        <vt:i4>3342434</vt:i4>
      </vt:variant>
      <vt:variant>
        <vt:i4>60</vt:i4>
      </vt:variant>
      <vt:variant>
        <vt:i4>0</vt:i4>
      </vt:variant>
      <vt:variant>
        <vt:i4>5</vt:i4>
      </vt:variant>
      <vt:variant>
        <vt:lpwstr>https://issuu.com/fitnessdigital/docs/guiaejerciciostrx</vt:lpwstr>
      </vt:variant>
      <vt:variant>
        <vt:lpwstr/>
      </vt:variant>
      <vt:variant>
        <vt:i4>3342434</vt:i4>
      </vt:variant>
      <vt:variant>
        <vt:i4>57</vt:i4>
      </vt:variant>
      <vt:variant>
        <vt:i4>0</vt:i4>
      </vt:variant>
      <vt:variant>
        <vt:i4>5</vt:i4>
      </vt:variant>
      <vt:variant>
        <vt:lpwstr>https://issuu.com/fitnessdigital/docs/guiaejerciciostrx</vt:lpwstr>
      </vt:variant>
      <vt:variant>
        <vt:lpwstr/>
      </vt:variant>
      <vt:variant>
        <vt:i4>3342434</vt:i4>
      </vt:variant>
      <vt:variant>
        <vt:i4>54</vt:i4>
      </vt:variant>
      <vt:variant>
        <vt:i4>0</vt:i4>
      </vt:variant>
      <vt:variant>
        <vt:i4>5</vt:i4>
      </vt:variant>
      <vt:variant>
        <vt:lpwstr>https://issuu.com/fitnessdigital/docs/guiaejerciciostrx</vt:lpwstr>
      </vt:variant>
      <vt:variant>
        <vt:lpwstr/>
      </vt:variant>
      <vt:variant>
        <vt:i4>5636126</vt:i4>
      </vt:variant>
      <vt:variant>
        <vt:i4>3</vt:i4>
      </vt:variant>
      <vt:variant>
        <vt:i4>0</vt:i4>
      </vt:variant>
      <vt:variant>
        <vt:i4>5</vt:i4>
      </vt:variant>
      <vt:variant>
        <vt:lpwstr>https://orcid.org/0000-0001-9454-5375</vt:lpwstr>
      </vt:variant>
      <vt:variant>
        <vt:lpwstr/>
      </vt:variant>
      <vt:variant>
        <vt:i4>5832730</vt:i4>
      </vt:variant>
      <vt:variant>
        <vt:i4>0</vt:i4>
      </vt:variant>
      <vt:variant>
        <vt:i4>0</vt:i4>
      </vt:variant>
      <vt:variant>
        <vt:i4>5</vt:i4>
      </vt:variant>
      <vt:variant>
        <vt:lpwstr>https://orcid.org/0000-0002-8521-0298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Belen</dc:creator>
  <cp:keywords/>
  <cp:lastModifiedBy>CIDC</cp:lastModifiedBy>
  <cp:revision>7</cp:revision>
  <cp:lastPrinted>2022-11-29T16:11:00Z</cp:lastPrinted>
  <dcterms:created xsi:type="dcterms:W3CDTF">2022-11-29T16:31:00Z</dcterms:created>
  <dcterms:modified xsi:type="dcterms:W3CDTF">2022-11-29T21:28:00Z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http://csl.mendeley.com/styles/602728801/elsevier-vancouver-author-date</vt:lpwstr>
  </property>
  <property fmtid="{D5CDD505-2E9C-101B-9397-08002B2CF9AE}" pid="13" name="Mendeley Recent Style Name 5_1">
    <vt:lpwstr>Elsevier - Vancouver (author-date) - Raydel Pérez Castillo</vt:lpwstr>
  </property>
  <property fmtid="{D5CDD505-2E9C-101B-9397-08002B2CF9AE}" pid="14" name="Mendeley Recent Style Id 6_1">
    <vt:lpwstr>http://csl.mendeley.com/styles/602728801/elsevier-vancouver</vt:lpwstr>
  </property>
  <property fmtid="{D5CDD505-2E9C-101B-9397-08002B2CF9AE}" pid="15" name="Mendeley Recent Style Name 6_1">
    <vt:lpwstr>Elsevier - Vancouver - Raydel Perez Castillo - Raydel Pérez Castillo</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http://www.zotero.org/styles/vancouver-superscript</vt:lpwstr>
  </property>
  <property fmtid="{D5CDD505-2E9C-101B-9397-08002B2CF9AE}" pid="19" name="Mendeley Recent Style Name 8_1">
    <vt:lpwstr>Vancouver (superscript)</vt:lpwstr>
  </property>
  <property fmtid="{D5CDD505-2E9C-101B-9397-08002B2CF9AE}" pid="20" name="Mendeley Recent Style Id 9_1">
    <vt:lpwstr>http://csl.mendeley.com/styles/602728801/vancouver</vt:lpwstr>
  </property>
  <property fmtid="{D5CDD505-2E9C-101B-9397-08002B2CF9AE}" pid="21" name="Mendeley Recent Style Name 9_1">
    <vt:lpwstr>Vancouver - Raydel Perez Castillo</vt:lpwstr>
  </property>
  <property fmtid="{D5CDD505-2E9C-101B-9397-08002B2CF9AE}" pid="22" name="Mendeley Citation Style_1">
    <vt:lpwstr>http://csl.mendeley.com/styles/602728801/vancouver</vt:lpwstr>
  </property>
  <property fmtid="{D5CDD505-2E9C-101B-9397-08002B2CF9AE}" pid="23" name="Mendeley Document_1">
    <vt:lpwstr>True</vt:lpwstr>
  </property>
  <property fmtid="{D5CDD505-2E9C-101B-9397-08002B2CF9AE}" pid="24" name="Mendeley Unique User Id_1">
    <vt:lpwstr>76bb49c0-6cb5-30b5-b7bd-1bba2e00d90a</vt:lpwstr>
  </property>
</Properties>
</file>