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C0" w:rsidRPr="00133FB6" w:rsidRDefault="00017FC0" w:rsidP="00017FC0">
      <w:pPr>
        <w:tabs>
          <w:tab w:val="left" w:pos="2268"/>
        </w:tabs>
        <w:spacing w:after="0" w:line="360" w:lineRule="auto"/>
        <w:ind w:right="-376"/>
        <w:rPr>
          <w:b/>
          <w:color w:val="000000"/>
          <w:sz w:val="32"/>
          <w:szCs w:val="32"/>
        </w:rPr>
      </w:pPr>
      <w:r w:rsidRPr="00133FB6">
        <w:rPr>
          <w:b/>
          <w:color w:val="000000"/>
          <w:sz w:val="32"/>
          <w:szCs w:val="32"/>
        </w:rPr>
        <w:t>Morfovirtual 2022</w:t>
      </w:r>
    </w:p>
    <w:p w:rsidR="00017FC0" w:rsidRPr="00133FB6" w:rsidRDefault="00017FC0" w:rsidP="00017FC0">
      <w:pPr>
        <w:tabs>
          <w:tab w:val="left" w:pos="2268"/>
        </w:tabs>
        <w:spacing w:after="0" w:line="360" w:lineRule="auto"/>
        <w:ind w:right="-376"/>
        <w:rPr>
          <w:b/>
          <w:color w:val="000000"/>
          <w:sz w:val="32"/>
          <w:szCs w:val="32"/>
        </w:rPr>
      </w:pPr>
      <w:r w:rsidRPr="00133FB6">
        <w:rPr>
          <w:b/>
          <w:color w:val="000000"/>
          <w:sz w:val="32"/>
          <w:szCs w:val="32"/>
        </w:rPr>
        <w:t>VI Congreso virtual de Ciencias Morfológicas.</w:t>
      </w:r>
    </w:p>
    <w:p w:rsidR="00017FC0" w:rsidRPr="00017FC0" w:rsidRDefault="00017FC0" w:rsidP="00783EDD">
      <w:pPr>
        <w:jc w:val="both"/>
        <w:rPr>
          <w:b/>
          <w:color w:val="000000"/>
          <w:sz w:val="32"/>
          <w:szCs w:val="32"/>
        </w:rPr>
      </w:pPr>
      <w:r w:rsidRPr="00133FB6">
        <w:rPr>
          <w:b/>
          <w:color w:val="000000"/>
          <w:sz w:val="32"/>
          <w:szCs w:val="32"/>
        </w:rPr>
        <w:t>Sexta Jornada Científica de la Cátedra Santiago Ramón y Cajal</w:t>
      </w:r>
    </w:p>
    <w:p w:rsidR="005201BA" w:rsidRPr="007732EA" w:rsidRDefault="004C6AB8" w:rsidP="00783EDD">
      <w:pPr>
        <w:jc w:val="both"/>
        <w:rPr>
          <w:rFonts w:ascii="Verdana" w:hAnsi="Verdana"/>
          <w:b/>
          <w:caps/>
          <w:sz w:val="28"/>
          <w:szCs w:val="28"/>
        </w:rPr>
      </w:pPr>
      <w:bookmarkStart w:id="0" w:name="_GoBack"/>
      <w:r w:rsidRPr="007732EA">
        <w:rPr>
          <w:rFonts w:ascii="Verdana" w:hAnsi="Verdana"/>
          <w:b/>
          <w:caps/>
          <w:sz w:val="28"/>
          <w:szCs w:val="28"/>
        </w:rPr>
        <w:t xml:space="preserve">Caracterización de las aberraciones </w:t>
      </w:r>
      <w:r w:rsidR="00437CFC" w:rsidRPr="007732EA">
        <w:rPr>
          <w:rFonts w:ascii="Verdana" w:hAnsi="Verdana"/>
          <w:b/>
          <w:caps/>
          <w:sz w:val="28"/>
          <w:szCs w:val="28"/>
        </w:rPr>
        <w:t xml:space="preserve">cromosómicas en el diagnóstico </w:t>
      </w:r>
      <w:r w:rsidRPr="007732EA">
        <w:rPr>
          <w:rFonts w:ascii="Verdana" w:hAnsi="Verdana"/>
          <w:b/>
          <w:caps/>
          <w:sz w:val="28"/>
          <w:szCs w:val="28"/>
        </w:rPr>
        <w:t>prenatal citogenético Camagüey. 20</w:t>
      </w:r>
      <w:r w:rsidR="00E2621C" w:rsidRPr="007732EA">
        <w:rPr>
          <w:rFonts w:ascii="Verdana" w:hAnsi="Verdana"/>
          <w:b/>
          <w:caps/>
          <w:sz w:val="28"/>
          <w:szCs w:val="28"/>
        </w:rPr>
        <w:t>12</w:t>
      </w:r>
      <w:r w:rsidRPr="007732EA">
        <w:rPr>
          <w:rFonts w:ascii="Verdana" w:hAnsi="Verdana"/>
          <w:b/>
          <w:caps/>
          <w:sz w:val="28"/>
          <w:szCs w:val="28"/>
        </w:rPr>
        <w:t>-20</w:t>
      </w:r>
      <w:r w:rsidR="00E2621C" w:rsidRPr="007732EA">
        <w:rPr>
          <w:rFonts w:ascii="Verdana" w:hAnsi="Verdana"/>
          <w:b/>
          <w:caps/>
          <w:sz w:val="28"/>
          <w:szCs w:val="28"/>
        </w:rPr>
        <w:t>21</w:t>
      </w:r>
    </w:p>
    <w:bookmarkEnd w:id="0"/>
    <w:p w:rsidR="00017FC0" w:rsidRDefault="00017FC0" w:rsidP="00017FC0">
      <w:pPr>
        <w:spacing w:after="0" w:line="360" w:lineRule="auto"/>
        <w:ind w:left="-425"/>
        <w:rPr>
          <w:rFonts w:ascii="Verdana" w:hAnsi="Verdana"/>
          <w:b/>
          <w:sz w:val="22"/>
        </w:rPr>
      </w:pPr>
    </w:p>
    <w:p w:rsidR="00017FC0" w:rsidRPr="00017FC0" w:rsidRDefault="00017FC0" w:rsidP="00017FC0">
      <w:pPr>
        <w:spacing w:after="0" w:line="360" w:lineRule="auto"/>
        <w:ind w:left="-425"/>
        <w:rPr>
          <w:rFonts w:ascii="Verdana" w:hAnsi="Verdana"/>
          <w:b/>
          <w:sz w:val="22"/>
        </w:rPr>
      </w:pPr>
      <w:r w:rsidRPr="00017FC0">
        <w:rPr>
          <w:rFonts w:ascii="Verdana" w:hAnsi="Verdana"/>
          <w:b/>
          <w:sz w:val="22"/>
        </w:rPr>
        <w:t xml:space="preserve">Autores: </w:t>
      </w:r>
    </w:p>
    <w:p w:rsidR="00017FC0" w:rsidRPr="00017FC0" w:rsidRDefault="00017FC0" w:rsidP="00017FC0">
      <w:pPr>
        <w:jc w:val="both"/>
        <w:rPr>
          <w:rFonts w:ascii="Verdana" w:hAnsi="Verdana" w:cs="Arial"/>
          <w:sz w:val="22"/>
        </w:rPr>
      </w:pPr>
      <w:r w:rsidRPr="00017FC0">
        <w:rPr>
          <w:rFonts w:ascii="Verdana" w:hAnsi="Verdana" w:cs="Arial"/>
          <w:snapToGrid w:val="0"/>
          <w:sz w:val="22"/>
          <w:lang w:val="es-ES_tradnl"/>
        </w:rPr>
        <w:t>Cynara, Mirón Folgoso</w:t>
      </w:r>
      <w:r w:rsidRPr="00017FC0">
        <w:rPr>
          <w:rFonts w:ascii="Verdana" w:hAnsi="Verdana" w:cs="Arial"/>
          <w:snapToGrid w:val="0"/>
          <w:sz w:val="22"/>
          <w:vertAlign w:val="superscript"/>
          <w:lang w:val="es-ES_tradnl"/>
        </w:rPr>
        <w:t>1</w:t>
      </w:r>
      <w:r w:rsidRPr="00017FC0">
        <w:rPr>
          <w:rFonts w:ascii="Verdana" w:hAnsi="Verdana" w:cs="Arial"/>
          <w:sz w:val="22"/>
          <w:vertAlign w:val="subscript"/>
        </w:rPr>
        <w:t xml:space="preserve">, </w:t>
      </w:r>
      <w:r w:rsidRPr="00017FC0">
        <w:rPr>
          <w:rFonts w:ascii="Verdana" w:hAnsi="Verdana" w:cs="Arial"/>
          <w:sz w:val="22"/>
        </w:rPr>
        <w:t>Antonio, Bermúdez Almaguer</w:t>
      </w:r>
      <w:r w:rsidRPr="00017FC0">
        <w:rPr>
          <w:rFonts w:ascii="Verdana" w:hAnsi="Verdana" w:cs="Arial"/>
          <w:sz w:val="22"/>
          <w:vertAlign w:val="superscript"/>
        </w:rPr>
        <w:t>2</w:t>
      </w:r>
      <w:r w:rsidRPr="00017FC0">
        <w:rPr>
          <w:rFonts w:ascii="Verdana" w:hAnsi="Verdana" w:cs="Arial"/>
          <w:snapToGrid w:val="0"/>
          <w:sz w:val="22"/>
          <w:lang w:val="es-ES_tradnl"/>
        </w:rPr>
        <w:t>, Maryelis de la Caridad, Esquivel González</w:t>
      </w:r>
      <w:r w:rsidRPr="00017FC0">
        <w:rPr>
          <w:rFonts w:ascii="Verdana" w:hAnsi="Verdana" w:cs="Arial"/>
          <w:snapToGrid w:val="0"/>
          <w:sz w:val="22"/>
          <w:vertAlign w:val="superscript"/>
          <w:lang w:val="es-ES_tradnl"/>
        </w:rPr>
        <w:t>3</w:t>
      </w:r>
      <w:r w:rsidRPr="00017FC0">
        <w:rPr>
          <w:rFonts w:ascii="Verdana" w:hAnsi="Verdana" w:cs="Arial"/>
          <w:sz w:val="22"/>
        </w:rPr>
        <w:t xml:space="preserve">, Ramón, </w:t>
      </w:r>
      <w:r w:rsidR="00C2314C" w:rsidRPr="00017FC0">
        <w:rPr>
          <w:rFonts w:ascii="Verdana" w:hAnsi="Verdana" w:cs="Arial"/>
          <w:sz w:val="22"/>
        </w:rPr>
        <w:t>Álvarez</w:t>
      </w:r>
      <w:r w:rsidRPr="00017FC0">
        <w:rPr>
          <w:rFonts w:ascii="Verdana" w:hAnsi="Verdana" w:cs="Arial"/>
          <w:sz w:val="22"/>
        </w:rPr>
        <w:t xml:space="preserve"> López</w:t>
      </w:r>
      <w:r w:rsidRPr="00017FC0">
        <w:rPr>
          <w:rFonts w:ascii="Verdana" w:hAnsi="Verdana" w:cs="Arial"/>
          <w:sz w:val="22"/>
          <w:vertAlign w:val="superscript"/>
        </w:rPr>
        <w:t>4</w:t>
      </w:r>
      <w:r w:rsidR="00C2314C" w:rsidRPr="00C2314C">
        <w:rPr>
          <w:rFonts w:ascii="Verdana" w:hAnsi="Verdana" w:cs="Arial"/>
          <w:sz w:val="22"/>
          <w:vertAlign w:val="subscript"/>
        </w:rPr>
        <w:t>,</w:t>
      </w:r>
      <w:r w:rsidR="00C2314C">
        <w:rPr>
          <w:rFonts w:ascii="Verdana" w:hAnsi="Verdana" w:cs="Arial"/>
          <w:sz w:val="22"/>
          <w:vertAlign w:val="superscript"/>
        </w:rPr>
        <w:t xml:space="preserve"> </w:t>
      </w:r>
      <w:r w:rsidRPr="00017FC0">
        <w:rPr>
          <w:rFonts w:ascii="Verdana" w:hAnsi="Verdana" w:cs="Arial"/>
          <w:sz w:val="22"/>
        </w:rPr>
        <w:t>Manuel de Jesús Morales Mayo</w:t>
      </w:r>
      <w:r w:rsidR="00C2314C" w:rsidRPr="00C2314C">
        <w:rPr>
          <w:rFonts w:ascii="Verdana" w:hAnsi="Verdana" w:cs="Arial"/>
          <w:sz w:val="22"/>
          <w:vertAlign w:val="superscript"/>
        </w:rPr>
        <w:t>5</w:t>
      </w:r>
    </w:p>
    <w:p w:rsidR="00017FC0" w:rsidRPr="00017FC0" w:rsidRDefault="00017FC0" w:rsidP="00017FC0">
      <w:pPr>
        <w:jc w:val="both"/>
        <w:rPr>
          <w:rFonts w:ascii="Verdana" w:hAnsi="Verdana" w:cs="Arial"/>
          <w:sz w:val="22"/>
        </w:rPr>
      </w:pPr>
      <w:r w:rsidRPr="00017FC0">
        <w:rPr>
          <w:rFonts w:ascii="Verdana" w:hAnsi="Verdana" w:cs="Arial"/>
          <w:b/>
          <w:sz w:val="22"/>
          <w:vertAlign w:val="superscript"/>
        </w:rPr>
        <w:t xml:space="preserve">1 </w:t>
      </w:r>
      <w:r w:rsidRPr="00017FC0">
        <w:rPr>
          <w:rFonts w:ascii="Verdana" w:hAnsi="Verdana" w:cs="Arial"/>
          <w:sz w:val="22"/>
        </w:rPr>
        <w:t xml:space="preserve">Especialista de primer Grado en Medicina General Integral y Embriología clínica, Departamento de las Ciencias Básicas Biomédicas, Universidad de Ciencias Médicas. Facultad de Ciencias Médicas, Camagüey, Cuba. Correo: </w:t>
      </w:r>
      <w:hyperlink r:id="rId7" w:history="1">
        <w:r w:rsidRPr="00017FC0">
          <w:rPr>
            <w:rStyle w:val="Hipervnculo"/>
            <w:rFonts w:ascii="Verdana" w:hAnsi="Verdana" w:cs="Arial"/>
            <w:sz w:val="22"/>
          </w:rPr>
          <w:t>cynara.cmw@infomed.sld.cu</w:t>
        </w:r>
      </w:hyperlink>
    </w:p>
    <w:p w:rsidR="00017FC0" w:rsidRPr="00017FC0" w:rsidRDefault="00017FC0" w:rsidP="00017FC0">
      <w:pPr>
        <w:jc w:val="both"/>
        <w:rPr>
          <w:rFonts w:ascii="Verdana" w:hAnsi="Verdana" w:cs="Arial"/>
          <w:sz w:val="22"/>
        </w:rPr>
      </w:pPr>
      <w:r w:rsidRPr="00017FC0">
        <w:rPr>
          <w:rFonts w:ascii="Verdana" w:hAnsi="Verdana" w:cs="Arial"/>
          <w:sz w:val="22"/>
          <w:vertAlign w:val="superscript"/>
        </w:rPr>
        <w:t xml:space="preserve">2 </w:t>
      </w:r>
      <w:r w:rsidRPr="00017FC0">
        <w:rPr>
          <w:rFonts w:ascii="Verdana" w:hAnsi="Verdana" w:cs="Arial"/>
          <w:sz w:val="22"/>
        </w:rPr>
        <w:t>Especialista de primer Grado en Medicina General Integral y Bioestadística, Departamento de Salud Pública, Universidad de Ciencias Médicas, Facultad de Ciencias Médicas, Camagüey, Cuba.</w:t>
      </w:r>
    </w:p>
    <w:p w:rsidR="00017FC0" w:rsidRPr="00017FC0" w:rsidRDefault="00017FC0" w:rsidP="00017FC0">
      <w:pPr>
        <w:jc w:val="both"/>
        <w:rPr>
          <w:rFonts w:ascii="Verdana" w:hAnsi="Verdana" w:cs="Arial"/>
          <w:sz w:val="22"/>
        </w:rPr>
      </w:pPr>
      <w:r w:rsidRPr="00017FC0">
        <w:rPr>
          <w:rFonts w:ascii="Verdana" w:hAnsi="Verdana" w:cs="Arial"/>
          <w:b/>
          <w:snapToGrid w:val="0"/>
          <w:sz w:val="22"/>
          <w:vertAlign w:val="superscript"/>
        </w:rPr>
        <w:t>3</w:t>
      </w:r>
      <w:r w:rsidRPr="00017FC0">
        <w:rPr>
          <w:rFonts w:ascii="Verdana" w:hAnsi="Verdana" w:cs="Arial"/>
          <w:b/>
          <w:snapToGrid w:val="0"/>
          <w:sz w:val="22"/>
          <w:vertAlign w:val="superscript"/>
          <w:lang w:val="es-ES_tradnl"/>
        </w:rPr>
        <w:t xml:space="preserve"> </w:t>
      </w:r>
      <w:r w:rsidRPr="00017FC0">
        <w:rPr>
          <w:rFonts w:ascii="Verdana" w:hAnsi="Verdana" w:cs="Arial"/>
          <w:sz w:val="22"/>
        </w:rPr>
        <w:t xml:space="preserve">Especialista de primer Grado en Medicina General Integral y Embriología clínica, Departamento de las Ciencias Básicas Biomédicas, Universidad de Ciencias Médicas, Facultad de Ciencias Médicas, Camagüey, Cuba. </w:t>
      </w:r>
    </w:p>
    <w:p w:rsidR="00017FC0" w:rsidRPr="00017FC0" w:rsidRDefault="00017FC0" w:rsidP="00017FC0">
      <w:pPr>
        <w:jc w:val="both"/>
        <w:rPr>
          <w:rFonts w:ascii="Verdana" w:hAnsi="Verdana" w:cs="Arial"/>
          <w:sz w:val="22"/>
        </w:rPr>
      </w:pPr>
      <w:r w:rsidRPr="00017FC0">
        <w:rPr>
          <w:rFonts w:ascii="Verdana" w:hAnsi="Verdana" w:cs="Arial"/>
          <w:sz w:val="22"/>
          <w:vertAlign w:val="superscript"/>
        </w:rPr>
        <w:t xml:space="preserve">4 </w:t>
      </w:r>
      <w:r w:rsidRPr="00017FC0">
        <w:rPr>
          <w:rFonts w:ascii="Verdana" w:hAnsi="Verdana" w:cs="Arial"/>
          <w:sz w:val="22"/>
        </w:rPr>
        <w:t>Especialista de primer Grado en Medicina Genera</w:t>
      </w:r>
      <w:r w:rsidR="00A52FE6">
        <w:rPr>
          <w:rFonts w:ascii="Verdana" w:hAnsi="Verdana" w:cs="Arial"/>
          <w:sz w:val="22"/>
        </w:rPr>
        <w:t>l Integral</w:t>
      </w:r>
      <w:r w:rsidRPr="00017FC0">
        <w:rPr>
          <w:rFonts w:ascii="Verdana" w:hAnsi="Verdana" w:cs="Arial"/>
          <w:sz w:val="22"/>
        </w:rPr>
        <w:t>, Departamento de Salud Pública, Universidad de Ciencias Médicas, Facultad de Ciencias Médicas, Camagüey, Cuba.</w:t>
      </w:r>
    </w:p>
    <w:p w:rsidR="00017FC0" w:rsidRPr="00017FC0" w:rsidRDefault="00017FC0" w:rsidP="00017FC0">
      <w:pPr>
        <w:jc w:val="both"/>
        <w:rPr>
          <w:rFonts w:ascii="Verdana" w:hAnsi="Verdana" w:cs="Arial"/>
          <w:sz w:val="22"/>
        </w:rPr>
      </w:pPr>
      <w:r w:rsidRPr="00017FC0">
        <w:rPr>
          <w:rFonts w:ascii="Verdana" w:hAnsi="Verdana" w:cs="Arial"/>
          <w:sz w:val="22"/>
          <w:vertAlign w:val="superscript"/>
        </w:rPr>
        <w:t>5</w:t>
      </w:r>
      <w:r w:rsidRPr="00017FC0">
        <w:rPr>
          <w:rFonts w:ascii="Verdana" w:hAnsi="Verdana" w:cs="Arial"/>
          <w:sz w:val="22"/>
        </w:rPr>
        <w:t xml:space="preserve"> Especialista de segundo Grado en  Higiene y epidemiología, Departamento de Salud Pública, Universidad de Ciencias Médicas, Facultad de Ciencias Médicas, Camagüey, Cuba</w:t>
      </w:r>
    </w:p>
    <w:p w:rsidR="00017FC0" w:rsidRDefault="00017FC0" w:rsidP="00783EDD">
      <w:pPr>
        <w:jc w:val="both"/>
        <w:rPr>
          <w:rFonts w:ascii="Verdana" w:hAnsi="Verdana"/>
          <w:b/>
          <w:sz w:val="28"/>
          <w:szCs w:val="28"/>
        </w:rPr>
      </w:pPr>
    </w:p>
    <w:p w:rsidR="00017FC0" w:rsidRDefault="00017FC0" w:rsidP="00783EDD">
      <w:pPr>
        <w:jc w:val="both"/>
        <w:rPr>
          <w:rFonts w:ascii="Verdana" w:hAnsi="Verdana"/>
          <w:b/>
          <w:sz w:val="28"/>
          <w:szCs w:val="28"/>
        </w:rPr>
      </w:pPr>
    </w:p>
    <w:p w:rsidR="00017FC0" w:rsidRDefault="00017FC0" w:rsidP="00783EDD">
      <w:pPr>
        <w:jc w:val="both"/>
        <w:rPr>
          <w:rFonts w:ascii="Verdana" w:hAnsi="Verdana"/>
          <w:b/>
          <w:sz w:val="28"/>
          <w:szCs w:val="28"/>
        </w:rPr>
      </w:pPr>
    </w:p>
    <w:p w:rsidR="00017FC0" w:rsidRDefault="00017FC0" w:rsidP="00783EDD">
      <w:pPr>
        <w:jc w:val="both"/>
        <w:rPr>
          <w:rFonts w:ascii="Verdana" w:hAnsi="Verdana"/>
          <w:b/>
          <w:sz w:val="28"/>
          <w:szCs w:val="28"/>
        </w:rPr>
      </w:pPr>
    </w:p>
    <w:p w:rsidR="00017FC0" w:rsidRPr="00017FC0" w:rsidRDefault="00017FC0" w:rsidP="00783EDD">
      <w:pPr>
        <w:jc w:val="both"/>
        <w:rPr>
          <w:rFonts w:ascii="Verdana" w:hAnsi="Verdana"/>
          <w:b/>
          <w:sz w:val="28"/>
          <w:szCs w:val="28"/>
        </w:rPr>
      </w:pPr>
    </w:p>
    <w:p w:rsidR="004C6AB8" w:rsidRPr="00017FC0" w:rsidRDefault="004B6EEA" w:rsidP="00783EDD">
      <w:pPr>
        <w:jc w:val="both"/>
        <w:rPr>
          <w:rFonts w:ascii="Verdana" w:hAnsi="Verdana"/>
          <w:b/>
          <w:sz w:val="22"/>
        </w:rPr>
      </w:pPr>
      <w:r w:rsidRPr="00017FC0">
        <w:rPr>
          <w:rFonts w:ascii="Verdana" w:hAnsi="Verdana"/>
          <w:b/>
          <w:sz w:val="22"/>
        </w:rPr>
        <w:t>Resumen</w:t>
      </w:r>
    </w:p>
    <w:p w:rsidR="00F135D4" w:rsidRPr="00017FC0" w:rsidRDefault="00640690" w:rsidP="00F4183C">
      <w:pPr>
        <w:spacing w:after="160" w:line="259" w:lineRule="auto"/>
        <w:jc w:val="both"/>
        <w:rPr>
          <w:rFonts w:ascii="Verdana" w:eastAsia="Calibri" w:hAnsi="Verdana" w:cs="Times New Roman"/>
          <w:sz w:val="22"/>
        </w:rPr>
      </w:pPr>
      <w:r w:rsidRPr="00017FC0">
        <w:rPr>
          <w:rFonts w:ascii="Verdana" w:eastAsia="Calibri" w:hAnsi="Verdana" w:cs="Times New Roman"/>
          <w:b/>
          <w:sz w:val="22"/>
        </w:rPr>
        <w:t>Introducción</w:t>
      </w:r>
      <w:r w:rsidRPr="00017FC0">
        <w:rPr>
          <w:rFonts w:ascii="Verdana" w:eastAsia="Calibri" w:hAnsi="Verdana" w:cs="Times New Roman"/>
          <w:sz w:val="22"/>
        </w:rPr>
        <w:t xml:space="preserve">. Las anomalías cromosómicas están entre las primeras causas de pérdidas embrionarias y fetales. </w:t>
      </w:r>
      <w:r w:rsidRPr="00017FC0">
        <w:rPr>
          <w:rFonts w:ascii="Verdana" w:eastAsia="Calibri" w:hAnsi="Verdana" w:cs="Times New Roman"/>
          <w:b/>
          <w:sz w:val="22"/>
        </w:rPr>
        <w:t>Objetivo</w:t>
      </w:r>
      <w:r w:rsidRPr="00017FC0">
        <w:rPr>
          <w:rFonts w:ascii="Verdana" w:eastAsia="Calibri" w:hAnsi="Verdana" w:cs="Times New Roman"/>
          <w:sz w:val="22"/>
        </w:rPr>
        <w:t xml:space="preserve">. Caracterizar la presentación de las aberraciones cromosómicas en el diagnóstico prenatal citogenético, en la provincia de Camagüey 2012-2021. </w:t>
      </w:r>
      <w:r w:rsidRPr="00017FC0">
        <w:rPr>
          <w:rFonts w:ascii="Verdana" w:eastAsia="Calibri" w:hAnsi="Verdana" w:cs="Times New Roman"/>
          <w:b/>
          <w:sz w:val="22"/>
        </w:rPr>
        <w:t>Material y Método</w:t>
      </w:r>
      <w:r w:rsidRPr="00017FC0">
        <w:rPr>
          <w:rFonts w:ascii="Verdana" w:eastAsia="Calibri" w:hAnsi="Verdana" w:cs="Times New Roman"/>
          <w:sz w:val="22"/>
        </w:rPr>
        <w:t>. Se realizó un estudio descriptivo t</w:t>
      </w:r>
      <w:r w:rsidR="00892E30">
        <w:rPr>
          <w:rFonts w:ascii="Verdana" w:eastAsia="Calibri" w:hAnsi="Verdana" w:cs="Times New Roman"/>
          <w:sz w:val="22"/>
        </w:rPr>
        <w:t>ransversal en los 13 municipios</w:t>
      </w:r>
      <w:r w:rsidRPr="00017FC0">
        <w:rPr>
          <w:rFonts w:ascii="Verdana" w:eastAsia="Calibri" w:hAnsi="Verdana" w:cs="Times New Roman"/>
          <w:sz w:val="22"/>
        </w:rPr>
        <w:t>.</w:t>
      </w:r>
      <w:r w:rsidR="00892E30">
        <w:rPr>
          <w:rFonts w:ascii="Verdana" w:eastAsia="Calibri" w:hAnsi="Verdana" w:cs="Times New Roman"/>
          <w:sz w:val="22"/>
        </w:rPr>
        <w:t xml:space="preserve"> </w:t>
      </w:r>
      <w:r w:rsidRPr="00017FC0">
        <w:rPr>
          <w:rFonts w:ascii="Verdana" w:eastAsia="Calibri" w:hAnsi="Verdana" w:cs="Times New Roman"/>
          <w:sz w:val="22"/>
        </w:rPr>
        <w:t>El universo estuvo constituido po</w:t>
      </w:r>
      <w:r w:rsidR="0042242B">
        <w:rPr>
          <w:rFonts w:ascii="Verdana" w:eastAsia="Calibri" w:hAnsi="Verdana" w:cs="Times New Roman"/>
          <w:sz w:val="22"/>
        </w:rPr>
        <w:t>r 126 gestantes con diagnóstico prenatal citogenético positivo</w:t>
      </w:r>
      <w:r w:rsidRPr="00017FC0">
        <w:rPr>
          <w:rFonts w:ascii="Verdana" w:eastAsia="Calibri" w:hAnsi="Verdana" w:cs="Times New Roman"/>
          <w:sz w:val="22"/>
        </w:rPr>
        <w:t xml:space="preserve"> de aberración cromosómica, los datos se obtuvieron de los registros del laboratorio provincial de citogenética y de los centros municipales de genética. Se confeccionó un cuaderno de recogida de datos que constituyó el registro definitivo. Se determinó estadísticas de frecuencia y por ciento. </w:t>
      </w:r>
      <w:r w:rsidRPr="00017FC0">
        <w:rPr>
          <w:rFonts w:ascii="Verdana" w:eastAsia="Calibri" w:hAnsi="Verdana" w:cs="Times New Roman"/>
          <w:b/>
          <w:sz w:val="22"/>
        </w:rPr>
        <w:t>Resultados</w:t>
      </w:r>
      <w:r w:rsidRPr="00017FC0">
        <w:rPr>
          <w:rFonts w:ascii="Verdana" w:eastAsia="Calibri" w:hAnsi="Verdana" w:cs="Times New Roman"/>
          <w:sz w:val="22"/>
        </w:rPr>
        <w:t xml:space="preserve">. Se detectaron 126 casos de aberraciones cromosómicas, Camagüey fue el municipio que más casos aportó. Predominaron los trastornos numéricos. La trisomía 21 fue la más frecuente; la edad materna avanzada fue el factor de riesgo mayor. </w:t>
      </w:r>
      <w:r w:rsidRPr="00017FC0">
        <w:rPr>
          <w:rFonts w:ascii="Verdana" w:eastAsia="Calibri" w:hAnsi="Verdana" w:cs="Times New Roman"/>
          <w:b/>
          <w:sz w:val="22"/>
        </w:rPr>
        <w:t>Discusión</w:t>
      </w:r>
      <w:r w:rsidRPr="00017FC0">
        <w:rPr>
          <w:rFonts w:ascii="Verdana" w:eastAsia="Calibri" w:hAnsi="Verdana" w:cs="Times New Roman"/>
          <w:sz w:val="22"/>
        </w:rPr>
        <w:t xml:space="preserve">. Hay resultados que se asemejan a otras investigaciones, que ponen de manifiesto la necesidad de realizar buen diagnóstico y tratamiento de estas patologías. </w:t>
      </w:r>
      <w:r w:rsidRPr="00017FC0">
        <w:rPr>
          <w:rFonts w:ascii="Verdana" w:eastAsia="Calibri" w:hAnsi="Verdana" w:cs="Times New Roman"/>
          <w:b/>
          <w:sz w:val="22"/>
        </w:rPr>
        <w:t>Conclusiones</w:t>
      </w:r>
      <w:r w:rsidRPr="00017FC0">
        <w:rPr>
          <w:rFonts w:ascii="Verdana" w:eastAsia="Calibri" w:hAnsi="Verdana" w:cs="Times New Roman"/>
          <w:sz w:val="22"/>
        </w:rPr>
        <w:t>. El municipio de Camagüey presentó más aberraciones cromosómicas, a predominio de las numéricas destacándose el Síndrome de Down, las gestantes con edad materna avanzada fueron las más incidentes. Los casos nuevos predominaron sobre los heredados.</w:t>
      </w:r>
    </w:p>
    <w:p w:rsidR="00017FC0" w:rsidRPr="00017FC0" w:rsidRDefault="00017FC0" w:rsidP="00783EDD">
      <w:pPr>
        <w:jc w:val="both"/>
        <w:rPr>
          <w:rFonts w:ascii="Verdana" w:hAnsi="Verdana"/>
          <w:b/>
          <w:sz w:val="22"/>
        </w:rPr>
      </w:pPr>
    </w:p>
    <w:p w:rsidR="00017FC0" w:rsidRPr="00017FC0" w:rsidRDefault="00017FC0" w:rsidP="00783EDD">
      <w:pPr>
        <w:jc w:val="both"/>
        <w:rPr>
          <w:rFonts w:ascii="Verdana" w:hAnsi="Verdana"/>
          <w:b/>
          <w:sz w:val="22"/>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Default="00017FC0" w:rsidP="00783EDD">
      <w:pPr>
        <w:jc w:val="both"/>
        <w:rPr>
          <w:b/>
        </w:rPr>
      </w:pPr>
    </w:p>
    <w:p w:rsidR="00017FC0" w:rsidRPr="00017FC0" w:rsidRDefault="00017FC0" w:rsidP="00017FC0">
      <w:pPr>
        <w:jc w:val="both"/>
        <w:rPr>
          <w:rFonts w:ascii="Verdana" w:hAnsi="Verdana"/>
          <w:b/>
          <w:sz w:val="22"/>
        </w:rPr>
      </w:pPr>
    </w:p>
    <w:p w:rsidR="004B6EEA" w:rsidRPr="00017FC0" w:rsidRDefault="004B6EEA" w:rsidP="00017FC0">
      <w:pPr>
        <w:jc w:val="both"/>
        <w:rPr>
          <w:rFonts w:ascii="Verdana" w:hAnsi="Verdana"/>
          <w:b/>
          <w:sz w:val="22"/>
        </w:rPr>
      </w:pPr>
      <w:r w:rsidRPr="00017FC0">
        <w:rPr>
          <w:rFonts w:ascii="Verdana" w:hAnsi="Verdana"/>
          <w:b/>
          <w:sz w:val="22"/>
        </w:rPr>
        <w:t>Introducción</w:t>
      </w:r>
    </w:p>
    <w:p w:rsidR="004B6EEA" w:rsidRPr="00017FC0" w:rsidRDefault="001C0EC4" w:rsidP="00017FC0">
      <w:pPr>
        <w:jc w:val="both"/>
        <w:rPr>
          <w:rFonts w:ascii="Verdana" w:hAnsi="Verdana" w:cs="Arial"/>
          <w:sz w:val="22"/>
          <w:vertAlign w:val="superscript"/>
          <w:lang w:eastAsia="es-ES"/>
        </w:rPr>
      </w:pPr>
      <w:r w:rsidRPr="00017FC0">
        <w:rPr>
          <w:rFonts w:ascii="Verdana" w:hAnsi="Verdana" w:cs="Arial"/>
          <w:sz w:val="22"/>
        </w:rPr>
        <w:t xml:space="preserve">Las anomalías cromosómicas son padecimientos que resultan de una cantidad mayor o menor de material hereditario y </w:t>
      </w:r>
      <w:r w:rsidR="00406448" w:rsidRPr="00017FC0">
        <w:rPr>
          <w:rFonts w:ascii="Verdana" w:hAnsi="Verdana" w:cs="Arial"/>
          <w:sz w:val="22"/>
        </w:rPr>
        <w:t xml:space="preserve">una de las primeras causas de pérdidas embrionarias y fetales. </w:t>
      </w:r>
      <w:r w:rsidR="00852657" w:rsidRPr="00017FC0">
        <w:rPr>
          <w:rFonts w:ascii="Verdana" w:hAnsi="Verdana" w:cs="Arial"/>
          <w:sz w:val="22"/>
        </w:rPr>
        <w:t>A</w:t>
      </w:r>
      <w:r w:rsidR="00852657" w:rsidRPr="00017FC0">
        <w:rPr>
          <w:rFonts w:ascii="Verdana" w:hAnsi="Verdana" w:cs="Arial"/>
          <w:sz w:val="22"/>
          <w:lang w:eastAsia="es-ES"/>
        </w:rPr>
        <w:t>contecen</w:t>
      </w:r>
      <w:r w:rsidR="00406448" w:rsidRPr="00017FC0">
        <w:rPr>
          <w:rFonts w:ascii="Verdana" w:hAnsi="Verdana" w:cs="Arial"/>
          <w:sz w:val="22"/>
          <w:lang w:eastAsia="es-ES"/>
        </w:rPr>
        <w:t xml:space="preserve"> en parejas con cromosomas sanos y se originan como eventos nuevos, generalmente durante la gametogénesis</w:t>
      </w:r>
      <w:r w:rsidR="00406448" w:rsidRPr="00017FC0">
        <w:rPr>
          <w:rFonts w:ascii="Verdana" w:hAnsi="Verdana" w:cs="Arial"/>
          <w:sz w:val="22"/>
        </w:rPr>
        <w:t>.</w:t>
      </w:r>
      <w:r w:rsidRPr="00017FC0">
        <w:rPr>
          <w:rFonts w:ascii="Verdana" w:hAnsi="Verdana" w:cs="Arial"/>
          <w:sz w:val="22"/>
          <w:lang w:eastAsia="es-ES"/>
        </w:rPr>
        <w:t xml:space="preserve"> </w:t>
      </w:r>
      <w:r w:rsidR="00406448" w:rsidRPr="00017FC0">
        <w:rPr>
          <w:rFonts w:ascii="Verdana" w:hAnsi="Verdana" w:cs="Arial"/>
          <w:sz w:val="22"/>
          <w:lang w:eastAsia="es-ES"/>
        </w:rPr>
        <w:t xml:space="preserve">Se estima que están presentes en al menos el 10 % de todos los espermatozoides y en el 25 % de los ovocitos maduros. </w:t>
      </w:r>
      <w:r w:rsidRPr="00017FC0">
        <w:rPr>
          <w:rFonts w:ascii="Verdana" w:hAnsi="Verdana" w:cs="Arial"/>
          <w:sz w:val="22"/>
          <w:vertAlign w:val="superscript"/>
          <w:lang w:eastAsia="es-ES"/>
        </w:rPr>
        <w:t>1</w:t>
      </w:r>
    </w:p>
    <w:p w:rsidR="00406448" w:rsidRPr="00017FC0" w:rsidRDefault="00406448" w:rsidP="00017FC0">
      <w:pPr>
        <w:jc w:val="both"/>
        <w:rPr>
          <w:rFonts w:ascii="Verdana" w:hAnsi="Verdana" w:cs="Arial"/>
          <w:sz w:val="22"/>
          <w:vertAlign w:val="superscript"/>
          <w:lang w:val="es-MX" w:eastAsia="es-ES"/>
        </w:rPr>
      </w:pPr>
      <w:r w:rsidRPr="00017FC0">
        <w:rPr>
          <w:rFonts w:ascii="Verdana" w:hAnsi="Verdana" w:cs="Arial"/>
          <w:sz w:val="22"/>
          <w:lang w:val="es-MX" w:eastAsia="es-ES"/>
        </w:rPr>
        <w:t>Entre el 15 % y el 20 % de todos los embarazos no llegan a término porque concluyen en abortos espontáneos, de estos, el 50 % presenta una alteración cromosómica. Estas observaciones indican que son causa del mayor número de pérdid</w:t>
      </w:r>
      <w:r w:rsidR="00B3783A" w:rsidRPr="00017FC0">
        <w:rPr>
          <w:rFonts w:ascii="Verdana" w:hAnsi="Verdana" w:cs="Arial"/>
          <w:sz w:val="22"/>
          <w:lang w:val="es-MX" w:eastAsia="es-ES"/>
        </w:rPr>
        <w:t xml:space="preserve">as de las concepciones humanas. </w:t>
      </w:r>
      <w:r w:rsidR="00B3783A" w:rsidRPr="00017FC0">
        <w:rPr>
          <w:rFonts w:ascii="Verdana" w:hAnsi="Verdana" w:cs="Arial"/>
          <w:sz w:val="22"/>
          <w:vertAlign w:val="superscript"/>
          <w:lang w:val="es-MX" w:eastAsia="es-ES"/>
        </w:rPr>
        <w:t>2</w:t>
      </w:r>
    </w:p>
    <w:p w:rsidR="00406448" w:rsidRPr="00017FC0" w:rsidRDefault="00406448" w:rsidP="00017FC0">
      <w:pPr>
        <w:jc w:val="both"/>
        <w:rPr>
          <w:rFonts w:ascii="Verdana" w:hAnsi="Verdana"/>
          <w:sz w:val="22"/>
          <w:vertAlign w:val="superscript"/>
          <w:lang w:val="es-MX"/>
        </w:rPr>
      </w:pPr>
      <w:r w:rsidRPr="00017FC0">
        <w:rPr>
          <w:rFonts w:ascii="Verdana" w:hAnsi="Verdana"/>
          <w:sz w:val="22"/>
          <w:lang w:val="es-MX"/>
        </w:rPr>
        <w:t>Las aberraciones cromosómicas a nivel global son relativamente frecuentes en poblaciones humanas. Su incidencia al nacimiento es de seis por 1000 nacidos vivos, lo que constituye una causa importante de retr</w:t>
      </w:r>
      <w:r w:rsidR="00B3783A" w:rsidRPr="00017FC0">
        <w:rPr>
          <w:rFonts w:ascii="Verdana" w:hAnsi="Verdana"/>
          <w:sz w:val="22"/>
          <w:lang w:val="es-MX"/>
        </w:rPr>
        <w:t>aso mental, defectos congénitos</w:t>
      </w:r>
      <w:r w:rsidRPr="00017FC0">
        <w:rPr>
          <w:rFonts w:ascii="Verdana" w:hAnsi="Verdana"/>
          <w:sz w:val="22"/>
          <w:lang w:val="es-MX"/>
        </w:rPr>
        <w:t xml:space="preserve"> y mortalidad neonatal. La aberración más frecuente es el síndrome Down, que representa uno en 800 nacidos vivos.</w:t>
      </w:r>
      <w:r w:rsidR="0049172F" w:rsidRPr="00017FC0">
        <w:rPr>
          <w:rFonts w:ascii="Verdana" w:hAnsi="Verdana"/>
          <w:sz w:val="22"/>
          <w:lang w:val="es-MX"/>
        </w:rPr>
        <w:t xml:space="preserve"> </w:t>
      </w:r>
      <w:r w:rsidR="0049172F" w:rsidRPr="00017FC0">
        <w:rPr>
          <w:rFonts w:ascii="Verdana" w:hAnsi="Verdana"/>
          <w:sz w:val="22"/>
          <w:vertAlign w:val="superscript"/>
          <w:lang w:val="es-MX"/>
        </w:rPr>
        <w:t>3</w:t>
      </w:r>
    </w:p>
    <w:p w:rsidR="00406448" w:rsidRPr="00017FC0" w:rsidRDefault="00B06FCD" w:rsidP="00017FC0">
      <w:pPr>
        <w:jc w:val="both"/>
        <w:rPr>
          <w:rFonts w:ascii="Verdana" w:hAnsi="Verdana" w:cs="Arial"/>
          <w:bCs/>
          <w:sz w:val="22"/>
          <w:vertAlign w:val="superscript"/>
          <w:lang w:val="es-MX"/>
        </w:rPr>
      </w:pPr>
      <w:r w:rsidRPr="00017FC0">
        <w:rPr>
          <w:rFonts w:ascii="Verdana" w:hAnsi="Verdana" w:cs="Arial"/>
          <w:sz w:val="22"/>
        </w:rPr>
        <w:t>S</w:t>
      </w:r>
      <w:r w:rsidR="00406448" w:rsidRPr="00017FC0">
        <w:rPr>
          <w:rFonts w:ascii="Verdana" w:hAnsi="Verdana" w:cs="Arial"/>
          <w:sz w:val="22"/>
        </w:rPr>
        <w:t xml:space="preserve">on muy importantes por su repercusión en la mortalidad infantil, la que puede ser por defectos congénitos, deformidades y anomalías cromosómicas. </w:t>
      </w:r>
      <w:r w:rsidR="00406448" w:rsidRPr="00017FC0">
        <w:rPr>
          <w:rFonts w:ascii="Verdana" w:hAnsi="Verdana" w:cs="Arial"/>
          <w:sz w:val="22"/>
          <w:lang w:val="es-MX"/>
        </w:rPr>
        <w:t xml:space="preserve">Las </w:t>
      </w:r>
      <w:r w:rsidR="00406448" w:rsidRPr="00017FC0">
        <w:rPr>
          <w:rFonts w:ascii="Verdana" w:hAnsi="Verdana" w:cs="Arial"/>
          <w:bCs/>
          <w:sz w:val="22"/>
          <w:lang w:val="es-MX"/>
        </w:rPr>
        <w:t>aberraciones cromosómicas</w:t>
      </w:r>
      <w:r w:rsidR="00406448" w:rsidRPr="00017FC0">
        <w:rPr>
          <w:rFonts w:ascii="Verdana" w:hAnsi="Verdana" w:cs="Arial"/>
          <w:sz w:val="22"/>
          <w:lang w:val="es-MX"/>
        </w:rPr>
        <w:t xml:space="preserve"> son anormalidades o defectos cromosómicos que se clasifican en numéricas y estructurales. Entre las primeras se incluyen las que tienen el componente cromosómico alterado por defecto o por exceso, y en el segundo grupo se afecta la estructura de uno o varios cromosomas. </w:t>
      </w:r>
      <w:r w:rsidR="00406448" w:rsidRPr="00017FC0">
        <w:rPr>
          <w:rFonts w:ascii="Verdana" w:hAnsi="Verdana" w:cs="Arial"/>
          <w:bCs/>
          <w:sz w:val="22"/>
          <w:lang w:val="es-MX"/>
        </w:rPr>
        <w:t xml:space="preserve">Ambos tipos de aberraciones cromosómicas pueden tener consecuencias clínicas graves. </w:t>
      </w:r>
      <w:r w:rsidR="00163692" w:rsidRPr="00017FC0">
        <w:rPr>
          <w:rFonts w:ascii="Verdana" w:hAnsi="Verdana" w:cs="Arial"/>
          <w:bCs/>
          <w:sz w:val="22"/>
          <w:vertAlign w:val="superscript"/>
          <w:lang w:val="es-MX"/>
        </w:rPr>
        <w:t>4</w:t>
      </w:r>
    </w:p>
    <w:p w:rsidR="003F1BB7" w:rsidRPr="00017FC0" w:rsidRDefault="003F1BB7" w:rsidP="00017FC0">
      <w:pPr>
        <w:jc w:val="both"/>
        <w:rPr>
          <w:rFonts w:ascii="Verdana" w:hAnsi="Verdana" w:cs="Arial"/>
          <w:sz w:val="22"/>
          <w:vertAlign w:val="superscript"/>
          <w:lang w:val="es-MX" w:eastAsia="es-ES"/>
        </w:rPr>
      </w:pPr>
      <w:r w:rsidRPr="00017FC0">
        <w:rPr>
          <w:rFonts w:ascii="Verdana" w:hAnsi="Verdana" w:cs="Arial"/>
          <w:sz w:val="22"/>
          <w:lang w:val="es-MX" w:eastAsia="es-ES"/>
        </w:rPr>
        <w:t xml:space="preserve">La mayor parte de los estudios sobre las aberraciones cromosómicas se encuentran concretados en algunas provincias de Cuba, principalmente en Pinar del Río, </w:t>
      </w:r>
      <w:r w:rsidR="007C6F08" w:rsidRPr="00017FC0">
        <w:rPr>
          <w:rFonts w:ascii="Verdana" w:hAnsi="Verdana" w:cs="Arial"/>
          <w:sz w:val="22"/>
          <w:lang w:eastAsia="es-ES"/>
        </w:rPr>
        <w:t xml:space="preserve">se reportan estudios en </w:t>
      </w:r>
      <w:r w:rsidR="007C6F08" w:rsidRPr="00017FC0">
        <w:rPr>
          <w:rFonts w:ascii="Verdana" w:hAnsi="Verdana" w:cs="Arial"/>
          <w:sz w:val="22"/>
          <w:lang w:val="es-MX" w:eastAsia="es-ES"/>
        </w:rPr>
        <w:t>Las Tunas, La Habana, May</w:t>
      </w:r>
      <w:r w:rsidR="004C7561" w:rsidRPr="00017FC0">
        <w:rPr>
          <w:rFonts w:ascii="Verdana" w:hAnsi="Verdana" w:cs="Arial"/>
          <w:sz w:val="22"/>
          <w:lang w:val="es-MX" w:eastAsia="es-ES"/>
        </w:rPr>
        <w:t xml:space="preserve">abeque, Cienfuegos </w:t>
      </w:r>
      <w:r w:rsidR="00163692" w:rsidRPr="00017FC0">
        <w:rPr>
          <w:rFonts w:ascii="Verdana" w:hAnsi="Verdana" w:cs="Arial"/>
          <w:sz w:val="22"/>
          <w:lang w:val="es-MX" w:eastAsia="es-ES"/>
        </w:rPr>
        <w:t>y Camagüey,</w:t>
      </w:r>
      <w:r w:rsidR="007C6F08" w:rsidRPr="00017FC0">
        <w:rPr>
          <w:rFonts w:ascii="Verdana" w:hAnsi="Verdana" w:cs="Arial"/>
          <w:sz w:val="22"/>
          <w:lang w:val="es-MX" w:eastAsia="es-ES"/>
        </w:rPr>
        <w:t xml:space="preserve"> en el resto del país no se han realizado de manera integral por lo que se carece de registro de la incidencia de esta entidad.</w:t>
      </w:r>
      <w:r w:rsidR="0033630E" w:rsidRPr="00017FC0">
        <w:rPr>
          <w:rFonts w:ascii="Verdana" w:hAnsi="Verdana" w:cs="Arial"/>
          <w:sz w:val="22"/>
          <w:lang w:val="es-MX" w:eastAsia="es-ES"/>
        </w:rPr>
        <w:t xml:space="preserve"> </w:t>
      </w:r>
      <w:r w:rsidR="0033630E" w:rsidRPr="00017FC0">
        <w:rPr>
          <w:rFonts w:ascii="Verdana" w:hAnsi="Verdana" w:cs="Arial"/>
          <w:sz w:val="22"/>
          <w:vertAlign w:val="superscript"/>
          <w:lang w:val="es-MX" w:eastAsia="es-ES"/>
        </w:rPr>
        <w:t>5</w:t>
      </w:r>
    </w:p>
    <w:p w:rsidR="003F1BB7" w:rsidRPr="00017FC0" w:rsidRDefault="003F1BB7" w:rsidP="00017FC0">
      <w:pPr>
        <w:jc w:val="both"/>
        <w:rPr>
          <w:rFonts w:ascii="Verdana" w:hAnsi="Verdana" w:cs="Arial"/>
          <w:sz w:val="22"/>
          <w:vertAlign w:val="superscript"/>
          <w:lang w:eastAsia="es-ES"/>
        </w:rPr>
      </w:pPr>
      <w:r w:rsidRPr="00017FC0">
        <w:rPr>
          <w:rFonts w:ascii="Verdana" w:hAnsi="Verdana" w:cs="Arial"/>
          <w:sz w:val="22"/>
          <w:lang w:eastAsia="es-ES"/>
        </w:rPr>
        <w:t xml:space="preserve">Actualmente se dispone de un amplio conocimiento del cariotipo humano y de las anomalías cromosómicas. El Subprograma de Diagnóstico Prenatal Citogenético (DPC) en gestantes con riesgo, forma parte del Programa Cubano de Diagnóstico, Manejo y Prevención de Enfermedades </w:t>
      </w:r>
      <w:r w:rsidR="0033630E" w:rsidRPr="00017FC0">
        <w:rPr>
          <w:rFonts w:ascii="Verdana" w:hAnsi="Verdana" w:cs="Arial"/>
          <w:sz w:val="22"/>
          <w:lang w:eastAsia="es-ES"/>
        </w:rPr>
        <w:t xml:space="preserve">Genéticas y Defectos Congénitos. </w:t>
      </w:r>
      <w:r w:rsidR="0033630E" w:rsidRPr="00017FC0">
        <w:rPr>
          <w:rFonts w:ascii="Verdana" w:hAnsi="Verdana" w:cs="Arial"/>
          <w:sz w:val="22"/>
          <w:vertAlign w:val="superscript"/>
          <w:lang w:eastAsia="es-ES"/>
        </w:rPr>
        <w:t>6</w:t>
      </w:r>
    </w:p>
    <w:p w:rsidR="003F1BB7" w:rsidRPr="00017FC0" w:rsidRDefault="00476CD1" w:rsidP="00017FC0">
      <w:pPr>
        <w:jc w:val="both"/>
        <w:rPr>
          <w:rFonts w:ascii="Verdana" w:hAnsi="Verdana" w:cs="Arial"/>
          <w:sz w:val="22"/>
          <w:vertAlign w:val="superscript"/>
        </w:rPr>
      </w:pPr>
      <w:r w:rsidRPr="00017FC0">
        <w:rPr>
          <w:rFonts w:ascii="Verdana" w:hAnsi="Verdana" w:cs="Arial"/>
          <w:sz w:val="22"/>
        </w:rPr>
        <w:t xml:space="preserve">La introducción de servicios de genética clínica en la comunidad, el asesoramiento genético preconcepcional, pre y posnatal, la educación en genética a los profesionales de la salud y a la población en general, la monitorización de la presencia de enfermedades genéticas y comunes en la </w:t>
      </w:r>
      <w:r w:rsidRPr="00017FC0">
        <w:rPr>
          <w:rFonts w:ascii="Verdana" w:hAnsi="Verdana" w:cs="Arial"/>
          <w:sz w:val="22"/>
        </w:rPr>
        <w:lastRenderedPageBreak/>
        <w:t>población cubana, son los principales objetivos de trabajo y desafíos en el desarrollo de la Genética Comunitaria en Cuba.</w:t>
      </w:r>
      <w:r w:rsidR="00C34AD4" w:rsidRPr="00017FC0">
        <w:rPr>
          <w:rFonts w:ascii="Verdana" w:hAnsi="Verdana" w:cs="Arial"/>
          <w:sz w:val="22"/>
        </w:rPr>
        <w:t xml:space="preserve"> </w:t>
      </w:r>
      <w:r w:rsidR="00D25776" w:rsidRPr="00017FC0">
        <w:rPr>
          <w:rFonts w:ascii="Verdana" w:hAnsi="Verdana" w:cs="Arial"/>
          <w:sz w:val="22"/>
          <w:vertAlign w:val="superscript"/>
        </w:rPr>
        <w:t>7</w:t>
      </w:r>
    </w:p>
    <w:p w:rsidR="00852657" w:rsidRPr="00017FC0" w:rsidRDefault="00852657" w:rsidP="00017FC0">
      <w:pPr>
        <w:jc w:val="both"/>
        <w:rPr>
          <w:rFonts w:ascii="Verdana" w:hAnsi="Verdana"/>
          <w:sz w:val="22"/>
        </w:rPr>
      </w:pPr>
      <w:r w:rsidRPr="00017FC0">
        <w:rPr>
          <w:rFonts w:ascii="Verdana" w:hAnsi="Verdana"/>
          <w:sz w:val="22"/>
        </w:rPr>
        <w:t xml:space="preserve">Con el objetivo de </w:t>
      </w:r>
      <w:r w:rsidRPr="00017FC0">
        <w:rPr>
          <w:rFonts w:ascii="Verdana" w:hAnsi="Verdana" w:cs="Arial"/>
          <w:sz w:val="22"/>
        </w:rPr>
        <w:t>caracterizar la presentación de las aberraciones cromosómicas en el diagnóstico prenatal citogenético, en la provincia de Camagüe</w:t>
      </w:r>
      <w:r w:rsidR="00E2621C" w:rsidRPr="00017FC0">
        <w:rPr>
          <w:rFonts w:ascii="Verdana" w:hAnsi="Verdana" w:cs="Arial"/>
          <w:sz w:val="22"/>
        </w:rPr>
        <w:t>y 2012</w:t>
      </w:r>
      <w:r w:rsidRPr="00017FC0">
        <w:rPr>
          <w:rFonts w:ascii="Verdana" w:hAnsi="Verdana" w:cs="Arial"/>
          <w:sz w:val="22"/>
        </w:rPr>
        <w:t xml:space="preserve"> – 20</w:t>
      </w:r>
      <w:r w:rsidR="00E2621C" w:rsidRPr="00017FC0">
        <w:rPr>
          <w:rFonts w:ascii="Verdana" w:hAnsi="Verdana" w:cs="Arial"/>
          <w:sz w:val="22"/>
        </w:rPr>
        <w:t>21</w:t>
      </w:r>
      <w:r w:rsidRPr="00017FC0">
        <w:rPr>
          <w:rFonts w:ascii="Verdana" w:hAnsi="Verdana" w:cs="Arial"/>
          <w:sz w:val="22"/>
        </w:rPr>
        <w:t xml:space="preserve"> que permita el diseño de nuevas líneas de trabajo en los servicios de genética encaminados a la prevención de estas afecciones, se realizó la presente investigación.</w:t>
      </w:r>
    </w:p>
    <w:p w:rsidR="00E72520" w:rsidRPr="00017FC0" w:rsidRDefault="00E72520" w:rsidP="00017FC0">
      <w:pPr>
        <w:jc w:val="both"/>
        <w:rPr>
          <w:rFonts w:ascii="Verdana" w:hAnsi="Verdana" w:cs="Arial"/>
          <w:b/>
          <w:sz w:val="22"/>
        </w:rPr>
      </w:pPr>
      <w:r w:rsidRPr="00017FC0">
        <w:rPr>
          <w:rFonts w:ascii="Verdana" w:hAnsi="Verdana" w:cs="Arial"/>
          <w:b/>
          <w:sz w:val="22"/>
        </w:rPr>
        <w:t>Diseño metodológico</w:t>
      </w:r>
    </w:p>
    <w:p w:rsidR="00E72520" w:rsidRPr="00017FC0" w:rsidRDefault="00E72520" w:rsidP="00017FC0">
      <w:pPr>
        <w:jc w:val="both"/>
        <w:rPr>
          <w:rFonts w:ascii="Verdana" w:hAnsi="Verdana" w:cs="Arial"/>
          <w:b/>
          <w:sz w:val="22"/>
        </w:rPr>
      </w:pPr>
      <w:r w:rsidRPr="00017FC0">
        <w:rPr>
          <w:rFonts w:ascii="Verdana" w:hAnsi="Verdana" w:cs="Arial"/>
          <w:b/>
          <w:sz w:val="22"/>
        </w:rPr>
        <w:t>Tipo de estudio</w:t>
      </w:r>
    </w:p>
    <w:p w:rsidR="00852657" w:rsidRPr="00017FC0" w:rsidRDefault="00E72520" w:rsidP="00017FC0">
      <w:pPr>
        <w:jc w:val="both"/>
        <w:rPr>
          <w:rFonts w:ascii="Verdana" w:hAnsi="Verdana" w:cs="Arial"/>
          <w:sz w:val="22"/>
        </w:rPr>
      </w:pPr>
      <w:r w:rsidRPr="00017FC0">
        <w:rPr>
          <w:rFonts w:ascii="Verdana" w:hAnsi="Verdana" w:cs="Arial"/>
          <w:sz w:val="22"/>
        </w:rPr>
        <w:t>Se desarrolló un estudio descriptivo transversal c</w:t>
      </w:r>
      <w:r w:rsidR="00363389" w:rsidRPr="00017FC0">
        <w:rPr>
          <w:rFonts w:ascii="Verdana" w:hAnsi="Verdana" w:cs="Arial"/>
          <w:sz w:val="22"/>
        </w:rPr>
        <w:t xml:space="preserve">on el objetivo de caracterizar </w:t>
      </w:r>
      <w:r w:rsidRPr="00017FC0">
        <w:rPr>
          <w:rFonts w:ascii="Verdana" w:hAnsi="Verdana" w:cs="Arial"/>
          <w:sz w:val="22"/>
        </w:rPr>
        <w:t>la presentación de las aberraciones cromosómicas encontradas en el diagnóstico prenatal citogenético, en la provincia de Camagüey, desde enero de 20</w:t>
      </w:r>
      <w:r w:rsidR="00E24554" w:rsidRPr="00017FC0">
        <w:rPr>
          <w:rFonts w:ascii="Verdana" w:hAnsi="Verdana" w:cs="Arial"/>
          <w:sz w:val="22"/>
        </w:rPr>
        <w:t>12</w:t>
      </w:r>
      <w:r w:rsidRPr="00017FC0">
        <w:rPr>
          <w:rFonts w:ascii="Verdana" w:hAnsi="Verdana" w:cs="Arial"/>
          <w:sz w:val="22"/>
        </w:rPr>
        <w:t xml:space="preserve"> a diciembre de 20</w:t>
      </w:r>
      <w:r w:rsidR="00E24554" w:rsidRPr="00017FC0">
        <w:rPr>
          <w:rFonts w:ascii="Verdana" w:hAnsi="Verdana" w:cs="Arial"/>
          <w:sz w:val="22"/>
        </w:rPr>
        <w:t>21</w:t>
      </w:r>
      <w:r w:rsidRPr="00017FC0">
        <w:rPr>
          <w:rFonts w:ascii="Verdana" w:hAnsi="Verdana" w:cs="Arial"/>
          <w:sz w:val="22"/>
        </w:rPr>
        <w:t>.</w:t>
      </w:r>
    </w:p>
    <w:p w:rsidR="00E72520" w:rsidRPr="00017FC0" w:rsidRDefault="00443A04" w:rsidP="00017FC0">
      <w:pPr>
        <w:jc w:val="both"/>
        <w:rPr>
          <w:rFonts w:ascii="Verdana" w:hAnsi="Verdana" w:cs="Arial"/>
          <w:b/>
          <w:sz w:val="22"/>
        </w:rPr>
      </w:pPr>
      <w:r w:rsidRPr="00017FC0">
        <w:rPr>
          <w:rFonts w:ascii="Verdana" w:hAnsi="Verdana" w:cs="Arial"/>
          <w:b/>
          <w:sz w:val="22"/>
        </w:rPr>
        <w:t>Universo y muestra</w:t>
      </w:r>
    </w:p>
    <w:p w:rsidR="00E72520" w:rsidRPr="00017FC0" w:rsidRDefault="00E72520" w:rsidP="00017FC0">
      <w:pPr>
        <w:jc w:val="both"/>
        <w:rPr>
          <w:rFonts w:ascii="Verdana" w:hAnsi="Verdana" w:cs="Arial"/>
          <w:sz w:val="22"/>
        </w:rPr>
      </w:pPr>
      <w:r w:rsidRPr="00017FC0">
        <w:rPr>
          <w:rFonts w:ascii="Verdana" w:hAnsi="Verdana" w:cs="Arial"/>
          <w:sz w:val="22"/>
        </w:rPr>
        <w:t>El universo de estudio estuvo constituido por 126 gestantes de la provincia de Camagüey que en el periodo de enero de 20</w:t>
      </w:r>
      <w:r w:rsidR="00E24554" w:rsidRPr="00017FC0">
        <w:rPr>
          <w:rFonts w:ascii="Verdana" w:hAnsi="Verdana" w:cs="Arial"/>
          <w:sz w:val="22"/>
        </w:rPr>
        <w:t>12</w:t>
      </w:r>
      <w:r w:rsidRPr="00017FC0">
        <w:rPr>
          <w:rFonts w:ascii="Verdana" w:hAnsi="Verdana" w:cs="Arial"/>
          <w:sz w:val="22"/>
        </w:rPr>
        <w:t xml:space="preserve"> a diciembre de 20</w:t>
      </w:r>
      <w:r w:rsidR="00E24554" w:rsidRPr="00017FC0">
        <w:rPr>
          <w:rFonts w:ascii="Verdana" w:hAnsi="Verdana" w:cs="Arial"/>
          <w:sz w:val="22"/>
        </w:rPr>
        <w:t>21</w:t>
      </w:r>
      <w:r w:rsidR="002451AF">
        <w:rPr>
          <w:rFonts w:ascii="Verdana" w:hAnsi="Verdana" w:cs="Arial"/>
          <w:sz w:val="22"/>
        </w:rPr>
        <w:t xml:space="preserve"> tuvieron diagnóstico prenatal</w:t>
      </w:r>
      <w:r w:rsidRPr="00017FC0">
        <w:rPr>
          <w:rFonts w:ascii="Verdana" w:hAnsi="Verdana" w:cs="Arial"/>
          <w:sz w:val="22"/>
        </w:rPr>
        <w:t xml:space="preserve"> citogen</w:t>
      </w:r>
      <w:r w:rsidR="002451AF">
        <w:rPr>
          <w:rFonts w:ascii="Verdana" w:hAnsi="Verdana" w:cs="Arial"/>
          <w:sz w:val="22"/>
        </w:rPr>
        <w:t>ético positivo</w:t>
      </w:r>
      <w:r w:rsidRPr="00017FC0">
        <w:rPr>
          <w:rFonts w:ascii="Verdana" w:hAnsi="Verdana" w:cs="Arial"/>
          <w:sz w:val="22"/>
        </w:rPr>
        <w:t xml:space="preserve"> de aberraciones cromosómicas de número y estructura.</w:t>
      </w:r>
    </w:p>
    <w:p w:rsidR="00B56E7E" w:rsidRPr="00017FC0" w:rsidRDefault="00B56E7E" w:rsidP="00017FC0">
      <w:pPr>
        <w:jc w:val="both"/>
        <w:rPr>
          <w:rFonts w:ascii="Verdana" w:hAnsi="Verdana"/>
          <w:b/>
          <w:sz w:val="22"/>
        </w:rPr>
      </w:pPr>
      <w:r w:rsidRPr="00017FC0">
        <w:rPr>
          <w:rFonts w:ascii="Verdana" w:hAnsi="Verdana"/>
          <w:b/>
          <w:sz w:val="22"/>
        </w:rPr>
        <w:t>Procedimientos y técnicas de recolección de la información</w:t>
      </w:r>
    </w:p>
    <w:p w:rsidR="00476CD1" w:rsidRPr="00017FC0" w:rsidRDefault="00B56E7E" w:rsidP="00017FC0">
      <w:pPr>
        <w:jc w:val="both"/>
        <w:rPr>
          <w:rFonts w:ascii="Verdana" w:hAnsi="Verdana"/>
          <w:sz w:val="22"/>
        </w:rPr>
      </w:pPr>
      <w:r w:rsidRPr="00017FC0">
        <w:rPr>
          <w:rFonts w:ascii="Verdana" w:hAnsi="Verdana"/>
          <w:sz w:val="22"/>
        </w:rPr>
        <w:t>Se visitaron los servicios municipales de genética médica de la provincia Camagüey, para la revisión de los registros lineales y en el Centro Provincial de Genética Médica los registros del Laboratorio de Citogenética, de donde se obtuvo la información necesaria, se recogieron en un cuadern</w:t>
      </w:r>
      <w:r w:rsidR="00443A04" w:rsidRPr="00017FC0">
        <w:rPr>
          <w:rFonts w:ascii="Verdana" w:hAnsi="Verdana"/>
          <w:sz w:val="22"/>
        </w:rPr>
        <w:t>o de recogida de datos</w:t>
      </w:r>
      <w:r w:rsidRPr="00017FC0">
        <w:rPr>
          <w:rFonts w:ascii="Verdana" w:hAnsi="Verdana"/>
          <w:sz w:val="22"/>
        </w:rPr>
        <w:t xml:space="preserve"> que una vez lleno se convirtió en el registro definitivo de la investigación.</w:t>
      </w:r>
    </w:p>
    <w:p w:rsidR="00127375" w:rsidRPr="00017FC0" w:rsidRDefault="00127375" w:rsidP="00017FC0">
      <w:pPr>
        <w:jc w:val="both"/>
        <w:rPr>
          <w:rFonts w:ascii="Verdana" w:hAnsi="Verdana"/>
          <w:sz w:val="22"/>
        </w:rPr>
      </w:pPr>
      <w:r w:rsidRPr="00017FC0">
        <w:rPr>
          <w:rFonts w:ascii="Verdana" w:hAnsi="Verdana"/>
          <w:sz w:val="22"/>
        </w:rPr>
        <w:t xml:space="preserve">Los datos se tabularon en una hoja de cálculo del programa </w:t>
      </w:r>
      <w:r w:rsidRPr="00017FC0">
        <w:rPr>
          <w:rFonts w:ascii="Verdana" w:hAnsi="Verdana"/>
          <w:i/>
          <w:sz w:val="22"/>
        </w:rPr>
        <w:t>Microsoft Excel</w:t>
      </w:r>
      <w:r w:rsidRPr="00017FC0">
        <w:rPr>
          <w:rFonts w:ascii="Verdana" w:hAnsi="Verdana"/>
          <w:sz w:val="22"/>
        </w:rPr>
        <w:t xml:space="preserve"> </w:t>
      </w:r>
      <w:r w:rsidRPr="00017FC0">
        <w:rPr>
          <w:rFonts w:ascii="Verdana" w:hAnsi="Verdana"/>
          <w:i/>
          <w:sz w:val="22"/>
        </w:rPr>
        <w:t>Windows XP</w:t>
      </w:r>
      <w:r w:rsidRPr="00017FC0">
        <w:rPr>
          <w:rFonts w:ascii="Verdana" w:hAnsi="Verdana"/>
          <w:sz w:val="22"/>
        </w:rPr>
        <w:t xml:space="preserve">, se analizaron en el paquete estadístico </w:t>
      </w:r>
      <w:r w:rsidRPr="00017FC0">
        <w:rPr>
          <w:rFonts w:ascii="Verdana" w:hAnsi="Verdana"/>
          <w:i/>
          <w:sz w:val="22"/>
        </w:rPr>
        <w:t>SPSS</w:t>
      </w:r>
      <w:r w:rsidRPr="00017FC0">
        <w:rPr>
          <w:rFonts w:ascii="Verdana" w:hAnsi="Verdana"/>
          <w:sz w:val="22"/>
        </w:rPr>
        <w:t xml:space="preserve"> para </w:t>
      </w:r>
      <w:r w:rsidRPr="00017FC0">
        <w:rPr>
          <w:rFonts w:ascii="Verdana" w:hAnsi="Verdana"/>
          <w:i/>
          <w:sz w:val="22"/>
        </w:rPr>
        <w:t>Windows</w:t>
      </w:r>
      <w:r w:rsidRPr="00017FC0">
        <w:rPr>
          <w:rFonts w:ascii="Verdana" w:hAnsi="Verdana"/>
          <w:sz w:val="22"/>
        </w:rPr>
        <w:t xml:space="preserve"> versión 25. Se realizaron análisis de distribuciones de frecuencia en valores absolutos y por ciento. Los resultados se presentaron en tablas de contingencia.</w:t>
      </w:r>
    </w:p>
    <w:p w:rsidR="00384D85" w:rsidRPr="00017FC0" w:rsidRDefault="00384D85" w:rsidP="00017FC0">
      <w:pPr>
        <w:jc w:val="both"/>
        <w:rPr>
          <w:rFonts w:ascii="Verdana" w:hAnsi="Verdana"/>
          <w:sz w:val="22"/>
        </w:rPr>
      </w:pPr>
      <w:r w:rsidRPr="00017FC0">
        <w:rPr>
          <w:rFonts w:ascii="Verdana" w:hAnsi="Verdana"/>
          <w:sz w:val="22"/>
        </w:rPr>
        <w:t>Los estudios cromosómicos se realizaron a partir de células fetales contenidas en el líquido amniótico, obtenido por amniocentesis entre las 17 y 20 semanas de gestación. Estas cumplieron con al menos uno de los criterios de indicación para el diagnóstico prenatal citogenético.</w:t>
      </w:r>
    </w:p>
    <w:p w:rsidR="00B56E7E" w:rsidRPr="00017FC0" w:rsidRDefault="00384D85" w:rsidP="00017FC0">
      <w:pPr>
        <w:jc w:val="both"/>
        <w:rPr>
          <w:rFonts w:ascii="Verdana" w:hAnsi="Verdana"/>
          <w:sz w:val="22"/>
        </w:rPr>
      </w:pPr>
      <w:r w:rsidRPr="00017FC0">
        <w:rPr>
          <w:rFonts w:ascii="Verdana" w:hAnsi="Verdana"/>
          <w:sz w:val="22"/>
        </w:rPr>
        <w:t>Los cromosomas para el estudio citogenético se obtuvieron según el procedimiento seguido por Ram S. Verma y Harbi</w:t>
      </w:r>
      <w:r w:rsidR="00214A52" w:rsidRPr="00017FC0">
        <w:rPr>
          <w:rFonts w:ascii="Verdana" w:hAnsi="Verdana"/>
          <w:sz w:val="22"/>
        </w:rPr>
        <w:t>n Babú.</w:t>
      </w:r>
      <w:r w:rsidRPr="00017FC0">
        <w:rPr>
          <w:rFonts w:ascii="Verdana" w:hAnsi="Verdana"/>
          <w:sz w:val="22"/>
        </w:rPr>
        <w:t xml:space="preserve"> Se realizó el bande</w:t>
      </w:r>
      <w:r w:rsidR="00214A52" w:rsidRPr="00017FC0">
        <w:rPr>
          <w:rFonts w:ascii="Verdana" w:hAnsi="Verdana"/>
          <w:sz w:val="22"/>
        </w:rPr>
        <w:t>o cromosómico Giemsa-Tripsina</w:t>
      </w:r>
      <w:r w:rsidRPr="00017FC0">
        <w:rPr>
          <w:rFonts w:ascii="Verdana" w:hAnsi="Verdana"/>
          <w:sz w:val="22"/>
        </w:rPr>
        <w:t xml:space="preserve"> de rutina y se analizaron de 10 a 20 </w:t>
      </w:r>
      <w:r w:rsidRPr="00017FC0">
        <w:rPr>
          <w:rFonts w:ascii="Verdana" w:hAnsi="Verdana"/>
          <w:sz w:val="22"/>
        </w:rPr>
        <w:lastRenderedPageBreak/>
        <w:t xml:space="preserve">metafases en cada caso, </w:t>
      </w:r>
      <w:r w:rsidR="008E6C14" w:rsidRPr="00017FC0">
        <w:rPr>
          <w:rFonts w:ascii="Verdana" w:hAnsi="Verdana"/>
          <w:sz w:val="22"/>
        </w:rPr>
        <w:t>y se concluyó</w:t>
      </w:r>
      <w:r w:rsidRPr="00017FC0">
        <w:rPr>
          <w:rFonts w:ascii="Verdana" w:hAnsi="Verdana"/>
          <w:sz w:val="22"/>
        </w:rPr>
        <w:t xml:space="preserve"> en cada uno de ellos su correspondiente fórmula cromosómica.</w:t>
      </w:r>
    </w:p>
    <w:p w:rsidR="00127375" w:rsidRPr="00017FC0" w:rsidRDefault="00127375" w:rsidP="00017FC0">
      <w:pPr>
        <w:jc w:val="both"/>
        <w:rPr>
          <w:rFonts w:ascii="Verdana" w:hAnsi="Verdana"/>
          <w:sz w:val="22"/>
        </w:rPr>
      </w:pPr>
      <w:r w:rsidRPr="00017FC0">
        <w:rPr>
          <w:rFonts w:ascii="Verdana" w:hAnsi="Verdana"/>
          <w:sz w:val="22"/>
        </w:rPr>
        <w:t>Se utilizaron los métodos del nivel teórico, métodos empíricos y matemáticos.</w:t>
      </w:r>
    </w:p>
    <w:p w:rsidR="00482826" w:rsidRPr="00017FC0" w:rsidRDefault="00482826" w:rsidP="00017FC0">
      <w:pPr>
        <w:jc w:val="both"/>
        <w:rPr>
          <w:rFonts w:ascii="Verdana" w:hAnsi="Verdana"/>
          <w:sz w:val="22"/>
        </w:rPr>
      </w:pPr>
      <w:r w:rsidRPr="00017FC0">
        <w:rPr>
          <w:rFonts w:ascii="Verdana" w:hAnsi="Verdana"/>
          <w:sz w:val="22"/>
        </w:rPr>
        <w:t>Este estudio fue de carácter organizacional, de tal forma que no se ha introducido ni experimentado con nuevas técnicas de diagnóstico y trat</w:t>
      </w:r>
      <w:r w:rsidR="00006416" w:rsidRPr="00017FC0">
        <w:rPr>
          <w:rFonts w:ascii="Verdana" w:hAnsi="Verdana"/>
          <w:sz w:val="22"/>
        </w:rPr>
        <w:t>amiento, sino que se le ha dado</w:t>
      </w:r>
      <w:r w:rsidRPr="00017FC0">
        <w:rPr>
          <w:rFonts w:ascii="Verdana" w:hAnsi="Verdana"/>
          <w:sz w:val="22"/>
        </w:rPr>
        <w:t xml:space="preserve"> un mejor uso desde el punto de vista científico, lógico y racional a las técnicas y tratamientos ya presentes. </w:t>
      </w:r>
    </w:p>
    <w:p w:rsidR="00E02C3B" w:rsidRPr="00017FC0" w:rsidRDefault="00D6445D" w:rsidP="00017FC0">
      <w:pPr>
        <w:jc w:val="both"/>
        <w:rPr>
          <w:rFonts w:ascii="Verdana" w:hAnsi="Verdana"/>
          <w:sz w:val="22"/>
        </w:rPr>
      </w:pPr>
      <w:r w:rsidRPr="00017FC0">
        <w:rPr>
          <w:rFonts w:ascii="Verdana" w:hAnsi="Verdana"/>
          <w:sz w:val="22"/>
        </w:rPr>
        <w:t>S</w:t>
      </w:r>
      <w:r w:rsidR="00AA6A1B" w:rsidRPr="00017FC0">
        <w:rPr>
          <w:rFonts w:ascii="Verdana" w:hAnsi="Verdana"/>
          <w:sz w:val="22"/>
        </w:rPr>
        <w:t>e realizó bajo los principios éticos para las investigaciones médicas. Los resultados sólo serán divulgados en pu</w:t>
      </w:r>
      <w:r w:rsidRPr="00017FC0">
        <w:rPr>
          <w:rFonts w:ascii="Verdana" w:hAnsi="Verdana"/>
          <w:sz w:val="22"/>
        </w:rPr>
        <w:t>blicaciones y foros científicos;</w:t>
      </w:r>
      <w:r w:rsidR="00AA6A1B" w:rsidRPr="00017FC0">
        <w:rPr>
          <w:rFonts w:ascii="Verdana" w:hAnsi="Verdana"/>
          <w:sz w:val="22"/>
        </w:rPr>
        <w:t xml:space="preserve"> </w:t>
      </w:r>
      <w:r w:rsidR="004873DB" w:rsidRPr="00017FC0">
        <w:rPr>
          <w:rFonts w:ascii="Verdana" w:hAnsi="Verdana"/>
          <w:sz w:val="22"/>
        </w:rPr>
        <w:t>se ha conserva</w:t>
      </w:r>
      <w:r w:rsidR="00AA6A1B" w:rsidRPr="00017FC0">
        <w:rPr>
          <w:rFonts w:ascii="Verdana" w:hAnsi="Verdana"/>
          <w:sz w:val="22"/>
        </w:rPr>
        <w:t>do el anonimato de los pacientes y mante</w:t>
      </w:r>
      <w:r w:rsidR="004873DB" w:rsidRPr="00017FC0">
        <w:rPr>
          <w:rFonts w:ascii="Verdana" w:hAnsi="Verdana"/>
          <w:sz w:val="22"/>
        </w:rPr>
        <w:t>ni</w:t>
      </w:r>
      <w:r w:rsidR="00AA6A1B" w:rsidRPr="00017FC0">
        <w:rPr>
          <w:rFonts w:ascii="Verdana" w:hAnsi="Verdana"/>
          <w:sz w:val="22"/>
        </w:rPr>
        <w:t>do el secreto profesional.</w:t>
      </w:r>
    </w:p>
    <w:p w:rsidR="00482826" w:rsidRPr="00017FC0" w:rsidRDefault="00FC7C13" w:rsidP="00017FC0">
      <w:pPr>
        <w:jc w:val="both"/>
        <w:rPr>
          <w:rFonts w:ascii="Verdana" w:hAnsi="Verdana"/>
          <w:b/>
          <w:sz w:val="22"/>
        </w:rPr>
      </w:pPr>
      <w:r w:rsidRPr="00017FC0">
        <w:rPr>
          <w:rFonts w:ascii="Verdana" w:hAnsi="Verdana"/>
          <w:b/>
          <w:sz w:val="22"/>
        </w:rPr>
        <w:t>Resultados</w:t>
      </w:r>
    </w:p>
    <w:p w:rsidR="00215D6E" w:rsidRPr="00017FC0" w:rsidRDefault="00973AEB" w:rsidP="00017FC0">
      <w:pPr>
        <w:jc w:val="both"/>
        <w:rPr>
          <w:rFonts w:ascii="Verdana" w:hAnsi="Verdana"/>
          <w:sz w:val="22"/>
        </w:rPr>
      </w:pPr>
      <w:r w:rsidRPr="00017FC0">
        <w:rPr>
          <w:rFonts w:ascii="Verdana" w:hAnsi="Verdana"/>
          <w:sz w:val="22"/>
        </w:rPr>
        <w:t xml:space="preserve">En la provincia de </w:t>
      </w:r>
      <w:r w:rsidR="00FA4B8D" w:rsidRPr="00017FC0">
        <w:rPr>
          <w:rFonts w:ascii="Verdana" w:hAnsi="Verdana"/>
          <w:sz w:val="22"/>
        </w:rPr>
        <w:t>Camagüey</w:t>
      </w:r>
      <w:r w:rsidRPr="00017FC0">
        <w:rPr>
          <w:rFonts w:ascii="Verdana" w:hAnsi="Verdana"/>
          <w:sz w:val="22"/>
        </w:rPr>
        <w:t xml:space="preserve"> se</w:t>
      </w:r>
      <w:r w:rsidR="00FA4B8D" w:rsidRPr="00017FC0">
        <w:rPr>
          <w:rFonts w:ascii="Verdana" w:hAnsi="Verdana"/>
          <w:sz w:val="22"/>
        </w:rPr>
        <w:t xml:space="preserve"> han producido aberraciones</w:t>
      </w:r>
      <w:r w:rsidR="001964B5" w:rsidRPr="00017FC0">
        <w:rPr>
          <w:rFonts w:ascii="Verdana" w:hAnsi="Verdana"/>
          <w:sz w:val="22"/>
        </w:rPr>
        <w:t xml:space="preserve"> cromosómicas más frecuentes en el municipio Camagüey con </w:t>
      </w:r>
      <w:r w:rsidR="00FA4B8D" w:rsidRPr="00017FC0">
        <w:rPr>
          <w:rFonts w:ascii="Verdana" w:hAnsi="Verdana"/>
          <w:sz w:val="22"/>
        </w:rPr>
        <w:t>el 36,4 % de aberraciones estructurales y 31,2 % de las aberraciones numéricas, los</w:t>
      </w:r>
      <w:r w:rsidR="00E43806" w:rsidRPr="00017FC0">
        <w:rPr>
          <w:rFonts w:ascii="Verdana" w:hAnsi="Verdana"/>
          <w:sz w:val="22"/>
        </w:rPr>
        <w:t xml:space="preserve"> </w:t>
      </w:r>
      <w:r w:rsidR="00215D6E" w:rsidRPr="00017FC0">
        <w:rPr>
          <w:rFonts w:ascii="Verdana" w:hAnsi="Verdana"/>
          <w:sz w:val="22"/>
        </w:rPr>
        <w:t>menos afectados fueron J</w:t>
      </w:r>
      <w:r w:rsidR="00E43806" w:rsidRPr="00017FC0">
        <w:rPr>
          <w:rFonts w:ascii="Verdana" w:hAnsi="Verdana"/>
          <w:sz w:val="22"/>
        </w:rPr>
        <w:t xml:space="preserve">imaguayú y Najasa con 2,4 % cada uno y llama la atención que </w:t>
      </w:r>
      <w:r w:rsidR="00215D6E" w:rsidRPr="00017FC0">
        <w:rPr>
          <w:rFonts w:ascii="Verdana" w:hAnsi="Verdana"/>
          <w:sz w:val="22"/>
        </w:rPr>
        <w:t>en Minas y Vertientes no se han producido aberraciones estructurales. (Tabla 1)</w:t>
      </w:r>
    </w:p>
    <w:p w:rsidR="00FC7C13" w:rsidRPr="00017FC0" w:rsidRDefault="00FC7C13" w:rsidP="00017FC0">
      <w:pPr>
        <w:jc w:val="both"/>
        <w:rPr>
          <w:rFonts w:ascii="Verdana" w:hAnsi="Verdana"/>
          <w:sz w:val="22"/>
        </w:rPr>
      </w:pPr>
      <w:r w:rsidRPr="00017FC0">
        <w:rPr>
          <w:rFonts w:ascii="Verdana" w:hAnsi="Verdana"/>
          <w:sz w:val="22"/>
        </w:rPr>
        <w:t xml:space="preserve">Tabla 1. </w:t>
      </w:r>
      <w:r w:rsidR="00F81DE2" w:rsidRPr="00017FC0">
        <w:rPr>
          <w:rFonts w:ascii="Verdana" w:hAnsi="Verdana"/>
          <w:sz w:val="22"/>
        </w:rPr>
        <w:t>Diagnóstico citogenético de las aberraciones cromosómicas en Camagüey.</w:t>
      </w:r>
    </w:p>
    <w:tbl>
      <w:tblPr>
        <w:tblStyle w:val="Tablaconcuadrcula"/>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53"/>
        <w:gridCol w:w="1109"/>
        <w:gridCol w:w="949"/>
        <w:gridCol w:w="950"/>
        <w:gridCol w:w="1107"/>
        <w:gridCol w:w="949"/>
        <w:gridCol w:w="1003"/>
      </w:tblGrid>
      <w:tr w:rsidR="00FC7C13" w:rsidRPr="00017FC0" w:rsidTr="002E0280">
        <w:tc>
          <w:tcPr>
            <w:tcW w:w="1521" w:type="pct"/>
            <w:vMerge w:val="restart"/>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 xml:space="preserve">Municipio </w:t>
            </w:r>
          </w:p>
        </w:tc>
        <w:tc>
          <w:tcPr>
            <w:tcW w:w="2360" w:type="pct"/>
            <w:gridSpan w:val="4"/>
            <w:tcBorders>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Diagnóstico Citogenético</w:t>
            </w:r>
          </w:p>
        </w:tc>
        <w:tc>
          <w:tcPr>
            <w:tcW w:w="1119" w:type="pct"/>
            <w:gridSpan w:val="2"/>
            <w:vMerge w:val="restart"/>
            <w:tcBorders>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Total</w:t>
            </w:r>
          </w:p>
        </w:tc>
      </w:tr>
      <w:tr w:rsidR="00FC7C13" w:rsidRPr="00017FC0" w:rsidTr="00CA407D">
        <w:tc>
          <w:tcPr>
            <w:tcW w:w="1521" w:type="pct"/>
            <w:vMerge/>
            <w:vAlign w:val="center"/>
          </w:tcPr>
          <w:p w:rsidR="00FC7C13" w:rsidRPr="00017FC0" w:rsidRDefault="00FC7C13" w:rsidP="00017FC0">
            <w:pPr>
              <w:spacing w:before="100" w:beforeAutospacing="1" w:after="100" w:afterAutospacing="1"/>
              <w:jc w:val="both"/>
              <w:rPr>
                <w:rFonts w:ascii="Verdana" w:hAnsi="Verdana" w:cs="Arial"/>
                <w:sz w:val="22"/>
                <w:szCs w:val="22"/>
              </w:rPr>
            </w:pPr>
          </w:p>
        </w:tc>
        <w:tc>
          <w:tcPr>
            <w:tcW w:w="1180" w:type="pct"/>
            <w:gridSpan w:val="2"/>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Estructurales</w:t>
            </w:r>
          </w:p>
        </w:tc>
        <w:tc>
          <w:tcPr>
            <w:tcW w:w="1179" w:type="pct"/>
            <w:gridSpan w:val="2"/>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Numéricas</w:t>
            </w:r>
          </w:p>
        </w:tc>
        <w:tc>
          <w:tcPr>
            <w:tcW w:w="1119" w:type="pct"/>
            <w:gridSpan w:val="2"/>
            <w:vMerge/>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p>
        </w:tc>
      </w:tr>
      <w:tr w:rsidR="00FC7C13" w:rsidRPr="00017FC0" w:rsidTr="002E0280">
        <w:tc>
          <w:tcPr>
            <w:tcW w:w="1521" w:type="pct"/>
            <w:vMerge/>
            <w:tcBorders>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p>
        </w:tc>
        <w:tc>
          <w:tcPr>
            <w:tcW w:w="636"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Nº</w:t>
            </w:r>
          </w:p>
        </w:tc>
        <w:tc>
          <w:tcPr>
            <w:tcW w:w="544"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w:t>
            </w:r>
          </w:p>
        </w:tc>
        <w:tc>
          <w:tcPr>
            <w:tcW w:w="545"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Nº</w:t>
            </w:r>
          </w:p>
        </w:tc>
        <w:tc>
          <w:tcPr>
            <w:tcW w:w="635"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w:t>
            </w:r>
          </w:p>
        </w:tc>
        <w:tc>
          <w:tcPr>
            <w:tcW w:w="544"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Nº</w:t>
            </w:r>
          </w:p>
        </w:tc>
        <w:tc>
          <w:tcPr>
            <w:tcW w:w="575" w:type="pct"/>
            <w:tcBorders>
              <w:top w:val="nil"/>
              <w:bottom w:val="single" w:sz="4" w:space="0" w:color="auto"/>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sz w:val="22"/>
                <w:szCs w:val="22"/>
              </w:rPr>
              <w:t>%</w:t>
            </w:r>
          </w:p>
        </w:tc>
      </w:tr>
      <w:tr w:rsidR="00FC7C13" w:rsidRPr="00017FC0" w:rsidTr="002E0280">
        <w:tc>
          <w:tcPr>
            <w:tcW w:w="1521"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Camagüey</w:t>
            </w:r>
          </w:p>
        </w:tc>
        <w:tc>
          <w:tcPr>
            <w:tcW w:w="636"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w:t>
            </w:r>
          </w:p>
        </w:tc>
        <w:tc>
          <w:tcPr>
            <w:tcW w:w="544"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36,4</w:t>
            </w:r>
          </w:p>
        </w:tc>
        <w:tc>
          <w:tcPr>
            <w:tcW w:w="545"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29</w:t>
            </w:r>
          </w:p>
        </w:tc>
        <w:tc>
          <w:tcPr>
            <w:tcW w:w="635"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31,2</w:t>
            </w:r>
          </w:p>
        </w:tc>
        <w:tc>
          <w:tcPr>
            <w:tcW w:w="544"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41</w:t>
            </w:r>
          </w:p>
        </w:tc>
        <w:tc>
          <w:tcPr>
            <w:tcW w:w="575" w:type="pct"/>
            <w:tcBorders>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32,5</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Nuevitas</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12,1</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11</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11,8</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15</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11,9</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Santa Cruz del Sur</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12,9</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13</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10,3</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Florida</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15,2</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4,3</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9</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7,1</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Minas</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0</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7,5</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5,6</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Esmeralda</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6,1</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5,4</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5,6</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Sibanicú</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12,1</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3,2</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7</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5,6</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Céspedes</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5,4</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6</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4,8</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Vertientes</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0</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6</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6,5</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6</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4,8</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Guáimaro</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4,3</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5</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4,0</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Sierra de Cubitas</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3,2</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4</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3,2</w:t>
            </w:r>
          </w:p>
        </w:tc>
      </w:tr>
      <w:tr w:rsidR="00FC7C13" w:rsidRPr="00017FC0" w:rsidTr="002E0280">
        <w:tc>
          <w:tcPr>
            <w:tcW w:w="1521"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Jimaguayú</w:t>
            </w:r>
          </w:p>
        </w:tc>
        <w:tc>
          <w:tcPr>
            <w:tcW w:w="636"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w:t>
            </w:r>
          </w:p>
        </w:tc>
        <w:tc>
          <w:tcPr>
            <w:tcW w:w="63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2,2</w:t>
            </w:r>
          </w:p>
        </w:tc>
        <w:tc>
          <w:tcPr>
            <w:tcW w:w="544"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w:t>
            </w:r>
          </w:p>
        </w:tc>
        <w:tc>
          <w:tcPr>
            <w:tcW w:w="575" w:type="pct"/>
            <w:tcBorders>
              <w:top w:val="nil"/>
              <w:bottom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2,4</w:t>
            </w:r>
          </w:p>
        </w:tc>
      </w:tr>
      <w:tr w:rsidR="00FC7C13" w:rsidRPr="00017FC0" w:rsidTr="002E0280">
        <w:tc>
          <w:tcPr>
            <w:tcW w:w="1521"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Najasa</w:t>
            </w:r>
          </w:p>
        </w:tc>
        <w:tc>
          <w:tcPr>
            <w:tcW w:w="636"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w:t>
            </w:r>
          </w:p>
        </w:tc>
        <w:tc>
          <w:tcPr>
            <w:tcW w:w="544"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3,0</w:t>
            </w:r>
          </w:p>
        </w:tc>
        <w:tc>
          <w:tcPr>
            <w:tcW w:w="545"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w:t>
            </w:r>
          </w:p>
        </w:tc>
        <w:tc>
          <w:tcPr>
            <w:tcW w:w="635"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2,2</w:t>
            </w:r>
          </w:p>
        </w:tc>
        <w:tc>
          <w:tcPr>
            <w:tcW w:w="544"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w:t>
            </w:r>
          </w:p>
        </w:tc>
        <w:tc>
          <w:tcPr>
            <w:tcW w:w="575" w:type="pct"/>
            <w:tcBorders>
              <w:top w:val="nil"/>
            </w:tcBorders>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2,4</w:t>
            </w:r>
          </w:p>
        </w:tc>
      </w:tr>
      <w:tr w:rsidR="00FC7C13" w:rsidRPr="00017FC0" w:rsidTr="002E0280">
        <w:tc>
          <w:tcPr>
            <w:tcW w:w="1521" w:type="pct"/>
            <w:vAlign w:val="center"/>
          </w:tcPr>
          <w:p w:rsidR="00FC7C13" w:rsidRPr="00017FC0" w:rsidRDefault="00FC7C13" w:rsidP="00017FC0">
            <w:pPr>
              <w:spacing w:before="100" w:beforeAutospacing="1" w:after="100" w:afterAutospacing="1"/>
              <w:jc w:val="both"/>
              <w:rPr>
                <w:rFonts w:ascii="Verdana" w:hAnsi="Verdana" w:cs="Arial"/>
                <w:sz w:val="22"/>
                <w:szCs w:val="22"/>
              </w:rPr>
            </w:pPr>
            <w:r w:rsidRPr="00017FC0">
              <w:rPr>
                <w:rFonts w:ascii="Verdana" w:hAnsi="Verdana" w:cs="Arial"/>
                <w:color w:val="000000"/>
                <w:sz w:val="22"/>
                <w:szCs w:val="22"/>
              </w:rPr>
              <w:t>Total</w:t>
            </w:r>
          </w:p>
        </w:tc>
        <w:tc>
          <w:tcPr>
            <w:tcW w:w="636"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33</w:t>
            </w:r>
          </w:p>
        </w:tc>
        <w:tc>
          <w:tcPr>
            <w:tcW w:w="544"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100</w:t>
            </w:r>
          </w:p>
        </w:tc>
        <w:tc>
          <w:tcPr>
            <w:tcW w:w="545"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93</w:t>
            </w:r>
          </w:p>
        </w:tc>
        <w:tc>
          <w:tcPr>
            <w:tcW w:w="635"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100</w:t>
            </w:r>
          </w:p>
        </w:tc>
        <w:tc>
          <w:tcPr>
            <w:tcW w:w="544"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126</w:t>
            </w:r>
          </w:p>
        </w:tc>
        <w:tc>
          <w:tcPr>
            <w:tcW w:w="575" w:type="pct"/>
            <w:vAlign w:val="center"/>
          </w:tcPr>
          <w:p w:rsidR="00FC7C13" w:rsidRPr="00017FC0" w:rsidRDefault="00FC7C13" w:rsidP="00017FC0">
            <w:pPr>
              <w:spacing w:before="100" w:beforeAutospacing="1" w:after="100" w:afterAutospacing="1"/>
              <w:jc w:val="both"/>
              <w:rPr>
                <w:rFonts w:ascii="Verdana" w:hAnsi="Verdana" w:cs="Arial"/>
                <w:color w:val="000000"/>
                <w:sz w:val="22"/>
                <w:szCs w:val="22"/>
              </w:rPr>
            </w:pPr>
            <w:r w:rsidRPr="00017FC0">
              <w:rPr>
                <w:rFonts w:ascii="Verdana" w:hAnsi="Verdana" w:cs="Arial"/>
                <w:color w:val="000000"/>
                <w:sz w:val="22"/>
                <w:szCs w:val="22"/>
              </w:rPr>
              <w:t>100</w:t>
            </w:r>
          </w:p>
        </w:tc>
      </w:tr>
    </w:tbl>
    <w:p w:rsidR="00F96E51" w:rsidRPr="00017FC0" w:rsidRDefault="00F96E51" w:rsidP="00017FC0">
      <w:pPr>
        <w:jc w:val="both"/>
        <w:rPr>
          <w:rFonts w:ascii="Verdana" w:hAnsi="Verdana" w:cs="Arial"/>
          <w:sz w:val="22"/>
        </w:rPr>
      </w:pPr>
    </w:p>
    <w:p w:rsidR="00F96E51" w:rsidRPr="00017FC0" w:rsidRDefault="00F96E51" w:rsidP="00017FC0">
      <w:pPr>
        <w:jc w:val="both"/>
        <w:rPr>
          <w:rFonts w:ascii="Verdana" w:hAnsi="Verdana" w:cs="Arial"/>
          <w:sz w:val="22"/>
        </w:rPr>
      </w:pPr>
      <w:r w:rsidRPr="00017FC0">
        <w:rPr>
          <w:rFonts w:ascii="Verdana" w:hAnsi="Verdana" w:cs="Arial"/>
          <w:sz w:val="22"/>
        </w:rPr>
        <w:t xml:space="preserve">En </w:t>
      </w:r>
      <w:r w:rsidR="00215534" w:rsidRPr="00017FC0">
        <w:rPr>
          <w:rFonts w:ascii="Verdana" w:hAnsi="Verdana" w:cs="Arial"/>
          <w:sz w:val="22"/>
        </w:rPr>
        <w:t>la distribución de las cromosomopatías diagnosticadas en Camagüey se puede distinguir el síndrome Down como la más frecuente (40,4 %), su cifra es casi la mitad del resto de los trastornos cromosómicos</w:t>
      </w:r>
      <w:r w:rsidR="001964B5" w:rsidRPr="00017FC0">
        <w:rPr>
          <w:rFonts w:ascii="Verdana" w:hAnsi="Verdana" w:cs="Arial"/>
          <w:sz w:val="22"/>
        </w:rPr>
        <w:t xml:space="preserve">, también </w:t>
      </w:r>
      <w:r w:rsidR="001964B5" w:rsidRPr="00017FC0">
        <w:rPr>
          <w:rFonts w:ascii="Verdana" w:hAnsi="Verdana" w:cs="Arial"/>
          <w:sz w:val="22"/>
        </w:rPr>
        <w:lastRenderedPageBreak/>
        <w:t>prevalecen las aberraciones estructurales con 25 % y los mosaicos con 14,5 %</w:t>
      </w:r>
      <w:r w:rsidR="00215534" w:rsidRPr="00017FC0">
        <w:rPr>
          <w:rFonts w:ascii="Verdana" w:hAnsi="Verdana" w:cs="Arial"/>
          <w:sz w:val="22"/>
        </w:rPr>
        <w:t>. (Tabla 2)</w:t>
      </w:r>
    </w:p>
    <w:p w:rsidR="00FA3EF1" w:rsidRPr="00017FC0" w:rsidRDefault="00FA3EF1" w:rsidP="00017FC0">
      <w:pPr>
        <w:spacing w:after="0" w:line="480" w:lineRule="auto"/>
        <w:jc w:val="both"/>
        <w:rPr>
          <w:rFonts w:ascii="Verdana" w:hAnsi="Verdana" w:cs="Arial"/>
          <w:b/>
          <w:bCs/>
          <w:sz w:val="22"/>
        </w:rPr>
      </w:pPr>
      <w:r w:rsidRPr="00017FC0">
        <w:rPr>
          <w:rFonts w:ascii="Verdana" w:hAnsi="Verdana" w:cs="Arial"/>
          <w:sz w:val="22"/>
        </w:rPr>
        <w:t>Tabla 2. Cromosomopatías diagnosticadas en la provincia de Camagüey.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2910"/>
        <w:gridCol w:w="2877"/>
      </w:tblGrid>
      <w:tr w:rsidR="00FA3EF1" w:rsidRPr="00017FC0" w:rsidTr="002E0280">
        <w:tc>
          <w:tcPr>
            <w:tcW w:w="2992" w:type="dxa"/>
            <w:tcBorders>
              <w:top w:val="single" w:sz="4" w:space="0" w:color="auto"/>
              <w:bottom w:val="single" w:sz="4" w:space="0" w:color="auto"/>
            </w:tcBorders>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Aberración</w:t>
            </w:r>
          </w:p>
        </w:tc>
        <w:tc>
          <w:tcPr>
            <w:tcW w:w="2993" w:type="dxa"/>
            <w:tcBorders>
              <w:top w:val="single" w:sz="4" w:space="0" w:color="auto"/>
              <w:bottom w:val="single" w:sz="4" w:space="0" w:color="auto"/>
            </w:tcBorders>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Frecuencia</w:t>
            </w:r>
          </w:p>
        </w:tc>
        <w:tc>
          <w:tcPr>
            <w:tcW w:w="2993" w:type="dxa"/>
            <w:tcBorders>
              <w:top w:val="single" w:sz="4" w:space="0" w:color="auto"/>
              <w:bottom w:val="single" w:sz="4" w:space="0" w:color="auto"/>
            </w:tcBorders>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w:t>
            </w:r>
          </w:p>
        </w:tc>
      </w:tr>
      <w:tr w:rsidR="00FA3EF1" w:rsidRPr="00017FC0" w:rsidTr="002E0280">
        <w:tc>
          <w:tcPr>
            <w:tcW w:w="2992" w:type="dxa"/>
            <w:tcBorders>
              <w:top w:val="single" w:sz="4" w:space="0" w:color="auto"/>
            </w:tcBorders>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Numéricas</w:t>
            </w:r>
          </w:p>
        </w:tc>
        <w:tc>
          <w:tcPr>
            <w:tcW w:w="2993" w:type="dxa"/>
            <w:tcBorders>
              <w:top w:val="single" w:sz="4" w:space="0" w:color="auto"/>
            </w:tcBorders>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77</w:t>
            </w:r>
          </w:p>
        </w:tc>
        <w:tc>
          <w:tcPr>
            <w:tcW w:w="2993" w:type="dxa"/>
            <w:tcBorders>
              <w:top w:val="single" w:sz="4" w:space="0" w:color="auto"/>
            </w:tcBorders>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61,1</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Síndrome Down</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51</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40,4</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Síndrome de Edward</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14</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11,1</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Síndrome de Patau</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4</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3,2</w:t>
            </w:r>
          </w:p>
        </w:tc>
      </w:tr>
      <w:tr w:rsidR="00FA3EF1" w:rsidRPr="00017FC0" w:rsidTr="002E0280">
        <w:tc>
          <w:tcPr>
            <w:tcW w:w="2992" w:type="dxa"/>
          </w:tcPr>
          <w:p w:rsidR="00FA3EF1" w:rsidRPr="00017FC0" w:rsidRDefault="00FA3EF1" w:rsidP="00017FC0">
            <w:pPr>
              <w:jc w:val="both"/>
              <w:rPr>
                <w:rFonts w:ascii="Verdana" w:hAnsi="Verdana" w:cs="Arial"/>
                <w:i/>
                <w:sz w:val="22"/>
                <w:szCs w:val="22"/>
              </w:rPr>
            </w:pPr>
            <w:r w:rsidRPr="00017FC0">
              <w:rPr>
                <w:rFonts w:ascii="Verdana" w:hAnsi="Verdana" w:cs="Arial"/>
                <w:sz w:val="22"/>
                <w:szCs w:val="22"/>
              </w:rPr>
              <w:t>Síndrome de Klinefelter</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3</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2,4</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Síndrome de Turner</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2</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1,6</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Síndrome de Triple X</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2</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1,6</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Poliploidía</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0,8</w:t>
            </w:r>
          </w:p>
        </w:tc>
      </w:tr>
      <w:tr w:rsidR="00FA3EF1" w:rsidRPr="00017FC0" w:rsidTr="002E0280">
        <w:tc>
          <w:tcPr>
            <w:tcW w:w="2992" w:type="dxa"/>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Estructurales</w:t>
            </w:r>
          </w:p>
        </w:tc>
        <w:tc>
          <w:tcPr>
            <w:tcW w:w="2993" w:type="dxa"/>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31</w:t>
            </w:r>
          </w:p>
        </w:tc>
        <w:tc>
          <w:tcPr>
            <w:tcW w:w="2993" w:type="dxa"/>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25,0</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Balanceadas</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21</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16,9</w:t>
            </w:r>
          </w:p>
        </w:tc>
      </w:tr>
      <w:tr w:rsidR="00FA3EF1" w:rsidRPr="00017FC0" w:rsidTr="002E0280">
        <w:tc>
          <w:tcPr>
            <w:tcW w:w="2992" w:type="dxa"/>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No Balanceadas</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10</w:t>
            </w:r>
          </w:p>
        </w:tc>
        <w:tc>
          <w:tcPr>
            <w:tcW w:w="2993" w:type="dxa"/>
            <w:vAlign w:val="center"/>
          </w:tcPr>
          <w:p w:rsidR="00FA3EF1" w:rsidRPr="00017FC0" w:rsidRDefault="00FA3EF1" w:rsidP="00017FC0">
            <w:pPr>
              <w:jc w:val="both"/>
              <w:rPr>
                <w:rFonts w:ascii="Verdana" w:hAnsi="Verdana" w:cs="Arial"/>
                <w:sz w:val="22"/>
                <w:szCs w:val="22"/>
              </w:rPr>
            </w:pPr>
            <w:r w:rsidRPr="00017FC0">
              <w:rPr>
                <w:rFonts w:ascii="Verdana" w:hAnsi="Verdana" w:cs="Arial"/>
                <w:sz w:val="22"/>
                <w:szCs w:val="22"/>
              </w:rPr>
              <w:t>8,1</w:t>
            </w:r>
          </w:p>
        </w:tc>
      </w:tr>
      <w:tr w:rsidR="00FA3EF1" w:rsidRPr="00017FC0" w:rsidTr="002E0280">
        <w:tc>
          <w:tcPr>
            <w:tcW w:w="2992" w:type="dxa"/>
            <w:tcBorders>
              <w:bottom w:val="single" w:sz="4" w:space="0" w:color="auto"/>
            </w:tcBorders>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Mosaicos</w:t>
            </w:r>
          </w:p>
        </w:tc>
        <w:tc>
          <w:tcPr>
            <w:tcW w:w="2993" w:type="dxa"/>
            <w:tcBorders>
              <w:bottom w:val="single" w:sz="4" w:space="0" w:color="auto"/>
            </w:tcBorders>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18</w:t>
            </w:r>
          </w:p>
        </w:tc>
        <w:tc>
          <w:tcPr>
            <w:tcW w:w="2993" w:type="dxa"/>
            <w:tcBorders>
              <w:bottom w:val="single" w:sz="4" w:space="0" w:color="auto"/>
            </w:tcBorders>
            <w:vAlign w:val="center"/>
          </w:tcPr>
          <w:p w:rsidR="00FA3EF1" w:rsidRPr="00017FC0" w:rsidRDefault="00FA3EF1" w:rsidP="00017FC0">
            <w:pPr>
              <w:jc w:val="both"/>
              <w:rPr>
                <w:rFonts w:ascii="Verdana" w:hAnsi="Verdana" w:cs="Arial"/>
                <w:b/>
                <w:sz w:val="22"/>
                <w:szCs w:val="22"/>
              </w:rPr>
            </w:pPr>
            <w:r w:rsidRPr="00017FC0">
              <w:rPr>
                <w:rFonts w:ascii="Verdana" w:hAnsi="Verdana" w:cs="Arial"/>
                <w:b/>
                <w:sz w:val="22"/>
                <w:szCs w:val="22"/>
              </w:rPr>
              <w:t>14,5</w:t>
            </w:r>
          </w:p>
        </w:tc>
      </w:tr>
    </w:tbl>
    <w:p w:rsidR="00215534" w:rsidRPr="00017FC0" w:rsidRDefault="00215534" w:rsidP="00017FC0">
      <w:pPr>
        <w:jc w:val="both"/>
        <w:rPr>
          <w:rFonts w:ascii="Verdana" w:hAnsi="Verdana"/>
          <w:sz w:val="22"/>
        </w:rPr>
      </w:pPr>
    </w:p>
    <w:p w:rsidR="00215534" w:rsidRPr="00017FC0" w:rsidRDefault="00674CE8" w:rsidP="00017FC0">
      <w:pPr>
        <w:jc w:val="both"/>
        <w:rPr>
          <w:rFonts w:ascii="Verdana" w:hAnsi="Verdana"/>
          <w:sz w:val="22"/>
        </w:rPr>
      </w:pPr>
      <w:r w:rsidRPr="00017FC0">
        <w:rPr>
          <w:rFonts w:ascii="Verdana" w:hAnsi="Verdana"/>
          <w:sz w:val="22"/>
        </w:rPr>
        <w:t>Al analizar la edad materna e</w:t>
      </w:r>
      <w:r w:rsidR="00215534" w:rsidRPr="00017FC0">
        <w:rPr>
          <w:rFonts w:ascii="Verdana" w:hAnsi="Verdana"/>
          <w:sz w:val="22"/>
        </w:rPr>
        <w:t>l grupo de mujeres de 35 o más años que representa el 79,4 % predominó con relación al resto</w:t>
      </w:r>
      <w:r w:rsidRPr="00017FC0">
        <w:rPr>
          <w:rFonts w:ascii="Verdana" w:hAnsi="Verdana"/>
          <w:sz w:val="22"/>
        </w:rPr>
        <w:t xml:space="preserve">, </w:t>
      </w:r>
      <w:r w:rsidR="00E25C0C" w:rsidRPr="00017FC0">
        <w:rPr>
          <w:rFonts w:ascii="Verdana" w:hAnsi="Verdana"/>
          <w:sz w:val="22"/>
        </w:rPr>
        <w:t xml:space="preserve">en </w:t>
      </w:r>
      <w:r w:rsidRPr="00017FC0">
        <w:rPr>
          <w:rFonts w:ascii="Verdana" w:hAnsi="Verdana"/>
          <w:sz w:val="22"/>
        </w:rPr>
        <w:t xml:space="preserve">la incidencia de </w:t>
      </w:r>
      <w:r w:rsidR="00E25C0C" w:rsidRPr="00017FC0">
        <w:rPr>
          <w:rFonts w:ascii="Verdana" w:hAnsi="Verdana"/>
          <w:sz w:val="22"/>
        </w:rPr>
        <w:t>las aberraciones cromosómicas con más incidencia</w:t>
      </w:r>
      <w:r w:rsidRPr="00017FC0">
        <w:rPr>
          <w:rFonts w:ascii="Verdana" w:hAnsi="Verdana"/>
          <w:sz w:val="22"/>
        </w:rPr>
        <w:t>, por lo que es un factor de riesgo importante</w:t>
      </w:r>
      <w:r w:rsidR="00E25C0C" w:rsidRPr="00017FC0">
        <w:rPr>
          <w:rFonts w:ascii="Verdana" w:hAnsi="Verdana"/>
          <w:sz w:val="22"/>
        </w:rPr>
        <w:t>. (Tabla 3)</w:t>
      </w:r>
    </w:p>
    <w:p w:rsidR="00286E03" w:rsidRPr="00017FC0" w:rsidRDefault="00BC0EA2" w:rsidP="00017FC0">
      <w:pPr>
        <w:jc w:val="both"/>
        <w:rPr>
          <w:rFonts w:ascii="Verdana" w:hAnsi="Verdana"/>
          <w:sz w:val="22"/>
        </w:rPr>
      </w:pPr>
      <w:r w:rsidRPr="00017FC0">
        <w:rPr>
          <w:rFonts w:ascii="Verdana" w:hAnsi="Verdana"/>
          <w:sz w:val="22"/>
        </w:rPr>
        <w:t xml:space="preserve">Tabla 3. </w:t>
      </w:r>
      <w:r w:rsidR="00286E03" w:rsidRPr="00017FC0">
        <w:rPr>
          <w:rFonts w:ascii="Verdana" w:hAnsi="Verdana"/>
          <w:sz w:val="22"/>
        </w:rPr>
        <w:t>Aberraciones cromosómicas diagnosticadas según edad materna.</w:t>
      </w:r>
    </w:p>
    <w:tbl>
      <w:tblPr>
        <w:tblStyle w:val="Tablaconcuadrcula1"/>
        <w:tblW w:w="3638" w:type="pct"/>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8"/>
        <w:gridCol w:w="1612"/>
        <w:gridCol w:w="1535"/>
      </w:tblGrid>
      <w:tr w:rsidR="00A74961" w:rsidRPr="00017FC0" w:rsidTr="00783EDD">
        <w:trPr>
          <w:jc w:val="center"/>
        </w:trPr>
        <w:tc>
          <w:tcPr>
            <w:tcW w:w="2520" w:type="pct"/>
            <w:tcBorders>
              <w:bottom w:val="single" w:sz="4" w:space="0" w:color="auto"/>
            </w:tcBorders>
          </w:tcPr>
          <w:p w:rsidR="00A74961" w:rsidRPr="00017FC0" w:rsidRDefault="00A74961" w:rsidP="00017FC0">
            <w:pPr>
              <w:jc w:val="both"/>
              <w:rPr>
                <w:rFonts w:ascii="Verdana" w:hAnsi="Verdana" w:cs="Arial"/>
                <w:sz w:val="22"/>
              </w:rPr>
            </w:pPr>
            <w:r w:rsidRPr="00017FC0">
              <w:rPr>
                <w:rFonts w:ascii="Verdana" w:hAnsi="Verdana" w:cs="Arial"/>
                <w:sz w:val="22"/>
              </w:rPr>
              <w:t>Edad materna</w:t>
            </w:r>
          </w:p>
        </w:tc>
        <w:tc>
          <w:tcPr>
            <w:tcW w:w="1270" w:type="pct"/>
            <w:tcBorders>
              <w:bottom w:val="single" w:sz="4" w:space="0" w:color="auto"/>
            </w:tcBorders>
          </w:tcPr>
          <w:p w:rsidR="00A74961" w:rsidRPr="00017FC0" w:rsidRDefault="00A74961" w:rsidP="00017FC0">
            <w:pPr>
              <w:jc w:val="both"/>
              <w:rPr>
                <w:rFonts w:ascii="Verdana" w:hAnsi="Verdana" w:cs="Arial"/>
                <w:sz w:val="22"/>
              </w:rPr>
            </w:pPr>
            <w:r w:rsidRPr="00017FC0">
              <w:rPr>
                <w:rFonts w:ascii="Verdana" w:hAnsi="Verdana" w:cs="Arial"/>
                <w:sz w:val="22"/>
              </w:rPr>
              <w:t>Nº</w:t>
            </w:r>
          </w:p>
        </w:tc>
        <w:tc>
          <w:tcPr>
            <w:tcW w:w="1210" w:type="pct"/>
            <w:tcBorders>
              <w:bottom w:val="single" w:sz="4" w:space="0" w:color="auto"/>
            </w:tcBorders>
          </w:tcPr>
          <w:p w:rsidR="00A74961" w:rsidRPr="00017FC0" w:rsidRDefault="00A74961" w:rsidP="00017FC0">
            <w:pPr>
              <w:jc w:val="both"/>
              <w:rPr>
                <w:rFonts w:ascii="Verdana" w:hAnsi="Verdana" w:cs="Arial"/>
                <w:sz w:val="22"/>
              </w:rPr>
            </w:pPr>
            <w:r w:rsidRPr="00017FC0">
              <w:rPr>
                <w:rFonts w:ascii="Verdana" w:hAnsi="Verdana" w:cs="Arial"/>
                <w:sz w:val="22"/>
              </w:rPr>
              <w:t>%</w:t>
            </w:r>
          </w:p>
        </w:tc>
      </w:tr>
      <w:tr w:rsidR="00A74961" w:rsidRPr="00017FC0" w:rsidTr="00783EDD">
        <w:trPr>
          <w:jc w:val="center"/>
        </w:trPr>
        <w:tc>
          <w:tcPr>
            <w:tcW w:w="2520" w:type="pct"/>
            <w:tcBorders>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Menos de 19 años</w:t>
            </w:r>
          </w:p>
          <w:p w:rsidR="00A74961" w:rsidRPr="00017FC0" w:rsidRDefault="00A74961" w:rsidP="00017FC0">
            <w:pPr>
              <w:jc w:val="both"/>
              <w:rPr>
                <w:rFonts w:ascii="Verdana" w:hAnsi="Verdana" w:cs="Arial"/>
                <w:sz w:val="22"/>
              </w:rPr>
            </w:pPr>
          </w:p>
        </w:tc>
        <w:tc>
          <w:tcPr>
            <w:tcW w:w="1270" w:type="pct"/>
            <w:tcBorders>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8</w:t>
            </w:r>
          </w:p>
        </w:tc>
        <w:tc>
          <w:tcPr>
            <w:tcW w:w="1210" w:type="pct"/>
            <w:tcBorders>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6,3</w:t>
            </w:r>
          </w:p>
        </w:tc>
      </w:tr>
      <w:tr w:rsidR="00A74961" w:rsidRPr="00017FC0" w:rsidTr="00783EDD">
        <w:trPr>
          <w:jc w:val="center"/>
        </w:trPr>
        <w:tc>
          <w:tcPr>
            <w:tcW w:w="2520" w:type="pct"/>
            <w:tcBorders>
              <w:top w:val="nil"/>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De 19 a 34 años</w:t>
            </w:r>
          </w:p>
          <w:p w:rsidR="00A74961" w:rsidRPr="00017FC0" w:rsidRDefault="00A74961" w:rsidP="00017FC0">
            <w:pPr>
              <w:jc w:val="both"/>
              <w:rPr>
                <w:rFonts w:ascii="Verdana" w:hAnsi="Verdana" w:cs="Arial"/>
                <w:sz w:val="22"/>
              </w:rPr>
            </w:pPr>
          </w:p>
        </w:tc>
        <w:tc>
          <w:tcPr>
            <w:tcW w:w="1270" w:type="pct"/>
            <w:tcBorders>
              <w:top w:val="nil"/>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18</w:t>
            </w:r>
          </w:p>
        </w:tc>
        <w:tc>
          <w:tcPr>
            <w:tcW w:w="1210" w:type="pct"/>
            <w:tcBorders>
              <w:top w:val="nil"/>
              <w:bottom w:val="nil"/>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14,3</w:t>
            </w:r>
          </w:p>
        </w:tc>
      </w:tr>
      <w:tr w:rsidR="00A74961" w:rsidRPr="00017FC0" w:rsidTr="00783EDD">
        <w:trPr>
          <w:jc w:val="center"/>
        </w:trPr>
        <w:tc>
          <w:tcPr>
            <w:tcW w:w="2520" w:type="pct"/>
            <w:tcBorders>
              <w:top w:val="nil"/>
              <w:bottom w:val="single" w:sz="4" w:space="0" w:color="auto"/>
            </w:tcBorders>
          </w:tcPr>
          <w:p w:rsidR="00A74961" w:rsidRPr="00017FC0" w:rsidRDefault="00A74961" w:rsidP="00017FC0">
            <w:pPr>
              <w:jc w:val="both"/>
              <w:rPr>
                <w:rFonts w:ascii="Verdana" w:hAnsi="Verdana" w:cs="Arial"/>
                <w:sz w:val="22"/>
              </w:rPr>
            </w:pPr>
            <w:r w:rsidRPr="00017FC0">
              <w:rPr>
                <w:rFonts w:ascii="Verdana" w:hAnsi="Verdana" w:cs="Arial"/>
                <w:color w:val="000000"/>
                <w:sz w:val="22"/>
              </w:rPr>
              <w:t>De 35 años y más</w:t>
            </w:r>
          </w:p>
        </w:tc>
        <w:tc>
          <w:tcPr>
            <w:tcW w:w="1270" w:type="pct"/>
            <w:tcBorders>
              <w:top w:val="nil"/>
              <w:bottom w:val="single" w:sz="4" w:space="0" w:color="auto"/>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100</w:t>
            </w:r>
          </w:p>
        </w:tc>
        <w:tc>
          <w:tcPr>
            <w:tcW w:w="1210" w:type="pct"/>
            <w:tcBorders>
              <w:top w:val="nil"/>
              <w:bottom w:val="single" w:sz="4" w:space="0" w:color="auto"/>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79,4</w:t>
            </w:r>
          </w:p>
          <w:p w:rsidR="00A74961" w:rsidRPr="00017FC0" w:rsidRDefault="00A74961" w:rsidP="00017FC0">
            <w:pPr>
              <w:jc w:val="both"/>
              <w:rPr>
                <w:rFonts w:ascii="Verdana" w:hAnsi="Verdana" w:cs="Arial"/>
                <w:color w:val="000000"/>
                <w:sz w:val="22"/>
              </w:rPr>
            </w:pPr>
          </w:p>
        </w:tc>
      </w:tr>
      <w:tr w:rsidR="00A74961" w:rsidRPr="00017FC0" w:rsidTr="00783EDD">
        <w:trPr>
          <w:jc w:val="center"/>
        </w:trPr>
        <w:tc>
          <w:tcPr>
            <w:tcW w:w="2520" w:type="pct"/>
            <w:tcBorders>
              <w:top w:val="single" w:sz="4" w:space="0" w:color="auto"/>
              <w:bottom w:val="single" w:sz="4" w:space="0" w:color="auto"/>
            </w:tcBorders>
          </w:tcPr>
          <w:p w:rsidR="00A74961" w:rsidRPr="00017FC0" w:rsidRDefault="00A74961" w:rsidP="00017FC0">
            <w:pPr>
              <w:jc w:val="both"/>
              <w:rPr>
                <w:rFonts w:ascii="Verdana" w:hAnsi="Verdana" w:cs="Arial"/>
                <w:sz w:val="22"/>
              </w:rPr>
            </w:pPr>
            <w:r w:rsidRPr="00017FC0">
              <w:rPr>
                <w:rFonts w:ascii="Verdana" w:hAnsi="Verdana" w:cs="Arial"/>
                <w:color w:val="000000"/>
                <w:sz w:val="22"/>
              </w:rPr>
              <w:t>Total</w:t>
            </w:r>
          </w:p>
        </w:tc>
        <w:tc>
          <w:tcPr>
            <w:tcW w:w="1270" w:type="pct"/>
            <w:tcBorders>
              <w:top w:val="single" w:sz="4" w:space="0" w:color="auto"/>
              <w:bottom w:val="single" w:sz="4" w:space="0" w:color="auto"/>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126</w:t>
            </w:r>
          </w:p>
        </w:tc>
        <w:tc>
          <w:tcPr>
            <w:tcW w:w="1210" w:type="pct"/>
            <w:tcBorders>
              <w:top w:val="single" w:sz="4" w:space="0" w:color="auto"/>
              <w:bottom w:val="single" w:sz="4" w:space="0" w:color="auto"/>
            </w:tcBorders>
          </w:tcPr>
          <w:p w:rsidR="00A74961" w:rsidRPr="00017FC0" w:rsidRDefault="00A74961" w:rsidP="00017FC0">
            <w:pPr>
              <w:jc w:val="both"/>
              <w:rPr>
                <w:rFonts w:ascii="Verdana" w:hAnsi="Verdana" w:cs="Arial"/>
                <w:color w:val="000000"/>
                <w:sz w:val="22"/>
              </w:rPr>
            </w:pPr>
            <w:r w:rsidRPr="00017FC0">
              <w:rPr>
                <w:rFonts w:ascii="Verdana" w:hAnsi="Verdana" w:cs="Arial"/>
                <w:color w:val="000000"/>
                <w:sz w:val="22"/>
              </w:rPr>
              <w:t>100</w:t>
            </w:r>
          </w:p>
        </w:tc>
      </w:tr>
    </w:tbl>
    <w:p w:rsidR="00286E03" w:rsidRPr="00017FC0" w:rsidRDefault="00286E03" w:rsidP="00017FC0">
      <w:pPr>
        <w:jc w:val="both"/>
        <w:rPr>
          <w:rFonts w:ascii="Verdana" w:hAnsi="Verdana" w:cs="Arial"/>
          <w:sz w:val="22"/>
        </w:rPr>
      </w:pPr>
    </w:p>
    <w:p w:rsidR="006E1286" w:rsidRPr="00017FC0" w:rsidRDefault="00C66D85" w:rsidP="00017FC0">
      <w:pPr>
        <w:jc w:val="both"/>
        <w:rPr>
          <w:rFonts w:ascii="Verdana" w:hAnsi="Verdana" w:cs="Arial"/>
          <w:sz w:val="22"/>
        </w:rPr>
      </w:pPr>
      <w:r w:rsidRPr="00017FC0">
        <w:rPr>
          <w:rFonts w:ascii="Verdana" w:hAnsi="Verdana" w:cs="Arial"/>
          <w:sz w:val="22"/>
        </w:rPr>
        <w:t>Referente a</w:t>
      </w:r>
      <w:r w:rsidR="006E1286" w:rsidRPr="00017FC0">
        <w:rPr>
          <w:rFonts w:ascii="Verdana" w:hAnsi="Verdana" w:cs="Arial"/>
          <w:sz w:val="22"/>
        </w:rPr>
        <w:t xml:space="preserve"> los resultados acerca de las aberraciones cromosómicas fetal</w:t>
      </w:r>
      <w:r w:rsidRPr="00017FC0">
        <w:rPr>
          <w:rFonts w:ascii="Verdana" w:hAnsi="Verdana" w:cs="Arial"/>
          <w:sz w:val="22"/>
        </w:rPr>
        <w:t>es</w:t>
      </w:r>
      <w:r w:rsidR="006E1286" w:rsidRPr="00017FC0">
        <w:rPr>
          <w:rFonts w:ascii="Verdana" w:hAnsi="Verdana" w:cs="Arial"/>
          <w:sz w:val="22"/>
        </w:rPr>
        <w:t xml:space="preserve">, se pudo constatar que el 88,9 % </w:t>
      </w:r>
      <w:r w:rsidR="00AA3DEA" w:rsidRPr="00017FC0">
        <w:rPr>
          <w:rFonts w:ascii="Verdana" w:hAnsi="Verdana" w:cs="Arial"/>
          <w:sz w:val="22"/>
        </w:rPr>
        <w:t>formaron</w:t>
      </w:r>
      <w:r w:rsidR="006E1286" w:rsidRPr="00017FC0">
        <w:rPr>
          <w:rFonts w:ascii="Verdana" w:hAnsi="Verdana" w:cs="Arial"/>
          <w:sz w:val="22"/>
        </w:rPr>
        <w:t xml:space="preserve"> novo de aberración cromosómica fetal y el 1,6 % resultó no útil. (Tabla 4)</w:t>
      </w:r>
    </w:p>
    <w:p w:rsidR="00B60FB0" w:rsidRPr="00017FC0" w:rsidRDefault="00286E03" w:rsidP="00017FC0">
      <w:pPr>
        <w:jc w:val="both"/>
        <w:rPr>
          <w:rFonts w:ascii="Verdana" w:hAnsi="Verdana"/>
          <w:bCs/>
          <w:sz w:val="22"/>
          <w:lang w:val="es-MX"/>
        </w:rPr>
      </w:pPr>
      <w:r w:rsidRPr="00017FC0">
        <w:rPr>
          <w:rFonts w:ascii="Verdana" w:hAnsi="Verdana"/>
          <w:bCs/>
          <w:sz w:val="22"/>
          <w:lang w:val="es-MX"/>
        </w:rPr>
        <w:t>Tabla 4</w:t>
      </w:r>
      <w:r w:rsidR="00B60FB0" w:rsidRPr="00017FC0">
        <w:rPr>
          <w:rFonts w:ascii="Verdana" w:hAnsi="Verdana"/>
          <w:bCs/>
          <w:sz w:val="22"/>
          <w:lang w:val="es-MX"/>
        </w:rPr>
        <w:t>. Pacientes según aberración cromosómica fetal.</w:t>
      </w:r>
    </w:p>
    <w:tbl>
      <w:tblPr>
        <w:tblW w:w="0" w:type="auto"/>
        <w:jc w:val="center"/>
        <w:tblLook w:val="04A0" w:firstRow="1" w:lastRow="0" w:firstColumn="1" w:lastColumn="0" w:noHBand="0" w:noVBand="1"/>
      </w:tblPr>
      <w:tblGrid>
        <w:gridCol w:w="4236"/>
        <w:gridCol w:w="1559"/>
        <w:gridCol w:w="1257"/>
      </w:tblGrid>
      <w:tr w:rsidR="00B60FB0" w:rsidRPr="00017FC0" w:rsidTr="00FE5BA5">
        <w:trPr>
          <w:jc w:val="center"/>
        </w:trPr>
        <w:tc>
          <w:tcPr>
            <w:tcW w:w="4236"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t>Aberración Cromosómica Fetal</w:t>
            </w:r>
          </w:p>
        </w:tc>
        <w:tc>
          <w:tcPr>
            <w:tcW w:w="1559"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t>Nº</w:t>
            </w:r>
          </w:p>
        </w:tc>
        <w:tc>
          <w:tcPr>
            <w:tcW w:w="1257"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t>%</w:t>
            </w:r>
          </w:p>
        </w:tc>
      </w:tr>
      <w:tr w:rsidR="00B60FB0" w:rsidRPr="00017FC0" w:rsidTr="00FE5BA5">
        <w:trPr>
          <w:jc w:val="center"/>
        </w:trPr>
        <w:tc>
          <w:tcPr>
            <w:tcW w:w="4236" w:type="dxa"/>
            <w:vAlign w:val="center"/>
          </w:tcPr>
          <w:p w:rsidR="00B60FB0" w:rsidRPr="00017FC0" w:rsidRDefault="00B60FB0" w:rsidP="00017FC0">
            <w:pPr>
              <w:jc w:val="both"/>
              <w:rPr>
                <w:rFonts w:ascii="Verdana" w:hAnsi="Verdana"/>
                <w:sz w:val="22"/>
              </w:rPr>
            </w:pPr>
            <w:r w:rsidRPr="00017FC0">
              <w:rPr>
                <w:rFonts w:ascii="Verdana" w:hAnsi="Verdana"/>
                <w:sz w:val="22"/>
              </w:rPr>
              <w:t>Novo</w:t>
            </w:r>
          </w:p>
        </w:tc>
        <w:tc>
          <w:tcPr>
            <w:tcW w:w="1559" w:type="dxa"/>
            <w:vAlign w:val="center"/>
          </w:tcPr>
          <w:p w:rsidR="00B60FB0" w:rsidRPr="00017FC0" w:rsidRDefault="00B60FB0" w:rsidP="00017FC0">
            <w:pPr>
              <w:jc w:val="both"/>
              <w:rPr>
                <w:rFonts w:ascii="Verdana" w:hAnsi="Verdana"/>
                <w:sz w:val="22"/>
              </w:rPr>
            </w:pPr>
            <w:r w:rsidRPr="00017FC0">
              <w:rPr>
                <w:rFonts w:ascii="Verdana" w:hAnsi="Verdana"/>
                <w:sz w:val="22"/>
              </w:rPr>
              <w:t>112</w:t>
            </w:r>
          </w:p>
        </w:tc>
        <w:tc>
          <w:tcPr>
            <w:tcW w:w="1257" w:type="dxa"/>
            <w:vAlign w:val="center"/>
          </w:tcPr>
          <w:p w:rsidR="00B60FB0" w:rsidRPr="00017FC0" w:rsidRDefault="00B60FB0" w:rsidP="00017FC0">
            <w:pPr>
              <w:jc w:val="both"/>
              <w:rPr>
                <w:rFonts w:ascii="Verdana" w:hAnsi="Verdana"/>
                <w:sz w:val="22"/>
              </w:rPr>
            </w:pPr>
            <w:r w:rsidRPr="00017FC0">
              <w:rPr>
                <w:rFonts w:ascii="Verdana" w:hAnsi="Verdana"/>
                <w:sz w:val="22"/>
              </w:rPr>
              <w:t>88,9</w:t>
            </w:r>
          </w:p>
        </w:tc>
      </w:tr>
      <w:tr w:rsidR="00B60FB0" w:rsidRPr="00017FC0" w:rsidTr="00FE5BA5">
        <w:trPr>
          <w:jc w:val="center"/>
        </w:trPr>
        <w:tc>
          <w:tcPr>
            <w:tcW w:w="4236" w:type="dxa"/>
          </w:tcPr>
          <w:p w:rsidR="00B60FB0" w:rsidRPr="00017FC0" w:rsidRDefault="00B60FB0" w:rsidP="00017FC0">
            <w:pPr>
              <w:jc w:val="both"/>
              <w:rPr>
                <w:rFonts w:ascii="Verdana" w:hAnsi="Verdana"/>
                <w:sz w:val="22"/>
              </w:rPr>
            </w:pPr>
            <w:r w:rsidRPr="00017FC0">
              <w:rPr>
                <w:rFonts w:ascii="Verdana" w:hAnsi="Verdana"/>
                <w:sz w:val="22"/>
              </w:rPr>
              <w:t>Heredada</w:t>
            </w:r>
          </w:p>
        </w:tc>
        <w:tc>
          <w:tcPr>
            <w:tcW w:w="1559" w:type="dxa"/>
            <w:vAlign w:val="center"/>
          </w:tcPr>
          <w:p w:rsidR="00B60FB0" w:rsidRPr="00017FC0" w:rsidRDefault="00B60FB0" w:rsidP="00017FC0">
            <w:pPr>
              <w:jc w:val="both"/>
              <w:rPr>
                <w:rFonts w:ascii="Verdana" w:hAnsi="Verdana"/>
                <w:sz w:val="22"/>
              </w:rPr>
            </w:pPr>
            <w:r w:rsidRPr="00017FC0">
              <w:rPr>
                <w:rFonts w:ascii="Verdana" w:hAnsi="Verdana"/>
                <w:sz w:val="22"/>
              </w:rPr>
              <w:t>12</w:t>
            </w:r>
          </w:p>
        </w:tc>
        <w:tc>
          <w:tcPr>
            <w:tcW w:w="1257" w:type="dxa"/>
            <w:vAlign w:val="center"/>
          </w:tcPr>
          <w:p w:rsidR="00B60FB0" w:rsidRPr="00017FC0" w:rsidRDefault="00B60FB0" w:rsidP="00017FC0">
            <w:pPr>
              <w:jc w:val="both"/>
              <w:rPr>
                <w:rFonts w:ascii="Verdana" w:hAnsi="Verdana"/>
                <w:sz w:val="22"/>
              </w:rPr>
            </w:pPr>
            <w:r w:rsidRPr="00017FC0">
              <w:rPr>
                <w:rFonts w:ascii="Verdana" w:hAnsi="Verdana"/>
                <w:sz w:val="22"/>
              </w:rPr>
              <w:t>9,5</w:t>
            </w:r>
          </w:p>
        </w:tc>
      </w:tr>
      <w:tr w:rsidR="00B60FB0" w:rsidRPr="00017FC0" w:rsidTr="00FE5BA5">
        <w:trPr>
          <w:jc w:val="center"/>
        </w:trPr>
        <w:tc>
          <w:tcPr>
            <w:tcW w:w="4236" w:type="dxa"/>
            <w:vAlign w:val="center"/>
          </w:tcPr>
          <w:p w:rsidR="00B60FB0" w:rsidRPr="00017FC0" w:rsidRDefault="00B60FB0" w:rsidP="00017FC0">
            <w:pPr>
              <w:jc w:val="both"/>
              <w:rPr>
                <w:rFonts w:ascii="Verdana" w:hAnsi="Verdana"/>
                <w:sz w:val="22"/>
              </w:rPr>
            </w:pPr>
            <w:r w:rsidRPr="00017FC0">
              <w:rPr>
                <w:rFonts w:ascii="Verdana" w:hAnsi="Verdana"/>
                <w:sz w:val="22"/>
              </w:rPr>
              <w:t>No útil</w:t>
            </w:r>
          </w:p>
        </w:tc>
        <w:tc>
          <w:tcPr>
            <w:tcW w:w="1559" w:type="dxa"/>
            <w:vAlign w:val="center"/>
          </w:tcPr>
          <w:p w:rsidR="00B60FB0" w:rsidRPr="00017FC0" w:rsidRDefault="00B60FB0" w:rsidP="00017FC0">
            <w:pPr>
              <w:jc w:val="both"/>
              <w:rPr>
                <w:rFonts w:ascii="Verdana" w:hAnsi="Verdana"/>
                <w:sz w:val="22"/>
              </w:rPr>
            </w:pPr>
            <w:r w:rsidRPr="00017FC0">
              <w:rPr>
                <w:rFonts w:ascii="Verdana" w:hAnsi="Verdana"/>
                <w:sz w:val="22"/>
              </w:rPr>
              <w:t>2</w:t>
            </w:r>
          </w:p>
        </w:tc>
        <w:tc>
          <w:tcPr>
            <w:tcW w:w="1257" w:type="dxa"/>
            <w:vAlign w:val="center"/>
          </w:tcPr>
          <w:p w:rsidR="00B60FB0" w:rsidRPr="00017FC0" w:rsidRDefault="00B60FB0" w:rsidP="00017FC0">
            <w:pPr>
              <w:jc w:val="both"/>
              <w:rPr>
                <w:rFonts w:ascii="Verdana" w:hAnsi="Verdana"/>
                <w:sz w:val="22"/>
              </w:rPr>
            </w:pPr>
            <w:r w:rsidRPr="00017FC0">
              <w:rPr>
                <w:rFonts w:ascii="Verdana" w:hAnsi="Verdana"/>
                <w:sz w:val="22"/>
              </w:rPr>
              <w:t>1,6</w:t>
            </w:r>
          </w:p>
        </w:tc>
      </w:tr>
      <w:tr w:rsidR="00B60FB0" w:rsidRPr="00017FC0" w:rsidTr="00FE5BA5">
        <w:trPr>
          <w:jc w:val="center"/>
        </w:trPr>
        <w:tc>
          <w:tcPr>
            <w:tcW w:w="4236"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lastRenderedPageBreak/>
              <w:t>Total</w:t>
            </w:r>
          </w:p>
        </w:tc>
        <w:tc>
          <w:tcPr>
            <w:tcW w:w="1559"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t>126</w:t>
            </w:r>
          </w:p>
        </w:tc>
        <w:tc>
          <w:tcPr>
            <w:tcW w:w="1257" w:type="dxa"/>
            <w:tcBorders>
              <w:top w:val="single" w:sz="4" w:space="0" w:color="auto"/>
              <w:bottom w:val="single" w:sz="4" w:space="0" w:color="auto"/>
            </w:tcBorders>
            <w:vAlign w:val="center"/>
          </w:tcPr>
          <w:p w:rsidR="00B60FB0" w:rsidRPr="00017FC0" w:rsidRDefault="00B60FB0" w:rsidP="00017FC0">
            <w:pPr>
              <w:jc w:val="both"/>
              <w:rPr>
                <w:rFonts w:ascii="Verdana" w:hAnsi="Verdana"/>
                <w:sz w:val="22"/>
              </w:rPr>
            </w:pPr>
            <w:r w:rsidRPr="00017FC0">
              <w:rPr>
                <w:rFonts w:ascii="Verdana" w:hAnsi="Verdana"/>
                <w:sz w:val="22"/>
              </w:rPr>
              <w:t>100</w:t>
            </w:r>
          </w:p>
        </w:tc>
      </w:tr>
    </w:tbl>
    <w:p w:rsidR="00A74961" w:rsidRPr="00017FC0" w:rsidRDefault="00A74961" w:rsidP="00017FC0">
      <w:pPr>
        <w:jc w:val="both"/>
        <w:rPr>
          <w:rFonts w:ascii="Verdana" w:hAnsi="Verdana"/>
          <w:sz w:val="22"/>
        </w:rPr>
      </w:pPr>
    </w:p>
    <w:p w:rsidR="00CD0D91" w:rsidRPr="00017FC0" w:rsidRDefault="009F245B" w:rsidP="00017FC0">
      <w:pPr>
        <w:jc w:val="both"/>
        <w:rPr>
          <w:rFonts w:ascii="Verdana" w:hAnsi="Verdana"/>
          <w:b/>
          <w:sz w:val="22"/>
        </w:rPr>
      </w:pPr>
      <w:r w:rsidRPr="00017FC0">
        <w:rPr>
          <w:rFonts w:ascii="Verdana" w:hAnsi="Verdana"/>
          <w:b/>
          <w:sz w:val="22"/>
        </w:rPr>
        <w:t>Discusión de los resultados</w:t>
      </w:r>
    </w:p>
    <w:p w:rsidR="0032729A" w:rsidRPr="00017FC0" w:rsidRDefault="0032729A" w:rsidP="00017FC0">
      <w:pPr>
        <w:jc w:val="both"/>
        <w:rPr>
          <w:rFonts w:ascii="Verdana" w:hAnsi="Verdana"/>
          <w:sz w:val="22"/>
        </w:rPr>
      </w:pPr>
      <w:r w:rsidRPr="00017FC0">
        <w:rPr>
          <w:rFonts w:ascii="Verdana" w:hAnsi="Verdana"/>
          <w:sz w:val="22"/>
        </w:rPr>
        <w:t>El panorama no es alentador al comparar los resultados con otros estudios. En el caso de las aberraciones cromosómicas hay resultados que se asemejan a otras investigaciones, pero en resumen ponen de manifiesto la imperiosa necesidad de realizar un buen diagnóstico y tratamiento de estas patologías.</w:t>
      </w:r>
    </w:p>
    <w:p w:rsidR="004E5301" w:rsidRPr="00017FC0" w:rsidRDefault="004E5301" w:rsidP="00017FC0">
      <w:pPr>
        <w:jc w:val="both"/>
        <w:rPr>
          <w:rFonts w:ascii="Verdana" w:hAnsi="Verdana"/>
          <w:sz w:val="22"/>
          <w:vertAlign w:val="superscript"/>
        </w:rPr>
      </w:pPr>
      <w:r w:rsidRPr="00017FC0">
        <w:rPr>
          <w:rFonts w:ascii="Verdana" w:hAnsi="Verdana"/>
          <w:sz w:val="22"/>
        </w:rPr>
        <w:t>Las grandes urbes por la concentración poblacional presentan las mayores incidencias de aberraciones cromosómicas, por ejemplo se reportó en Bolivia que en el departamento de La Paz s</w:t>
      </w:r>
      <w:r w:rsidR="009F73CB" w:rsidRPr="00017FC0">
        <w:rPr>
          <w:rFonts w:ascii="Verdana" w:hAnsi="Verdana"/>
          <w:sz w:val="22"/>
        </w:rPr>
        <w:t>e registraron más frecuentes</w:t>
      </w:r>
      <w:r w:rsidRPr="00017FC0">
        <w:rPr>
          <w:rFonts w:ascii="Verdana" w:hAnsi="Verdana"/>
          <w:sz w:val="22"/>
        </w:rPr>
        <w:t xml:space="preserve"> las anomalías cromosómicas, porque la proporción de nacidos vivos en este departamento es mayor. </w:t>
      </w:r>
      <w:r w:rsidRPr="00017FC0">
        <w:rPr>
          <w:rFonts w:ascii="Verdana" w:hAnsi="Verdana"/>
          <w:sz w:val="22"/>
          <w:vertAlign w:val="superscript"/>
        </w:rPr>
        <w:t>8</w:t>
      </w:r>
    </w:p>
    <w:p w:rsidR="004E5301" w:rsidRPr="00017FC0" w:rsidRDefault="004E5301" w:rsidP="00017FC0">
      <w:pPr>
        <w:jc w:val="both"/>
        <w:rPr>
          <w:rFonts w:ascii="Verdana" w:eastAsia="Calibri" w:hAnsi="Verdana" w:cs="Arial"/>
          <w:sz w:val="22"/>
        </w:rPr>
      </w:pPr>
      <w:r w:rsidRPr="00017FC0">
        <w:rPr>
          <w:rFonts w:ascii="Verdana" w:eastAsia="Calibri" w:hAnsi="Verdana" w:cs="Arial"/>
          <w:sz w:val="22"/>
        </w:rPr>
        <w:t xml:space="preserve">Díaz et al., </w:t>
      </w:r>
      <w:r w:rsidRPr="00017FC0">
        <w:rPr>
          <w:rFonts w:ascii="Verdana" w:eastAsia="Calibri" w:hAnsi="Verdana" w:cs="Arial"/>
          <w:sz w:val="22"/>
          <w:vertAlign w:val="superscript"/>
        </w:rPr>
        <w:t>7</w:t>
      </w:r>
      <w:r w:rsidRPr="00017FC0">
        <w:rPr>
          <w:rFonts w:ascii="Verdana" w:eastAsia="Calibri" w:hAnsi="Verdana" w:cs="Arial"/>
          <w:sz w:val="22"/>
        </w:rPr>
        <w:t xml:space="preserve"> en Cienfuegos Cuba detectaron translocaciones cromosómicas mediante diagnóstico citogenético, del total de casos positivos y portadores diagnosticados prenatalmente, el 76,71 % fueron aberraciones numéricas. De los 17 casos de aberraciones estructurales, 13 fueron translocaciones cromosómicas.</w:t>
      </w:r>
    </w:p>
    <w:p w:rsidR="009D2A09" w:rsidRPr="00017FC0" w:rsidRDefault="00AC6D59"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 xml:space="preserve">Reportes de casos clínicos </w:t>
      </w:r>
      <w:r w:rsidR="0012647D" w:rsidRPr="00017FC0">
        <w:rPr>
          <w:rFonts w:ascii="Verdana" w:eastAsia="Calibri" w:hAnsi="Verdana" w:cs="Times New Roman"/>
          <w:sz w:val="22"/>
        </w:rPr>
        <w:t xml:space="preserve">realizados a nivel global han </w:t>
      </w:r>
      <w:r w:rsidR="009D2A09" w:rsidRPr="00017FC0">
        <w:rPr>
          <w:rFonts w:ascii="Verdana" w:eastAsia="Calibri" w:hAnsi="Verdana" w:cs="Times New Roman"/>
          <w:sz w:val="22"/>
        </w:rPr>
        <w:t>establecido que, 1 de cada 150 recién nacidos vivos, 50% de los abortos del primer trimestre y 20% de los de segundo, 20% de los ovocitos, 4% de los espermatozoides, 10% de las concepciones, 8% de los mortinatos y 4% de las parejas infértiles tienen una alteración cromosómica.</w:t>
      </w:r>
      <w:r w:rsidR="0030355A" w:rsidRPr="00017FC0">
        <w:rPr>
          <w:rFonts w:ascii="Verdana" w:eastAsia="Calibri" w:hAnsi="Verdana" w:cs="Times New Roman"/>
          <w:sz w:val="22"/>
        </w:rPr>
        <w:t xml:space="preserve"> </w:t>
      </w:r>
      <w:r w:rsidR="0030355A" w:rsidRPr="00017FC0">
        <w:rPr>
          <w:rFonts w:ascii="Verdana" w:eastAsia="Calibri" w:hAnsi="Verdana" w:cs="Times New Roman"/>
          <w:sz w:val="22"/>
          <w:vertAlign w:val="superscript"/>
        </w:rPr>
        <w:t>9</w:t>
      </w:r>
      <w:r w:rsidR="0032729A" w:rsidRPr="00017FC0">
        <w:rPr>
          <w:rFonts w:ascii="Verdana" w:eastAsia="Calibri" w:hAnsi="Verdana" w:cs="Times New Roman"/>
          <w:sz w:val="22"/>
        </w:rPr>
        <w:t xml:space="preserve"> </w:t>
      </w:r>
    </w:p>
    <w:p w:rsidR="007230D3" w:rsidRPr="00017FC0" w:rsidRDefault="0012647D"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Mora et al.,</w:t>
      </w:r>
      <w:r w:rsidR="0032729A" w:rsidRPr="00017FC0">
        <w:rPr>
          <w:rFonts w:ascii="Verdana" w:eastAsia="Calibri" w:hAnsi="Verdana" w:cs="Times New Roman"/>
          <w:sz w:val="22"/>
        </w:rPr>
        <w:t xml:space="preserve"> </w:t>
      </w:r>
      <w:r w:rsidR="0032729A" w:rsidRPr="00017FC0">
        <w:rPr>
          <w:rFonts w:ascii="Verdana" w:eastAsia="Calibri" w:hAnsi="Verdana" w:cs="Times New Roman"/>
          <w:sz w:val="22"/>
          <w:vertAlign w:val="superscript"/>
        </w:rPr>
        <w:t>10</w:t>
      </w:r>
      <w:r w:rsidRPr="00017FC0">
        <w:rPr>
          <w:rFonts w:ascii="Verdana" w:eastAsia="Calibri" w:hAnsi="Verdana" w:cs="Times New Roman"/>
          <w:sz w:val="22"/>
        </w:rPr>
        <w:t xml:space="preserve"> </w:t>
      </w:r>
      <w:r w:rsidR="00D60A54" w:rsidRPr="00017FC0">
        <w:rPr>
          <w:rFonts w:ascii="Verdana" w:eastAsia="Calibri" w:hAnsi="Verdana" w:cs="Times New Roman"/>
          <w:sz w:val="22"/>
        </w:rPr>
        <w:t>detalla</w:t>
      </w:r>
      <w:r w:rsidRPr="00017FC0">
        <w:rPr>
          <w:rFonts w:ascii="Verdana" w:eastAsia="Calibri" w:hAnsi="Verdana" w:cs="Times New Roman"/>
          <w:sz w:val="22"/>
        </w:rPr>
        <w:t xml:space="preserve"> que d</w:t>
      </w:r>
      <w:r w:rsidR="007230D3" w:rsidRPr="00017FC0">
        <w:rPr>
          <w:rFonts w:ascii="Verdana" w:eastAsia="Calibri" w:hAnsi="Verdana" w:cs="Times New Roman"/>
          <w:sz w:val="22"/>
        </w:rPr>
        <w:t xml:space="preserve">entro de las causas descritas en abortos espontáneos, las anomalías cromosómicas representan un porcentaje considerable; aunque </w:t>
      </w:r>
      <w:r w:rsidRPr="00017FC0">
        <w:rPr>
          <w:rFonts w:ascii="Verdana" w:eastAsia="Calibri" w:hAnsi="Verdana" w:cs="Times New Roman"/>
          <w:sz w:val="22"/>
        </w:rPr>
        <w:t>estivaría</w:t>
      </w:r>
      <w:r w:rsidR="007230D3" w:rsidRPr="00017FC0">
        <w:rPr>
          <w:rFonts w:ascii="Verdana" w:eastAsia="Calibri" w:hAnsi="Verdana" w:cs="Times New Roman"/>
          <w:sz w:val="22"/>
        </w:rPr>
        <w:t xml:space="preserve"> según los diferentes estudios. De los 2 319 casos incluidos en </w:t>
      </w:r>
      <w:r w:rsidR="00D60A54" w:rsidRPr="00017FC0">
        <w:rPr>
          <w:rFonts w:ascii="Verdana" w:eastAsia="Calibri" w:hAnsi="Verdana" w:cs="Times New Roman"/>
          <w:sz w:val="22"/>
        </w:rPr>
        <w:t>su investigación, en 68,8</w:t>
      </w:r>
      <w:r w:rsidR="008621D5" w:rsidRPr="00017FC0">
        <w:rPr>
          <w:rFonts w:ascii="Verdana" w:eastAsia="Calibri" w:hAnsi="Verdana" w:cs="Times New Roman"/>
          <w:sz w:val="22"/>
        </w:rPr>
        <w:t xml:space="preserve"> </w:t>
      </w:r>
      <w:r w:rsidR="00D60A54" w:rsidRPr="00017FC0">
        <w:rPr>
          <w:rFonts w:ascii="Verdana" w:eastAsia="Calibri" w:hAnsi="Verdana" w:cs="Times New Roman"/>
          <w:sz w:val="22"/>
        </w:rPr>
        <w:t>%</w:t>
      </w:r>
      <w:r w:rsidR="007230D3" w:rsidRPr="00017FC0">
        <w:rPr>
          <w:rFonts w:ascii="Verdana" w:eastAsia="Calibri" w:hAnsi="Verdana" w:cs="Times New Roman"/>
          <w:sz w:val="22"/>
        </w:rPr>
        <w:t xml:space="preserve"> encontró alguna alteración cromosómica; </w:t>
      </w:r>
      <w:r w:rsidR="00D60A54" w:rsidRPr="00017FC0">
        <w:rPr>
          <w:rFonts w:ascii="Verdana" w:eastAsia="Calibri" w:hAnsi="Verdana" w:cs="Times New Roman"/>
          <w:sz w:val="22"/>
        </w:rPr>
        <w:t xml:space="preserve">y además señala que </w:t>
      </w:r>
      <w:r w:rsidR="007230D3" w:rsidRPr="00017FC0">
        <w:rPr>
          <w:rFonts w:ascii="Verdana" w:eastAsia="Calibri" w:hAnsi="Verdana" w:cs="Times New Roman"/>
          <w:sz w:val="22"/>
        </w:rPr>
        <w:t>este valor está por encima de lo descrito en la literatura actual</w:t>
      </w:r>
      <w:r w:rsidR="00D60A54" w:rsidRPr="00017FC0">
        <w:rPr>
          <w:rFonts w:ascii="Verdana" w:eastAsia="Calibri" w:hAnsi="Verdana" w:cs="Times New Roman"/>
          <w:sz w:val="22"/>
        </w:rPr>
        <w:t>; l</w:t>
      </w:r>
      <w:r w:rsidR="007230D3" w:rsidRPr="00017FC0">
        <w:rPr>
          <w:rFonts w:ascii="Verdana" w:eastAsia="Calibri" w:hAnsi="Verdana" w:cs="Times New Roman"/>
          <w:sz w:val="22"/>
        </w:rPr>
        <w:t xml:space="preserve">o </w:t>
      </w:r>
      <w:r w:rsidR="00D60A54" w:rsidRPr="00017FC0">
        <w:rPr>
          <w:rFonts w:ascii="Verdana" w:eastAsia="Calibri" w:hAnsi="Verdana" w:cs="Times New Roman"/>
          <w:sz w:val="22"/>
        </w:rPr>
        <w:t xml:space="preserve">que </w:t>
      </w:r>
      <w:r w:rsidR="007230D3" w:rsidRPr="00017FC0">
        <w:rPr>
          <w:rFonts w:ascii="Verdana" w:eastAsia="Calibri" w:hAnsi="Verdana" w:cs="Times New Roman"/>
          <w:sz w:val="22"/>
        </w:rPr>
        <w:t>podría deberse a que la mayoría de pacientes referidas era mayor de 35 años (66% de todas las pacientes).</w:t>
      </w:r>
      <w:r w:rsidR="00E1276D" w:rsidRPr="00017FC0">
        <w:rPr>
          <w:rFonts w:ascii="Verdana" w:eastAsia="Calibri" w:hAnsi="Verdana" w:cs="Times New Roman"/>
          <w:sz w:val="22"/>
        </w:rPr>
        <w:t xml:space="preserve"> </w:t>
      </w:r>
      <w:r w:rsidR="00E1276D" w:rsidRPr="00017FC0">
        <w:rPr>
          <w:rFonts w:ascii="Verdana" w:eastAsia="Calibri" w:hAnsi="Verdana" w:cs="Times New Roman"/>
          <w:sz w:val="22"/>
          <w:vertAlign w:val="superscript"/>
        </w:rPr>
        <w:t>10</w:t>
      </w:r>
    </w:p>
    <w:p w:rsidR="00471FB7" w:rsidRPr="00017FC0" w:rsidRDefault="00471FB7" w:rsidP="00017FC0">
      <w:pPr>
        <w:jc w:val="both"/>
        <w:rPr>
          <w:rFonts w:ascii="Verdana" w:hAnsi="Verdana"/>
          <w:sz w:val="22"/>
          <w:vertAlign w:val="superscript"/>
        </w:rPr>
      </w:pPr>
      <w:r w:rsidRPr="00017FC0">
        <w:rPr>
          <w:rFonts w:ascii="Verdana" w:hAnsi="Verdana"/>
          <w:sz w:val="22"/>
        </w:rPr>
        <w:t xml:space="preserve">Los defectos cromosómicos constituyen un factor de riesgo que ocasionan enfermedad y mortalidad en el feto, producen abortos espontáneos, óbitos, muerte neonatal, malformaciones congénitas, así como retraso mental; por lo que es de vital importancia el diagnóstico precoz de cualquier alteración cromosómica. </w:t>
      </w:r>
      <w:r w:rsidR="00BB461C" w:rsidRPr="00017FC0">
        <w:rPr>
          <w:rFonts w:ascii="Verdana" w:hAnsi="Verdana"/>
          <w:sz w:val="22"/>
          <w:vertAlign w:val="superscript"/>
        </w:rPr>
        <w:t>11</w:t>
      </w:r>
    </w:p>
    <w:p w:rsidR="00680372" w:rsidRPr="00017FC0" w:rsidRDefault="00F019B7" w:rsidP="00017FC0">
      <w:pPr>
        <w:jc w:val="both"/>
        <w:rPr>
          <w:rFonts w:ascii="Verdana" w:hAnsi="Verdana"/>
          <w:sz w:val="22"/>
        </w:rPr>
      </w:pPr>
      <w:r w:rsidRPr="00017FC0">
        <w:rPr>
          <w:rFonts w:ascii="Verdana" w:hAnsi="Verdana"/>
          <w:sz w:val="22"/>
        </w:rPr>
        <w:t>S</w:t>
      </w:r>
      <w:r w:rsidR="00680372" w:rsidRPr="00017FC0">
        <w:rPr>
          <w:rFonts w:ascii="Verdana" w:hAnsi="Verdana"/>
          <w:sz w:val="22"/>
        </w:rPr>
        <w:t>e deben principalmente a las alteraciones en el cariotipo, estas pueden deberse a una variación en el número normal de cromosomas o a cambios en su estructura. Si la alteración implica un exceso o un defecto de material genético se deno</w:t>
      </w:r>
      <w:r w:rsidR="00AC1AE1" w:rsidRPr="00017FC0">
        <w:rPr>
          <w:rFonts w:ascii="Verdana" w:hAnsi="Verdana"/>
          <w:sz w:val="22"/>
        </w:rPr>
        <w:t xml:space="preserve">mina desequilibrada y produce </w:t>
      </w:r>
      <w:r w:rsidR="006A07C4" w:rsidRPr="00017FC0">
        <w:rPr>
          <w:rFonts w:ascii="Verdana" w:hAnsi="Verdana"/>
          <w:sz w:val="22"/>
        </w:rPr>
        <w:t>ma</w:t>
      </w:r>
      <w:r w:rsidR="00680372" w:rsidRPr="00017FC0">
        <w:rPr>
          <w:rFonts w:ascii="Verdana" w:hAnsi="Verdana"/>
          <w:sz w:val="22"/>
        </w:rPr>
        <w:t xml:space="preserve">lformaciones congénitas, con frecuencia acompañadas de retraso mental, sin embargo, una alteración </w:t>
      </w:r>
      <w:r w:rsidR="00680372" w:rsidRPr="00017FC0">
        <w:rPr>
          <w:rFonts w:ascii="Verdana" w:hAnsi="Verdana"/>
          <w:sz w:val="22"/>
        </w:rPr>
        <w:lastRenderedPageBreak/>
        <w:t>equilibrada no produce, en principio, enfermedad en el individuo portador, aunque sí hay riesgo en su descendencia.</w:t>
      </w:r>
      <w:r w:rsidR="00CE54B7" w:rsidRPr="00017FC0">
        <w:rPr>
          <w:rFonts w:ascii="Verdana" w:hAnsi="Verdana"/>
          <w:sz w:val="22"/>
        </w:rPr>
        <w:t xml:space="preserve"> </w:t>
      </w:r>
      <w:r w:rsidR="00CE54B7" w:rsidRPr="00017FC0">
        <w:rPr>
          <w:rFonts w:ascii="Verdana" w:hAnsi="Verdana"/>
          <w:sz w:val="22"/>
          <w:vertAlign w:val="superscript"/>
        </w:rPr>
        <w:t>9</w:t>
      </w:r>
      <w:r w:rsidR="008621D5" w:rsidRPr="00017FC0">
        <w:rPr>
          <w:rFonts w:ascii="Verdana" w:hAnsi="Verdana"/>
          <w:sz w:val="22"/>
        </w:rPr>
        <w:t xml:space="preserve"> </w:t>
      </w:r>
    </w:p>
    <w:p w:rsidR="008D1E60" w:rsidRPr="00017FC0" w:rsidRDefault="008D1E60" w:rsidP="00017FC0">
      <w:pPr>
        <w:jc w:val="both"/>
        <w:rPr>
          <w:rFonts w:ascii="Verdana" w:hAnsi="Verdana"/>
          <w:sz w:val="22"/>
        </w:rPr>
      </w:pPr>
      <w:r w:rsidRPr="00017FC0">
        <w:rPr>
          <w:rFonts w:ascii="Verdana" w:hAnsi="Verdana"/>
          <w:sz w:val="22"/>
        </w:rPr>
        <w:t>Betancor</w:t>
      </w:r>
      <w:r w:rsidR="00734D02" w:rsidRPr="00017FC0">
        <w:rPr>
          <w:rFonts w:ascii="Verdana" w:hAnsi="Verdana"/>
          <w:sz w:val="22"/>
        </w:rPr>
        <w:t xml:space="preserve"> </w:t>
      </w:r>
      <w:r w:rsidR="00734D02" w:rsidRPr="00017FC0">
        <w:rPr>
          <w:rFonts w:ascii="Verdana" w:hAnsi="Verdana"/>
          <w:sz w:val="22"/>
          <w:vertAlign w:val="superscript"/>
        </w:rPr>
        <w:t>4</w:t>
      </w:r>
      <w:r w:rsidRPr="00017FC0">
        <w:rPr>
          <w:rFonts w:ascii="Verdana" w:hAnsi="Verdana"/>
          <w:sz w:val="22"/>
        </w:rPr>
        <w:t xml:space="preserve"> en su tesis de grado plantea que de los 440 casos estudiados, el porcentaje de individuos sin alteraciones fue mayoritario, en relación a los que tenían alteraciones numéricas (con un porcentaje de 4,7 %), seguidas por alteraciones estructurales (con un porcentaje de 2,0%)</w:t>
      </w:r>
      <w:r w:rsidR="00734D02" w:rsidRPr="00017FC0">
        <w:rPr>
          <w:rFonts w:ascii="Verdana" w:hAnsi="Verdana"/>
          <w:sz w:val="22"/>
        </w:rPr>
        <w:t>.</w:t>
      </w:r>
    </w:p>
    <w:p w:rsidR="000168C1" w:rsidRPr="00017FC0" w:rsidRDefault="008D1E60" w:rsidP="00017FC0">
      <w:pPr>
        <w:spacing w:after="160" w:line="259" w:lineRule="auto"/>
        <w:jc w:val="both"/>
        <w:rPr>
          <w:rFonts w:ascii="Verdana" w:eastAsia="Calibri" w:hAnsi="Verdana" w:cs="Times New Roman"/>
          <w:sz w:val="22"/>
          <w:vertAlign w:val="superscript"/>
        </w:rPr>
      </w:pPr>
      <w:r w:rsidRPr="00017FC0">
        <w:rPr>
          <w:rFonts w:ascii="Verdana" w:hAnsi="Verdana"/>
          <w:sz w:val="22"/>
        </w:rPr>
        <w:t>E</w:t>
      </w:r>
      <w:r w:rsidR="000168C1" w:rsidRPr="00017FC0">
        <w:rPr>
          <w:rFonts w:ascii="Verdana" w:hAnsi="Verdana"/>
          <w:sz w:val="22"/>
        </w:rPr>
        <w:t>ntre los individuos que presentaron alteraciones</w:t>
      </w:r>
      <w:r w:rsidRPr="00017FC0">
        <w:rPr>
          <w:rFonts w:ascii="Verdana" w:hAnsi="Verdana"/>
          <w:sz w:val="22"/>
        </w:rPr>
        <w:t xml:space="preserve"> </w:t>
      </w:r>
      <w:r w:rsidR="000168C1" w:rsidRPr="00017FC0">
        <w:rPr>
          <w:rFonts w:ascii="Verdana" w:hAnsi="Verdana"/>
          <w:sz w:val="22"/>
        </w:rPr>
        <w:t xml:space="preserve">numéricas la gran mayoría el 57,1 % corresponde a la trisomía 21, registró una trisomía 18 que </w:t>
      </w:r>
      <w:r w:rsidR="00CA6959" w:rsidRPr="00017FC0">
        <w:rPr>
          <w:rFonts w:ascii="Verdana" w:hAnsi="Verdana"/>
          <w:sz w:val="22"/>
        </w:rPr>
        <w:t>r</w:t>
      </w:r>
      <w:r w:rsidRPr="00017FC0">
        <w:rPr>
          <w:rFonts w:ascii="Verdana" w:hAnsi="Verdana"/>
          <w:sz w:val="22"/>
        </w:rPr>
        <w:t>epresenta el 4,8 % y e</w:t>
      </w:r>
      <w:r w:rsidR="000168C1" w:rsidRPr="00017FC0">
        <w:rPr>
          <w:rFonts w:ascii="Verdana" w:hAnsi="Verdana"/>
          <w:sz w:val="22"/>
        </w:rPr>
        <w:t xml:space="preserve">l resto de las alteraciones numéricas involucran a los cromosomas sexuales: fundamentalmente: 47, XXY </w:t>
      </w:r>
      <w:r w:rsidR="000045D2" w:rsidRPr="00017FC0">
        <w:rPr>
          <w:rFonts w:ascii="Verdana" w:hAnsi="Verdana"/>
          <w:sz w:val="22"/>
        </w:rPr>
        <w:t>(</w:t>
      </w:r>
      <w:r w:rsidR="000168C1" w:rsidRPr="00017FC0">
        <w:rPr>
          <w:rFonts w:ascii="Verdana" w:hAnsi="Verdana"/>
          <w:sz w:val="22"/>
        </w:rPr>
        <w:t>28%</w:t>
      </w:r>
      <w:r w:rsidR="000045D2" w:rsidRPr="00017FC0">
        <w:rPr>
          <w:rFonts w:ascii="Verdana" w:hAnsi="Verdana"/>
          <w:sz w:val="22"/>
        </w:rPr>
        <w:t>) y un caso de 45 X0</w:t>
      </w:r>
      <w:r w:rsidR="000168C1" w:rsidRPr="00017FC0">
        <w:rPr>
          <w:rFonts w:ascii="Verdana" w:hAnsi="Verdana"/>
          <w:sz w:val="22"/>
        </w:rPr>
        <w:t xml:space="preserve"> </w:t>
      </w:r>
      <w:r w:rsidR="000045D2" w:rsidRPr="00017FC0">
        <w:rPr>
          <w:rFonts w:ascii="Verdana" w:hAnsi="Verdana"/>
          <w:sz w:val="22"/>
        </w:rPr>
        <w:t>(</w:t>
      </w:r>
      <w:r w:rsidR="000168C1" w:rsidRPr="00017FC0">
        <w:rPr>
          <w:rFonts w:ascii="Verdana" w:hAnsi="Verdana"/>
          <w:sz w:val="22"/>
        </w:rPr>
        <w:t>4,8 %</w:t>
      </w:r>
      <w:r w:rsidR="000045D2" w:rsidRPr="00017FC0">
        <w:rPr>
          <w:rFonts w:ascii="Verdana" w:hAnsi="Verdana"/>
          <w:sz w:val="22"/>
        </w:rPr>
        <w:t>)</w:t>
      </w:r>
      <w:r w:rsidR="000168C1" w:rsidRPr="00017FC0">
        <w:rPr>
          <w:rFonts w:ascii="Verdana" w:hAnsi="Verdana"/>
          <w:sz w:val="22"/>
        </w:rPr>
        <w:t xml:space="preserve"> y otro de 47, XYY</w:t>
      </w:r>
      <w:r w:rsidR="00D459D8" w:rsidRPr="00017FC0">
        <w:rPr>
          <w:rFonts w:ascii="Verdana" w:hAnsi="Verdana"/>
          <w:sz w:val="22"/>
        </w:rPr>
        <w:t xml:space="preserve">. </w:t>
      </w:r>
      <w:r w:rsidR="00D459D8" w:rsidRPr="00017FC0">
        <w:rPr>
          <w:rFonts w:ascii="Verdana" w:eastAsia="Calibri" w:hAnsi="Verdana" w:cs="Times New Roman"/>
          <w:sz w:val="22"/>
        </w:rPr>
        <w:t xml:space="preserve">Entre los individuos que presentaron alteraciones estructurales, </w:t>
      </w:r>
      <w:r w:rsidR="000045D2" w:rsidRPr="00017FC0">
        <w:rPr>
          <w:rFonts w:ascii="Verdana" w:eastAsia="Calibri" w:hAnsi="Verdana" w:cs="Times New Roman"/>
          <w:sz w:val="22"/>
        </w:rPr>
        <w:t>pu</w:t>
      </w:r>
      <w:r w:rsidR="00D459D8" w:rsidRPr="00017FC0">
        <w:rPr>
          <w:rFonts w:ascii="Verdana" w:eastAsia="Calibri" w:hAnsi="Verdana" w:cs="Times New Roman"/>
          <w:sz w:val="22"/>
        </w:rPr>
        <w:t>do observar un porcentaje mayor en los que tienen alteraciones aparentemente balanceadas: translocaciones 33 % e inversiones 22 %</w:t>
      </w:r>
      <w:r w:rsidR="00734D02" w:rsidRPr="00017FC0">
        <w:rPr>
          <w:rFonts w:ascii="Verdana" w:hAnsi="Verdana"/>
          <w:sz w:val="22"/>
        </w:rPr>
        <w:t>, constituyen otros datos de interés aportados por este autor</w:t>
      </w:r>
      <w:r w:rsidR="000168C1" w:rsidRPr="00017FC0">
        <w:rPr>
          <w:rFonts w:ascii="Verdana" w:hAnsi="Verdana"/>
          <w:sz w:val="22"/>
        </w:rPr>
        <w:t xml:space="preserve">. </w:t>
      </w:r>
      <w:r w:rsidR="000168C1" w:rsidRPr="00017FC0">
        <w:rPr>
          <w:rFonts w:ascii="Verdana" w:hAnsi="Verdana"/>
          <w:sz w:val="22"/>
          <w:vertAlign w:val="superscript"/>
        </w:rPr>
        <w:t>4</w:t>
      </w:r>
    </w:p>
    <w:p w:rsidR="00D559E4" w:rsidRPr="00017FC0" w:rsidRDefault="0068413E"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 xml:space="preserve">Por otra parte Díaz et al., </w:t>
      </w:r>
      <w:r w:rsidRPr="00017FC0">
        <w:rPr>
          <w:rFonts w:ascii="Verdana" w:eastAsia="Calibri" w:hAnsi="Verdana" w:cs="Times New Roman"/>
          <w:sz w:val="22"/>
          <w:vertAlign w:val="superscript"/>
        </w:rPr>
        <w:t xml:space="preserve">7 </w:t>
      </w:r>
      <w:r w:rsidRPr="00017FC0">
        <w:rPr>
          <w:rFonts w:ascii="Verdana" w:eastAsia="Calibri" w:hAnsi="Verdana" w:cs="Times New Roman"/>
          <w:sz w:val="22"/>
        </w:rPr>
        <w:t>en investigación realizada en Cienfuegos Cuba, describe que d</w:t>
      </w:r>
      <w:r w:rsidR="00D559E4" w:rsidRPr="00017FC0">
        <w:rPr>
          <w:rFonts w:ascii="Verdana" w:eastAsia="Calibri" w:hAnsi="Verdana" w:cs="Times New Roman"/>
          <w:sz w:val="22"/>
        </w:rPr>
        <w:t>e los 73 casos positivos y sanos portadores detectados prenatalmente, el 76,71 % presentó aberraciones numéricas y en el 23,29 % fueron encontradas aberr</w:t>
      </w:r>
      <w:r w:rsidR="00734D02" w:rsidRPr="00017FC0">
        <w:rPr>
          <w:rFonts w:ascii="Verdana" w:eastAsia="Calibri" w:hAnsi="Verdana" w:cs="Times New Roman"/>
          <w:sz w:val="22"/>
        </w:rPr>
        <w:t>aciones estructurales</w:t>
      </w:r>
      <w:r w:rsidR="00D559E4" w:rsidRPr="00017FC0">
        <w:rPr>
          <w:rFonts w:ascii="Verdana" w:eastAsia="Calibri" w:hAnsi="Verdana" w:cs="Times New Roman"/>
          <w:sz w:val="22"/>
        </w:rPr>
        <w:t>. De los 17 casos de aberraciones estructurales, 13 fueron translocaciones cromosómicas, (balanceadas y no balanceadas).</w:t>
      </w:r>
    </w:p>
    <w:p w:rsidR="0059792D" w:rsidRPr="00017FC0" w:rsidRDefault="0059792D" w:rsidP="00017FC0">
      <w:pPr>
        <w:spacing w:after="160" w:line="259" w:lineRule="auto"/>
        <w:jc w:val="both"/>
        <w:rPr>
          <w:rFonts w:ascii="Verdana" w:eastAsia="Calibri" w:hAnsi="Verdana" w:cs="Times New Roman"/>
          <w:sz w:val="22"/>
          <w:vertAlign w:val="superscript"/>
        </w:rPr>
      </w:pPr>
      <w:r w:rsidRPr="00017FC0">
        <w:rPr>
          <w:rFonts w:ascii="Verdana" w:eastAsia="Calibri" w:hAnsi="Verdana" w:cs="Times New Roman"/>
          <w:sz w:val="22"/>
        </w:rPr>
        <w:t xml:space="preserve">La trisomía 21, llamada comúnmente síndrome Down, es la aneuploidía más común a nivel mundial y la principal causa de discapacidad cognitiva de origen genético. Se puede presentar secundaria a translocación robertsoniana, mosaicismo y trisomía parcial. </w:t>
      </w:r>
      <w:r w:rsidR="00832471" w:rsidRPr="00017FC0">
        <w:rPr>
          <w:rFonts w:ascii="Verdana" w:eastAsia="Calibri" w:hAnsi="Verdana" w:cs="Times New Roman"/>
          <w:sz w:val="22"/>
          <w:vertAlign w:val="superscript"/>
        </w:rPr>
        <w:t>11</w:t>
      </w:r>
    </w:p>
    <w:p w:rsidR="00AB35B2" w:rsidRPr="00017FC0" w:rsidRDefault="00AB35B2" w:rsidP="00017FC0">
      <w:pPr>
        <w:spacing w:after="160" w:line="259" w:lineRule="auto"/>
        <w:jc w:val="both"/>
        <w:rPr>
          <w:rFonts w:ascii="Verdana" w:eastAsia="Calibri" w:hAnsi="Verdana" w:cs="Times New Roman"/>
          <w:sz w:val="22"/>
          <w:vertAlign w:val="superscript"/>
        </w:rPr>
      </w:pPr>
      <w:r w:rsidRPr="00017FC0">
        <w:rPr>
          <w:rFonts w:ascii="Verdana" w:eastAsia="Calibri" w:hAnsi="Verdana" w:cs="Times New Roman"/>
          <w:sz w:val="22"/>
        </w:rPr>
        <w:t xml:space="preserve">La Organización Mundial de la Salud estima una prevalencia mundial de 1 en cada 1000 recién nacidos vivos; cifras que pueden variar en dependencia de factores socioculturales, como el acceso al diagnóstico prenatal y la interrupción legal del embarazo. </w:t>
      </w:r>
      <w:r w:rsidR="00832471" w:rsidRPr="00017FC0">
        <w:rPr>
          <w:rFonts w:ascii="Verdana" w:eastAsia="Calibri" w:hAnsi="Verdana" w:cs="Times New Roman"/>
          <w:sz w:val="22"/>
          <w:vertAlign w:val="superscript"/>
        </w:rPr>
        <w:t>11</w:t>
      </w:r>
    </w:p>
    <w:p w:rsidR="00AB35B2" w:rsidRPr="00017FC0" w:rsidRDefault="00AB35B2" w:rsidP="00017FC0">
      <w:pPr>
        <w:spacing w:after="160" w:line="259" w:lineRule="auto"/>
        <w:jc w:val="both"/>
        <w:rPr>
          <w:rFonts w:ascii="Verdana" w:eastAsia="Calibri" w:hAnsi="Verdana" w:cs="Times New Roman"/>
          <w:sz w:val="22"/>
          <w:vertAlign w:val="superscript"/>
        </w:rPr>
      </w:pPr>
      <w:r w:rsidRPr="00017FC0">
        <w:rPr>
          <w:rFonts w:ascii="Verdana" w:eastAsia="Calibri" w:hAnsi="Verdana" w:cs="Times New Roman"/>
          <w:sz w:val="22"/>
        </w:rPr>
        <w:t xml:space="preserve">En Cuba el síndrome Down es la causa congénita más común de retardo mental grave, con una frecuencia de presentación de 0,9/1000 nacidos vivos, lo que justifica la búsqueda constante de métodos más sensibles de diagnóstico prenatal. </w:t>
      </w:r>
      <w:r w:rsidR="00832471" w:rsidRPr="00017FC0">
        <w:rPr>
          <w:rFonts w:ascii="Verdana" w:eastAsia="Calibri" w:hAnsi="Verdana" w:cs="Times New Roman"/>
          <w:sz w:val="22"/>
          <w:vertAlign w:val="superscript"/>
        </w:rPr>
        <w:t>11</w:t>
      </w:r>
    </w:p>
    <w:p w:rsidR="006C4B89" w:rsidRPr="00017FC0" w:rsidRDefault="006C4B89" w:rsidP="00017FC0">
      <w:pPr>
        <w:spacing w:after="160" w:line="259" w:lineRule="auto"/>
        <w:jc w:val="both"/>
        <w:rPr>
          <w:rFonts w:ascii="Verdana" w:eastAsia="Calibri" w:hAnsi="Verdana" w:cs="Times New Roman"/>
          <w:sz w:val="22"/>
          <w:vertAlign w:val="superscript"/>
        </w:rPr>
      </w:pPr>
      <w:r w:rsidRPr="00017FC0">
        <w:rPr>
          <w:rFonts w:ascii="Verdana" w:eastAsia="Calibri" w:hAnsi="Verdana" w:cs="Times New Roman"/>
          <w:sz w:val="22"/>
        </w:rPr>
        <w:t xml:space="preserve">El síndrome de Edwards o síndrome de trisomía 18 es un trastorno cromosómico autosómico que se caracteriza por la presencia de un cromosoma 18 extra, completo, parcial o en mosaico. La prevalencia de esta trisomía en recién nacidos se calcula entre 1 en 6.000 a 1 en 8.000, y es la segunda alteración cromosómica autosómica en frecuencia después de la trisomía 21. </w:t>
      </w:r>
      <w:r w:rsidR="00B830B1" w:rsidRPr="00017FC0">
        <w:rPr>
          <w:rFonts w:ascii="Verdana" w:eastAsia="Calibri" w:hAnsi="Verdana" w:cs="Times New Roman"/>
          <w:sz w:val="22"/>
          <w:vertAlign w:val="superscript"/>
        </w:rPr>
        <w:t>12</w:t>
      </w:r>
    </w:p>
    <w:p w:rsidR="00522FCA" w:rsidRPr="00017FC0" w:rsidRDefault="00522FCA"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 xml:space="preserve">Al analizar los factores de riesgo en las enfermedades genéticas </w:t>
      </w:r>
      <w:r w:rsidR="00FB3B50" w:rsidRPr="00017FC0">
        <w:rPr>
          <w:rFonts w:ascii="Verdana" w:eastAsia="Calibri" w:hAnsi="Verdana" w:cs="Times New Roman"/>
          <w:sz w:val="22"/>
        </w:rPr>
        <w:t>se ha planteado</w:t>
      </w:r>
      <w:r w:rsidRPr="00017FC0">
        <w:rPr>
          <w:rFonts w:ascii="Verdana" w:eastAsia="Calibri" w:hAnsi="Verdana" w:cs="Times New Roman"/>
          <w:sz w:val="22"/>
        </w:rPr>
        <w:t xml:space="preserve"> que a medida que la edad materna aumenta, la tasa </w:t>
      </w:r>
      <w:r w:rsidR="00286E06" w:rsidRPr="00017FC0">
        <w:rPr>
          <w:rFonts w:ascii="Verdana" w:eastAsia="Calibri" w:hAnsi="Verdana" w:cs="Times New Roman"/>
          <w:sz w:val="22"/>
        </w:rPr>
        <w:t xml:space="preserve">de </w:t>
      </w:r>
      <w:r w:rsidRPr="00017FC0">
        <w:rPr>
          <w:rFonts w:ascii="Verdana" w:eastAsia="Calibri" w:hAnsi="Verdana" w:cs="Times New Roman"/>
          <w:sz w:val="22"/>
        </w:rPr>
        <w:t xml:space="preserve">fertilidad disminuye y la tasa de abortos espontáneos aumenta. En ese mismo sentido se observa que el riesgo de anomalías cromosómicas es mayor a </w:t>
      </w:r>
      <w:r w:rsidRPr="00017FC0">
        <w:rPr>
          <w:rFonts w:ascii="Verdana" w:eastAsia="Calibri" w:hAnsi="Verdana" w:cs="Times New Roman"/>
          <w:sz w:val="22"/>
        </w:rPr>
        <w:lastRenderedPageBreak/>
        <w:t>partir de los 35 años de edad, que explica el porcentaje de abortos debido a malformaciones graves.</w:t>
      </w:r>
      <w:r w:rsidR="00BD08F8" w:rsidRPr="00017FC0">
        <w:rPr>
          <w:rFonts w:ascii="Verdana" w:eastAsia="Calibri" w:hAnsi="Verdana" w:cs="Times New Roman"/>
          <w:sz w:val="22"/>
        </w:rPr>
        <w:t xml:space="preserve"> </w:t>
      </w:r>
      <w:r w:rsidR="00BD08F8" w:rsidRPr="00017FC0">
        <w:rPr>
          <w:rFonts w:ascii="Verdana" w:eastAsia="Calibri" w:hAnsi="Verdana" w:cs="Times New Roman"/>
          <w:sz w:val="22"/>
          <w:vertAlign w:val="superscript"/>
        </w:rPr>
        <w:t>13</w:t>
      </w:r>
    </w:p>
    <w:p w:rsidR="006C781E" w:rsidRPr="00017FC0" w:rsidRDefault="00FB3B50"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Mora et al.,</w:t>
      </w:r>
      <w:r w:rsidR="00003001" w:rsidRPr="00017FC0">
        <w:rPr>
          <w:rFonts w:ascii="Verdana" w:eastAsia="Calibri" w:hAnsi="Verdana" w:cs="Times New Roman"/>
          <w:sz w:val="22"/>
        </w:rPr>
        <w:t xml:space="preserve"> </w:t>
      </w:r>
      <w:r w:rsidR="00003001" w:rsidRPr="00017FC0">
        <w:rPr>
          <w:rFonts w:ascii="Verdana" w:eastAsia="Calibri" w:hAnsi="Verdana" w:cs="Times New Roman"/>
          <w:sz w:val="22"/>
          <w:vertAlign w:val="superscript"/>
        </w:rPr>
        <w:t>10</w:t>
      </w:r>
      <w:r w:rsidRPr="00017FC0">
        <w:rPr>
          <w:rFonts w:ascii="Verdana" w:eastAsia="Calibri" w:hAnsi="Verdana" w:cs="Times New Roman"/>
          <w:sz w:val="22"/>
        </w:rPr>
        <w:t xml:space="preserve"> </w:t>
      </w:r>
      <w:r w:rsidR="00F73ED5" w:rsidRPr="00017FC0">
        <w:rPr>
          <w:rFonts w:ascii="Verdana" w:eastAsia="Calibri" w:hAnsi="Verdana" w:cs="Times New Roman"/>
          <w:sz w:val="22"/>
        </w:rPr>
        <w:t xml:space="preserve">en investigación realizada para estudio de anomalías cromosómica en abortos espontáneos evidenció el aumento de la proporción de cariotipos anormales con el aumento de la edad. </w:t>
      </w:r>
      <w:r w:rsidR="006C781E" w:rsidRPr="00017FC0">
        <w:rPr>
          <w:rFonts w:ascii="Verdana" w:eastAsia="Calibri" w:hAnsi="Verdana" w:cs="Times New Roman"/>
          <w:sz w:val="22"/>
        </w:rPr>
        <w:t>Por lo cual asume que la variable cariotipo anormal no es independiente de la variable edad materna.</w:t>
      </w:r>
      <w:r w:rsidR="00A31857" w:rsidRPr="00017FC0">
        <w:rPr>
          <w:rFonts w:ascii="Verdana" w:eastAsia="Calibri" w:hAnsi="Verdana" w:cs="Times New Roman"/>
          <w:sz w:val="22"/>
        </w:rPr>
        <w:t xml:space="preserve"> </w:t>
      </w:r>
      <w:r w:rsidR="00A31857" w:rsidRPr="00017FC0">
        <w:rPr>
          <w:rFonts w:ascii="Verdana" w:eastAsia="Calibri" w:hAnsi="Verdana" w:cs="Times New Roman"/>
          <w:sz w:val="22"/>
          <w:vertAlign w:val="superscript"/>
        </w:rPr>
        <w:t>10</w:t>
      </w:r>
    </w:p>
    <w:p w:rsidR="006C781E" w:rsidRPr="00017FC0" w:rsidRDefault="006C781E"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Otro aspecto importante que manifiesta Mora et al.,</w:t>
      </w:r>
      <w:r w:rsidR="00003001" w:rsidRPr="00017FC0">
        <w:rPr>
          <w:rFonts w:ascii="Verdana" w:eastAsia="Calibri" w:hAnsi="Verdana" w:cs="Times New Roman"/>
          <w:sz w:val="22"/>
        </w:rPr>
        <w:t xml:space="preserve"> </w:t>
      </w:r>
      <w:r w:rsidR="00003001" w:rsidRPr="00017FC0">
        <w:rPr>
          <w:rFonts w:ascii="Verdana" w:eastAsia="Calibri" w:hAnsi="Verdana" w:cs="Times New Roman"/>
          <w:sz w:val="22"/>
          <w:vertAlign w:val="superscript"/>
        </w:rPr>
        <w:t>10</w:t>
      </w:r>
      <w:r w:rsidR="00AF7DCB" w:rsidRPr="00017FC0">
        <w:rPr>
          <w:rFonts w:ascii="Verdana" w:eastAsia="Calibri" w:hAnsi="Verdana" w:cs="Times New Roman"/>
          <w:sz w:val="22"/>
        </w:rPr>
        <w:t xml:space="preserve"> es el análisis de la edad gestacional, se evidenció no independencia entre la variable cariotipo normal y anormal con un aumento de la frecuencia de cariotipos anormales a menor edad gestacional.</w:t>
      </w:r>
      <w:r w:rsidR="00A31857" w:rsidRPr="00017FC0">
        <w:rPr>
          <w:rFonts w:ascii="Verdana" w:eastAsia="Calibri" w:hAnsi="Verdana" w:cs="Times New Roman"/>
          <w:sz w:val="22"/>
        </w:rPr>
        <w:t xml:space="preserve"> </w:t>
      </w:r>
      <w:r w:rsidR="00A31857" w:rsidRPr="00017FC0">
        <w:rPr>
          <w:rFonts w:ascii="Verdana" w:eastAsia="Calibri" w:hAnsi="Verdana" w:cs="Times New Roman"/>
          <w:sz w:val="22"/>
          <w:vertAlign w:val="superscript"/>
        </w:rPr>
        <w:t>10</w:t>
      </w:r>
    </w:p>
    <w:p w:rsidR="0024194D" w:rsidRPr="00017FC0" w:rsidRDefault="0024194D" w:rsidP="00017FC0">
      <w:pPr>
        <w:spacing w:after="160" w:line="259" w:lineRule="auto"/>
        <w:jc w:val="both"/>
        <w:rPr>
          <w:rFonts w:ascii="Verdana" w:eastAsia="Calibri" w:hAnsi="Verdana" w:cs="Times New Roman"/>
          <w:sz w:val="22"/>
          <w:vertAlign w:val="superscript"/>
        </w:rPr>
      </w:pPr>
      <w:r w:rsidRPr="00017FC0">
        <w:rPr>
          <w:rFonts w:ascii="Verdana" w:eastAsia="Calibri" w:hAnsi="Verdana" w:cs="Times New Roman"/>
          <w:sz w:val="22"/>
        </w:rPr>
        <w:t>Investigaciones recientes mostraron un aumento de la prevalencia general de trisomía 18 en los últimos 20 años debido al aumento de la edad materna</w:t>
      </w:r>
      <w:r w:rsidR="00CD55E1" w:rsidRPr="00017FC0">
        <w:rPr>
          <w:rFonts w:ascii="Verdana" w:eastAsia="Calibri" w:hAnsi="Verdana" w:cs="Times New Roman"/>
          <w:sz w:val="22"/>
        </w:rPr>
        <w:t>.</w:t>
      </w:r>
      <w:r w:rsidRPr="00017FC0">
        <w:rPr>
          <w:rFonts w:ascii="Verdana" w:eastAsia="Calibri" w:hAnsi="Verdana" w:cs="Times New Roman"/>
          <w:sz w:val="22"/>
          <w:vertAlign w:val="superscript"/>
        </w:rPr>
        <w:t xml:space="preserve"> </w:t>
      </w:r>
      <w:r w:rsidRPr="00017FC0">
        <w:rPr>
          <w:rFonts w:ascii="Verdana" w:eastAsia="Calibri" w:hAnsi="Verdana" w:cs="Times New Roman"/>
          <w:sz w:val="22"/>
        </w:rPr>
        <w:t xml:space="preserve">Su incidencia depende del diagnóstico prenatal. Cualquier mujer presenta el riesgo de tener un niño con esta anormalidad. La edad materna avanzada está relacionada con frecuencia con la incidencia de esta condición. </w:t>
      </w:r>
      <w:r w:rsidR="00663C1E" w:rsidRPr="00017FC0">
        <w:rPr>
          <w:rFonts w:ascii="Verdana" w:eastAsia="Calibri" w:hAnsi="Verdana" w:cs="Times New Roman"/>
          <w:sz w:val="22"/>
          <w:vertAlign w:val="superscript"/>
        </w:rPr>
        <w:t>14</w:t>
      </w:r>
    </w:p>
    <w:p w:rsidR="00541D62" w:rsidRPr="00017FC0" w:rsidRDefault="00541D62"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Se ha relacionado al síndrome Down con factores de riesgo tan variados como agentes genéticos, físicos, químicos, inmunológicos, infecciosos</w:t>
      </w:r>
      <w:r w:rsidR="0091088A" w:rsidRPr="00017FC0">
        <w:rPr>
          <w:rFonts w:ascii="Verdana" w:eastAsia="Calibri" w:hAnsi="Verdana" w:cs="Times New Roman"/>
          <w:sz w:val="22"/>
        </w:rPr>
        <w:t xml:space="preserve">, </w:t>
      </w:r>
      <w:r w:rsidR="00286E06" w:rsidRPr="00017FC0">
        <w:rPr>
          <w:rFonts w:ascii="Verdana" w:eastAsia="Calibri" w:hAnsi="Verdana" w:cs="Times New Roman"/>
          <w:sz w:val="22"/>
        </w:rPr>
        <w:t>fisiológicos</w:t>
      </w:r>
      <w:r w:rsidRPr="00017FC0">
        <w:rPr>
          <w:rFonts w:ascii="Verdana" w:eastAsia="Calibri" w:hAnsi="Verdana" w:cs="Times New Roman"/>
          <w:sz w:val="22"/>
        </w:rPr>
        <w:t xml:space="preserve"> y sociales, pero solamente tres se consideran en la actualidad como probables agentes etiológicos de la trisomía 21: ellos son anomalías cromosómicas de los padres capaces de inducir una no-disyunción meiótica secundaria, la exposición precigótica materna a radiaciones ionizantes y la edad materna avanzada. Las dos primeras, si bien son importantes, son responsables, en la práctica, de una minoría de casos de síndrome Down, mientras que se ha demostrado que existe una estrecha relación entre esta afección y la edad materna. </w:t>
      </w:r>
      <w:r w:rsidR="00F50001" w:rsidRPr="00017FC0">
        <w:rPr>
          <w:rFonts w:ascii="Verdana" w:eastAsia="Calibri" w:hAnsi="Verdana" w:cs="Times New Roman"/>
          <w:sz w:val="22"/>
          <w:vertAlign w:val="superscript"/>
        </w:rPr>
        <w:t>11</w:t>
      </w:r>
    </w:p>
    <w:p w:rsidR="00DE7A6F" w:rsidRPr="00017FC0" w:rsidRDefault="00726F57" w:rsidP="00017FC0">
      <w:pPr>
        <w:jc w:val="both"/>
        <w:rPr>
          <w:rFonts w:ascii="Verdana" w:eastAsia="Calibri" w:hAnsi="Verdana" w:cs="Times New Roman"/>
          <w:sz w:val="22"/>
          <w:vertAlign w:val="superscript"/>
        </w:rPr>
      </w:pPr>
      <w:r w:rsidRPr="00017FC0">
        <w:rPr>
          <w:rFonts w:ascii="Verdana" w:eastAsia="Calibri" w:hAnsi="Verdana" w:cs="Times New Roman"/>
          <w:sz w:val="22"/>
        </w:rPr>
        <w:t xml:space="preserve">Entre los factores de riesgo fisiológicos, la edad de la madre es el más importante para la aparición del síndrome, debido a que aumenta el riesgo de formación de aneuploidías en los ovocitos, probablemente por la mayor susceptibilidad de </w:t>
      </w:r>
      <w:r w:rsidR="004F331E">
        <w:rPr>
          <w:rFonts w:ascii="Verdana" w:eastAsia="Calibri" w:hAnsi="Verdana" w:cs="Times New Roman"/>
          <w:sz w:val="22"/>
        </w:rPr>
        <w:t>estos</w:t>
      </w:r>
      <w:r w:rsidRPr="00017FC0">
        <w:rPr>
          <w:rFonts w:ascii="Verdana" w:eastAsia="Calibri" w:hAnsi="Verdana" w:cs="Times New Roman"/>
          <w:sz w:val="22"/>
        </w:rPr>
        <w:t xml:space="preserve"> a los efectos del envejecimiento y a la acumulación de sustancias tóxicas que pueden, a futuro, causar una trisomía, en comparación con los espermatozoides que presentan un reca</w:t>
      </w:r>
      <w:r w:rsidR="00DE7A6F" w:rsidRPr="00017FC0">
        <w:rPr>
          <w:rFonts w:ascii="Verdana" w:eastAsia="Calibri" w:hAnsi="Verdana" w:cs="Times New Roman"/>
          <w:sz w:val="22"/>
        </w:rPr>
        <w:t xml:space="preserve">mbio celular de manera cíclica. </w:t>
      </w:r>
      <w:r w:rsidR="00DE7A6F" w:rsidRPr="00017FC0">
        <w:rPr>
          <w:rFonts w:ascii="Verdana" w:eastAsia="Calibri" w:hAnsi="Verdana" w:cs="Times New Roman"/>
          <w:sz w:val="22"/>
          <w:vertAlign w:val="superscript"/>
        </w:rPr>
        <w:t>15</w:t>
      </w:r>
    </w:p>
    <w:p w:rsidR="00726F57" w:rsidRPr="00017FC0" w:rsidRDefault="00726F57" w:rsidP="00017FC0">
      <w:pPr>
        <w:jc w:val="both"/>
        <w:rPr>
          <w:rFonts w:ascii="Verdana" w:eastAsia="Calibri" w:hAnsi="Verdana" w:cs="Times New Roman"/>
          <w:sz w:val="22"/>
          <w:vertAlign w:val="superscript"/>
        </w:rPr>
      </w:pPr>
      <w:r w:rsidRPr="00017FC0">
        <w:rPr>
          <w:rFonts w:ascii="Verdana" w:eastAsia="Calibri" w:hAnsi="Verdana" w:cs="Times New Roman"/>
          <w:sz w:val="22"/>
        </w:rPr>
        <w:t>En otros casos, si la madre fue concebida a una edad avanzada, puede aumentar la probabilidad de dar origen a una progenie con síndrome  Down, debido a que los ovarios de la abuela podrían no tener éxito en la producción de las proteínas asociadas al huso mitótico acromático, que son los factores responsables del reposo del o</w:t>
      </w:r>
      <w:r w:rsidR="004F331E">
        <w:rPr>
          <w:rFonts w:ascii="Verdana" w:eastAsia="Calibri" w:hAnsi="Verdana" w:cs="Times New Roman"/>
          <w:sz w:val="22"/>
        </w:rPr>
        <w:t>v</w:t>
      </w:r>
      <w:r w:rsidRPr="00017FC0">
        <w:rPr>
          <w:rFonts w:ascii="Verdana" w:eastAsia="Calibri" w:hAnsi="Verdana" w:cs="Times New Roman"/>
          <w:sz w:val="22"/>
        </w:rPr>
        <w:t xml:space="preserve">ocito, de las proteínas que se unen al quiasma y de las enzimas de reparación del ADN, entre otros factores que se requieren para una segregación meiótica correcta en las células germinales de la madre, lo que desencadenaría en ella, posteriormente, la concepción de un feto con presencia de una trisomía 21. </w:t>
      </w:r>
      <w:r w:rsidR="00F50001" w:rsidRPr="00017FC0">
        <w:rPr>
          <w:rFonts w:ascii="Verdana" w:eastAsia="Calibri" w:hAnsi="Verdana" w:cs="Times New Roman"/>
          <w:sz w:val="22"/>
          <w:vertAlign w:val="superscript"/>
        </w:rPr>
        <w:t>15</w:t>
      </w:r>
    </w:p>
    <w:p w:rsidR="003457E2" w:rsidRPr="00017FC0" w:rsidRDefault="003457E2" w:rsidP="00017FC0">
      <w:pPr>
        <w:spacing w:after="160" w:line="259" w:lineRule="auto"/>
        <w:jc w:val="both"/>
        <w:rPr>
          <w:rFonts w:ascii="Verdana" w:eastAsia="Calibri" w:hAnsi="Verdana" w:cs="Arial"/>
          <w:sz w:val="22"/>
          <w:vertAlign w:val="superscript"/>
        </w:rPr>
      </w:pPr>
      <w:r w:rsidRPr="00017FC0">
        <w:rPr>
          <w:rFonts w:ascii="Verdana" w:eastAsia="Calibri" w:hAnsi="Verdana" w:cs="Arial"/>
          <w:sz w:val="22"/>
        </w:rPr>
        <w:lastRenderedPageBreak/>
        <w:t xml:space="preserve">Las enfermedades cromosómicas son producidas por cambios en la cantidad o estructura de los cromosomas que alteran el equilibrio del genoma, estos pueden ser heredados a partir de inversiones o translocaciones cromosómicas balanceadas que están presentes en alguno de los padres, pueden ser de novo, producto de una nueva mutación ocurrida en las células germinales, o en el período poscigótico y adquiridos en los casos de la leucemia y el cáncer, está demostrado que su riesgo aumenta con las edades extremas de la vida, la amniocentesis constituye un importante medio de diagnóstico prenatal citogenético. </w:t>
      </w:r>
      <w:r w:rsidRPr="00017FC0">
        <w:rPr>
          <w:rFonts w:ascii="Verdana" w:eastAsia="Calibri" w:hAnsi="Verdana" w:cs="Arial"/>
          <w:sz w:val="22"/>
          <w:vertAlign w:val="superscript"/>
        </w:rPr>
        <w:t>3</w:t>
      </w:r>
    </w:p>
    <w:p w:rsidR="00AC6D59" w:rsidRPr="00017FC0" w:rsidRDefault="00AC6D59"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 xml:space="preserve">Abarca et al., </w:t>
      </w:r>
      <w:r w:rsidRPr="00017FC0">
        <w:rPr>
          <w:rFonts w:ascii="Verdana" w:eastAsia="Calibri" w:hAnsi="Verdana" w:cs="Times New Roman"/>
          <w:sz w:val="22"/>
          <w:vertAlign w:val="superscript"/>
        </w:rPr>
        <w:t>3</w:t>
      </w:r>
      <w:r w:rsidRPr="00017FC0">
        <w:rPr>
          <w:rFonts w:ascii="Verdana" w:eastAsia="Calibri" w:hAnsi="Verdana" w:cs="Times New Roman"/>
          <w:sz w:val="22"/>
        </w:rPr>
        <w:t xml:space="preserve"> en su estudio Identificación de aberraciones cromosómicas en una población infantil costarricense con discapacidad intelectual idiopática, encontró incidencia en los casos estudiados que la alteración genética fue de novo.</w:t>
      </w: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8F44E8" w:rsidRDefault="008F44E8" w:rsidP="00017FC0">
      <w:pPr>
        <w:jc w:val="both"/>
        <w:rPr>
          <w:rFonts w:ascii="Verdana" w:hAnsi="Verdana"/>
          <w:b/>
          <w:sz w:val="22"/>
        </w:rPr>
      </w:pPr>
    </w:p>
    <w:p w:rsidR="003724E9" w:rsidRPr="00017FC0" w:rsidRDefault="00EE0AE2" w:rsidP="00017FC0">
      <w:pPr>
        <w:jc w:val="both"/>
        <w:rPr>
          <w:rFonts w:ascii="Verdana" w:hAnsi="Verdana"/>
          <w:b/>
          <w:sz w:val="22"/>
        </w:rPr>
      </w:pPr>
      <w:r w:rsidRPr="00017FC0">
        <w:rPr>
          <w:rFonts w:ascii="Verdana" w:hAnsi="Verdana"/>
          <w:b/>
          <w:sz w:val="22"/>
        </w:rPr>
        <w:lastRenderedPageBreak/>
        <w:t>Conclusiones</w:t>
      </w:r>
    </w:p>
    <w:p w:rsidR="0061633F" w:rsidRPr="00017FC0" w:rsidRDefault="0061633F"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w:t>
      </w:r>
      <w:r w:rsidRPr="00017FC0">
        <w:rPr>
          <w:rFonts w:ascii="Verdana" w:eastAsia="Calibri" w:hAnsi="Verdana" w:cs="Times New Roman"/>
          <w:sz w:val="22"/>
        </w:rPr>
        <w:tab/>
        <w:t>Los municipios con los mayores por cientos de aberraciones cromosómicas fueron Camagüey, Nuevitas y Santa Cruz del Sur, en ese orden.</w:t>
      </w:r>
    </w:p>
    <w:p w:rsidR="0061633F" w:rsidRPr="00017FC0" w:rsidRDefault="0061633F"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w:t>
      </w:r>
      <w:r w:rsidRPr="00017FC0">
        <w:rPr>
          <w:rFonts w:ascii="Verdana" w:eastAsia="Calibri" w:hAnsi="Verdana" w:cs="Times New Roman"/>
          <w:sz w:val="22"/>
        </w:rPr>
        <w:tab/>
        <w:t>Existió predominio de las aberraciones cromosómicas numéricas, destacándose el síndrome Down con casi la mitad de los casos, seguido de las aberraciones estructurales y del mosaicismo.</w:t>
      </w:r>
    </w:p>
    <w:p w:rsidR="0061633F" w:rsidRPr="00017FC0" w:rsidRDefault="0061633F"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w:t>
      </w:r>
      <w:r w:rsidRPr="00017FC0">
        <w:rPr>
          <w:rFonts w:ascii="Verdana" w:eastAsia="Calibri" w:hAnsi="Verdana" w:cs="Times New Roman"/>
          <w:sz w:val="22"/>
        </w:rPr>
        <w:tab/>
        <w:t>Las mujeres que concibieron embarazos con edad avanzada presentaron las aberraciones cromosómicas con más incidencia.</w:t>
      </w:r>
    </w:p>
    <w:p w:rsidR="00EE0AE2" w:rsidRDefault="0061633F" w:rsidP="00017FC0">
      <w:pPr>
        <w:spacing w:after="160" w:line="259" w:lineRule="auto"/>
        <w:jc w:val="both"/>
        <w:rPr>
          <w:rFonts w:ascii="Verdana" w:eastAsia="Calibri" w:hAnsi="Verdana" w:cs="Times New Roman"/>
          <w:sz w:val="22"/>
        </w:rPr>
      </w:pPr>
      <w:r w:rsidRPr="00017FC0">
        <w:rPr>
          <w:rFonts w:ascii="Verdana" w:eastAsia="Calibri" w:hAnsi="Verdana" w:cs="Times New Roman"/>
          <w:sz w:val="22"/>
        </w:rPr>
        <w:t>•</w:t>
      </w:r>
      <w:r w:rsidRPr="00017FC0">
        <w:rPr>
          <w:rFonts w:ascii="Verdana" w:eastAsia="Calibri" w:hAnsi="Verdana" w:cs="Times New Roman"/>
          <w:sz w:val="22"/>
        </w:rPr>
        <w:tab/>
        <w:t>Los casos nuevos de aberraciones cromosómicas fetales predominaron sobre los heredados.</w:t>
      </w: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Default="008F44E8" w:rsidP="00017FC0">
      <w:pPr>
        <w:spacing w:after="160" w:line="259" w:lineRule="auto"/>
        <w:jc w:val="both"/>
        <w:rPr>
          <w:rFonts w:ascii="Verdana" w:eastAsia="Calibri" w:hAnsi="Verdana" w:cs="Times New Roman"/>
          <w:sz w:val="22"/>
        </w:rPr>
      </w:pPr>
    </w:p>
    <w:p w:rsidR="008F44E8" w:rsidRPr="00017FC0" w:rsidRDefault="008F44E8" w:rsidP="00017FC0">
      <w:pPr>
        <w:spacing w:after="160" w:line="259" w:lineRule="auto"/>
        <w:jc w:val="both"/>
        <w:rPr>
          <w:rFonts w:ascii="Verdana" w:eastAsia="Calibri" w:hAnsi="Verdana" w:cs="Times New Roman"/>
          <w:sz w:val="22"/>
        </w:rPr>
      </w:pPr>
    </w:p>
    <w:p w:rsidR="001C153E" w:rsidRPr="00017FC0" w:rsidRDefault="001C153E" w:rsidP="00017FC0">
      <w:pPr>
        <w:spacing w:after="160" w:line="259" w:lineRule="auto"/>
        <w:jc w:val="both"/>
        <w:rPr>
          <w:rFonts w:ascii="Verdana" w:eastAsia="Calibri" w:hAnsi="Verdana" w:cs="Times New Roman"/>
          <w:b/>
          <w:sz w:val="22"/>
        </w:rPr>
      </w:pPr>
      <w:r w:rsidRPr="00017FC0">
        <w:rPr>
          <w:rFonts w:ascii="Verdana" w:eastAsia="Calibri" w:hAnsi="Verdana" w:cs="Times New Roman"/>
          <w:b/>
          <w:sz w:val="22"/>
        </w:rPr>
        <w:lastRenderedPageBreak/>
        <w:t>Referencias Bibliográficas</w:t>
      </w:r>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Esparza García E, Cárdenas Conejo A, Huicochea Montiel JC, Aráujo Solís MA. Cromosomas, cromosomopatías y su diagnóstico. Rev Mex Pediatr </w:t>
      </w:r>
      <w:r w:rsidRPr="00017FC0">
        <w:rPr>
          <w:rFonts w:ascii="Verdana" w:eastAsia="Calibri" w:hAnsi="Verdana" w:cs="Arial"/>
          <w:sz w:val="22"/>
        </w:rPr>
        <w:t>[Internet]</w:t>
      </w:r>
      <w:r w:rsidRPr="00017FC0">
        <w:rPr>
          <w:rFonts w:ascii="Verdana" w:eastAsia="Calibri" w:hAnsi="Verdana" w:cs="Times New Roman"/>
          <w:sz w:val="22"/>
        </w:rPr>
        <w:t xml:space="preserve"> 2017 </w:t>
      </w:r>
      <w:r w:rsidRPr="00017FC0">
        <w:rPr>
          <w:rFonts w:ascii="Verdana" w:eastAsia="Calibri" w:hAnsi="Verdana" w:cs="Arial"/>
          <w:sz w:val="22"/>
        </w:rPr>
        <w:t>[Citado 20 de noviembre de 2022]</w:t>
      </w:r>
      <w:r w:rsidRPr="00017FC0">
        <w:rPr>
          <w:rFonts w:ascii="Verdana" w:eastAsia="Calibri" w:hAnsi="Verdana" w:cs="Times New Roman"/>
          <w:sz w:val="22"/>
        </w:rPr>
        <w:t xml:space="preserve">; 84(1):30-39. Disponible en: </w:t>
      </w:r>
      <w:hyperlink r:id="rId8" w:history="1">
        <w:r w:rsidRPr="00017FC0">
          <w:rPr>
            <w:rFonts w:ascii="Verdana" w:eastAsia="Calibri" w:hAnsi="Verdana" w:cs="Times New Roman"/>
            <w:color w:val="0563C1"/>
            <w:sz w:val="22"/>
            <w:u w:val="single"/>
          </w:rPr>
          <w:t>https://www.medigraphic.com/pdfs/pediat/sp-2017/sp171g.pdf</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Armas García LE; Gomez Valencia L; García Días AD, Cortes Viayra AC; Leal Soriano K; Salas García R. Calidad de análisis retrospectivo de anomalías cromosómicas de tipo numéricas en pacientes del Hospital Regional de Alta Especialidad del Niño “Dr. Rodolfo Nieto Padrón” (2005-2015).l Patrón de consumo alimentario en población del noreste de México. Revista de Salud Pública y Nutrición. </w:t>
      </w:r>
      <w:r w:rsidRPr="00017FC0">
        <w:rPr>
          <w:rFonts w:ascii="Verdana" w:eastAsia="Calibri" w:hAnsi="Verdana" w:cs="Arial"/>
          <w:sz w:val="22"/>
        </w:rPr>
        <w:t>[Internet].</w:t>
      </w:r>
      <w:r w:rsidRPr="00017FC0">
        <w:rPr>
          <w:rFonts w:ascii="Verdana" w:eastAsia="Calibri" w:hAnsi="Verdana" w:cs="Times New Roman"/>
          <w:sz w:val="22"/>
        </w:rPr>
        <w:t xml:space="preserve"> octubre – diciembre, 2016 </w:t>
      </w:r>
      <w:r w:rsidRPr="00017FC0">
        <w:rPr>
          <w:rFonts w:ascii="Verdana" w:eastAsia="Calibri" w:hAnsi="Verdana" w:cs="Arial"/>
          <w:sz w:val="22"/>
        </w:rPr>
        <w:t xml:space="preserve">[Citado 20 de noviembre de 2022]; </w:t>
      </w:r>
      <w:r w:rsidRPr="00017FC0">
        <w:rPr>
          <w:rFonts w:ascii="Verdana" w:eastAsia="Calibri" w:hAnsi="Verdana" w:cs="Times New Roman"/>
          <w:sz w:val="22"/>
        </w:rPr>
        <w:t xml:space="preserve">15 (4): Disponible en: </w:t>
      </w:r>
      <w:hyperlink r:id="rId9" w:history="1">
        <w:r w:rsidRPr="00017FC0">
          <w:rPr>
            <w:rFonts w:ascii="Verdana" w:eastAsia="Calibri" w:hAnsi="Verdana" w:cs="Times New Roman"/>
            <w:color w:val="0563C1"/>
            <w:sz w:val="22"/>
            <w:u w:val="single"/>
          </w:rPr>
          <w:t>https://respyn.uanl.mx/index.php/respyn/article/download/18/18/35</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Abarca Ramírez, M., Morales Montero, F., Vidas-Smith, R. Castro Volio I. Identificación de aberraciones cromosómicas en una población infantil costarricense con discapacidad intelectual idiopática. Rev Población y Salud en Mesoamérica. </w:t>
      </w:r>
      <w:r w:rsidRPr="00017FC0">
        <w:rPr>
          <w:rFonts w:ascii="Verdana" w:eastAsia="Calibri" w:hAnsi="Verdana" w:cs="Arial"/>
          <w:sz w:val="22"/>
        </w:rPr>
        <w:t>[Internet]</w:t>
      </w:r>
      <w:r w:rsidRPr="00017FC0">
        <w:rPr>
          <w:rFonts w:ascii="Verdana" w:eastAsia="Calibri" w:hAnsi="Verdana" w:cs="Times New Roman"/>
          <w:sz w:val="22"/>
        </w:rPr>
        <w:t xml:space="preserve"> 2022 </w:t>
      </w:r>
      <w:r w:rsidRPr="00017FC0">
        <w:rPr>
          <w:rFonts w:ascii="Verdana" w:eastAsia="Calibri" w:hAnsi="Verdana" w:cs="Arial"/>
          <w:sz w:val="22"/>
        </w:rPr>
        <w:t>[Citado 20 de noviembre de 2022]</w:t>
      </w:r>
      <w:r w:rsidRPr="00017FC0">
        <w:rPr>
          <w:rFonts w:ascii="Verdana" w:eastAsia="Calibri" w:hAnsi="Verdana" w:cs="Times New Roman"/>
          <w:sz w:val="22"/>
        </w:rPr>
        <w:t xml:space="preserve">; 19(2). Disponible en: </w:t>
      </w:r>
      <w:hyperlink r:id="rId10" w:history="1">
        <w:r w:rsidRPr="00017FC0">
          <w:rPr>
            <w:rFonts w:ascii="Verdana" w:eastAsia="Calibri" w:hAnsi="Verdana" w:cs="Times New Roman"/>
            <w:color w:val="0563C1"/>
            <w:sz w:val="22"/>
            <w:u w:val="single"/>
          </w:rPr>
          <w:t>https://www.kerwa.ucr.ac.cr/bitstream/handle/10669/85620/Identificaci%C3%B3n%20de%20aberraciones%20cromos%C3%B3micas%20en%20una%20poblaci%C3%B3n%20infantil%20costarricense%20con%20discapacidad%20intelectual%20idiop%C3%A1tica.pdf?sequence=1&amp;isAllowed=y</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Betancor K. Análisis epidemiológico de estudios citogenéticas realizados en la Facultad de Medicina UdelaR. [Tesis en Internet]. Uruguay: Universidad de la República de Uruguay. 2018. [Citado 20 de noviembre de 2022]. 31 p. Disponible en: </w:t>
      </w:r>
      <w:hyperlink r:id="rId11" w:history="1">
        <w:r w:rsidRPr="00017FC0">
          <w:rPr>
            <w:rFonts w:ascii="Verdana" w:eastAsia="Calibri" w:hAnsi="Verdana" w:cs="Times New Roman"/>
            <w:color w:val="0563C1"/>
            <w:sz w:val="22"/>
            <w:u w:val="single"/>
          </w:rPr>
          <w:t>https://www.colibri.udelar.edu.uy/jspui/bitstream/20.500.12008/24537/1/uy24-19256.pdf</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Orive Rodríguez NM, Reyes Reyes E. Impacto del diagnóstico prenatal en la incidencia al nacer de defectos congénitos. Revista Electrónica Dr Zoilo E Marinello Vidaurreta [Internet]. 2016 [Citado 20 de noviembre de 2022]; 41(5): [aprox. 6 p.].Disponible en: </w:t>
      </w:r>
      <w:hyperlink r:id="rId12" w:history="1">
        <w:r w:rsidRPr="00017FC0">
          <w:rPr>
            <w:rFonts w:ascii="Verdana" w:eastAsia="Calibri" w:hAnsi="Verdana" w:cs="Times New Roman"/>
            <w:color w:val="0563C1"/>
            <w:sz w:val="22"/>
            <w:u w:val="single"/>
          </w:rPr>
          <w:t>http://revzoilomarinello.sld.cu/index.php/zmv/article/view/708/pdf_287</w:t>
        </w:r>
      </w:hyperlink>
      <w:r w:rsidRPr="00017FC0">
        <w:rPr>
          <w:rFonts w:ascii="Verdana" w:eastAsia="Calibri" w:hAnsi="Verdana" w:cs="Times New Roman"/>
          <w:sz w:val="22"/>
        </w:rPr>
        <w:t xml:space="preserve"> </w:t>
      </w:r>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lang w:val="es-MX"/>
        </w:rPr>
        <w:t>Martínez de Santelice Cuervo A, Rizo López D, Amor Oruña MT, Fuentes Smith LE. Eficiencia del subprograma de Diagnóstico Prenatal Citogenético en Ciudad de la Habana en el período 2005- 2006. Rev Cubana Genet Comunit. [Internet] 2010 [</w:t>
      </w:r>
      <w:r w:rsidRPr="00017FC0">
        <w:rPr>
          <w:rFonts w:ascii="Verdana" w:eastAsia="Calibri" w:hAnsi="Verdana" w:cs="Times New Roman"/>
          <w:sz w:val="22"/>
        </w:rPr>
        <w:t>Citado 20 de noviembre de 2022</w:t>
      </w:r>
      <w:r w:rsidRPr="00017FC0">
        <w:rPr>
          <w:rFonts w:ascii="Verdana" w:eastAsia="Calibri" w:hAnsi="Verdana" w:cs="Times New Roman"/>
          <w:sz w:val="22"/>
          <w:lang w:val="es-MX"/>
        </w:rPr>
        <w:t xml:space="preserve">]; 4(3): [aprox. 7 p.].Disponible en: </w:t>
      </w:r>
      <w:hyperlink r:id="rId13" w:history="1">
        <w:r w:rsidRPr="00017FC0">
          <w:rPr>
            <w:rFonts w:ascii="Verdana" w:eastAsia="Calibri" w:hAnsi="Verdana" w:cs="Times New Roman"/>
            <w:color w:val="0563C1"/>
            <w:sz w:val="22"/>
            <w:u w:val="single"/>
            <w:lang w:val="es-MX"/>
          </w:rPr>
          <w:t>http://bvs.sld.cu/revistas/rcgc/v4n3/rcgc080310.html</w:t>
        </w:r>
      </w:hyperlink>
      <w:r w:rsidRPr="00017FC0">
        <w:rPr>
          <w:rFonts w:ascii="Verdana" w:eastAsia="Calibri" w:hAnsi="Verdana" w:cs="Times New Roman"/>
          <w:sz w:val="22"/>
          <w:u w:val="single"/>
          <w:lang w:val="es-MX"/>
        </w:rPr>
        <w:t xml:space="preserve"> </w:t>
      </w:r>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Díaz Véliz Jiménez PA; Vidal Hernández B; Pérez Pérez A; Velázquez Martínez T. Detección de translocaciones cromosómicas mediante diagnóstico citogenético. Cienfuegos, 2006-2016. MediSur. </w:t>
      </w:r>
      <w:r w:rsidRPr="00017FC0">
        <w:rPr>
          <w:rFonts w:ascii="Verdana" w:eastAsia="Calibri" w:hAnsi="Verdana" w:cs="Arial"/>
          <w:sz w:val="22"/>
        </w:rPr>
        <w:t>[Internet].</w:t>
      </w:r>
      <w:r w:rsidRPr="00017FC0">
        <w:rPr>
          <w:rFonts w:ascii="Verdana" w:eastAsia="Calibri" w:hAnsi="Verdana" w:cs="Times New Roman"/>
          <w:sz w:val="22"/>
        </w:rPr>
        <w:t xml:space="preserve"> 2017 </w:t>
      </w:r>
      <w:r w:rsidRPr="00017FC0">
        <w:rPr>
          <w:rFonts w:ascii="Verdana" w:eastAsia="Calibri" w:hAnsi="Verdana" w:cs="Arial"/>
          <w:sz w:val="22"/>
        </w:rPr>
        <w:t xml:space="preserve">[Citado 20 de noviembre de 2022]; </w:t>
      </w:r>
      <w:r w:rsidRPr="00017FC0">
        <w:rPr>
          <w:rFonts w:ascii="Verdana" w:eastAsia="Calibri" w:hAnsi="Verdana" w:cs="Times New Roman"/>
          <w:sz w:val="22"/>
        </w:rPr>
        <w:t xml:space="preserve">16 (1): 29-34. Disponible en: </w:t>
      </w:r>
      <w:hyperlink r:id="rId14" w:history="1">
        <w:r w:rsidRPr="00017FC0">
          <w:rPr>
            <w:rFonts w:ascii="Verdana" w:eastAsia="Calibri" w:hAnsi="Verdana" w:cs="Times New Roman"/>
            <w:color w:val="0563C1"/>
            <w:sz w:val="22"/>
            <w:u w:val="single"/>
          </w:rPr>
          <w:t>https://www.redalyc.org/journal/1800/180061480006/180061480006.pdf</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Contreras Castro DT, Luna Barrón B, Taboada López G, Rada Tarifa A, Lafuente Álvarez E. Frecuencia de aberraciones cromosómicas en pacientes del instituto de genética- UMSA período 2011 - 2015. Cuad. - Hosp. Clín. [Internet]. 2017 [citado 2022 Nov 20]; 58( 2 ): 14-19. Disponible en: </w:t>
      </w:r>
      <w:hyperlink r:id="rId15" w:history="1">
        <w:r w:rsidRPr="00017FC0">
          <w:rPr>
            <w:rFonts w:ascii="Verdana" w:eastAsia="Calibri" w:hAnsi="Verdana" w:cs="Times New Roman"/>
            <w:color w:val="0563C1"/>
            <w:sz w:val="22"/>
            <w:u w:val="single"/>
          </w:rPr>
          <w:t>http://www.scielo.org.bo/scielo.php?script=sci_arttext&amp;pid=S1652-67762017000200003&amp;lng=es</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Torres E. Ventajas y limitaciones de la citogenética en la medicina actual. Mem. Inst. Investig. Cienc. Salud [Internet]. 2018 Aug [citado 2022 Nov 20]; 16(2): 107-112. Disponible en: </w:t>
      </w:r>
      <w:hyperlink r:id="rId16" w:history="1">
        <w:r w:rsidRPr="00017FC0">
          <w:rPr>
            <w:rFonts w:ascii="Verdana" w:eastAsia="Calibri" w:hAnsi="Verdana" w:cs="Times New Roman"/>
            <w:color w:val="0563C1"/>
            <w:sz w:val="22"/>
            <w:u w:val="single"/>
          </w:rPr>
          <w:t>http://scielo.iics.una.py/scielo.php?script=sci_arttext&amp;pid=S1812-95282018000200107&amp;lng=en</w:t>
        </w:r>
      </w:hyperlink>
      <w:r w:rsidRPr="00017FC0">
        <w:rPr>
          <w:rFonts w:ascii="Verdana" w:eastAsia="Calibri" w:hAnsi="Verdana" w:cs="Times New Roman"/>
          <w:sz w:val="22"/>
        </w:rPr>
        <w:t xml:space="preserve">.  </w:t>
      </w:r>
      <w:hyperlink r:id="rId17" w:history="1">
        <w:r w:rsidRPr="00017FC0">
          <w:rPr>
            <w:rFonts w:ascii="Verdana" w:eastAsia="Calibri" w:hAnsi="Verdana" w:cs="Times New Roman"/>
            <w:color w:val="0563C1"/>
            <w:sz w:val="22"/>
            <w:u w:val="single"/>
          </w:rPr>
          <w:t>https://doi.org/10.18004/mem.iics/1812-9528/2018.016(02)107-112</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Mora Alferez A P, Paredes D, Rodríguez O, Quispe E, Chavesta F, de Zighelboim EK et al. Anomalías cromosómicas en abortos espontáneos. Rev. peru. ginecol. obstet. [Internet]. 2016 Abr [citado 2022 Nov 20]; 62(2): 141-151. Disponible en: </w:t>
      </w:r>
      <w:hyperlink r:id="rId18" w:history="1">
        <w:r w:rsidRPr="00017FC0">
          <w:rPr>
            <w:rFonts w:ascii="Verdana" w:eastAsia="Calibri" w:hAnsi="Verdana" w:cs="Times New Roman"/>
            <w:color w:val="0563C1"/>
            <w:sz w:val="22"/>
            <w:u w:val="single"/>
          </w:rPr>
          <w:t>http://www.scielo.org.pe/scielo.php?script=sci_arttext&amp;pid=S2304-51322016000200002&amp;lng=es</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Mitjans Hernández D, Hernández González EA, Avila Díaz D. Estudio sobre la trisomía del par 21, Síndrome de Down. Rev Cibamans. </w:t>
      </w:r>
      <w:r w:rsidRPr="00017FC0">
        <w:rPr>
          <w:rFonts w:ascii="Verdana" w:eastAsia="Calibri" w:hAnsi="Verdana" w:cs="Arial"/>
          <w:sz w:val="22"/>
        </w:rPr>
        <w:t>[Internet].</w:t>
      </w:r>
      <w:r w:rsidRPr="00017FC0">
        <w:rPr>
          <w:rFonts w:ascii="Verdana" w:eastAsia="Calibri" w:hAnsi="Verdana" w:cs="Times New Roman"/>
          <w:sz w:val="22"/>
        </w:rPr>
        <w:t xml:space="preserve"> 2021 </w:t>
      </w:r>
      <w:r w:rsidRPr="00017FC0">
        <w:rPr>
          <w:rFonts w:ascii="Verdana" w:eastAsia="Calibri" w:hAnsi="Verdana" w:cs="Arial"/>
          <w:sz w:val="22"/>
        </w:rPr>
        <w:t>[Citado 24 de noviembre de 2022]. Disponible en.</w:t>
      </w:r>
      <w:r w:rsidRPr="00017FC0">
        <w:rPr>
          <w:rFonts w:ascii="Verdana" w:eastAsia="Calibri" w:hAnsi="Verdana" w:cs="Times New Roman"/>
          <w:sz w:val="22"/>
        </w:rPr>
        <w:t xml:space="preserve"> </w:t>
      </w:r>
      <w:hyperlink r:id="rId19" w:history="1">
        <w:r w:rsidRPr="00017FC0">
          <w:rPr>
            <w:rFonts w:ascii="Verdana" w:eastAsia="Calibri" w:hAnsi="Verdana" w:cs="Times New Roman"/>
            <w:color w:val="0563C1"/>
            <w:sz w:val="22"/>
            <w:u w:val="single"/>
          </w:rPr>
          <w:t>https://cibamanz2021.sld.cu/index.php/cibamanz/cibamanz2021/paper/viewFile/760/496</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Cabrera MC, Ortiz G, Alfonso EO, Esteche R. Síndrome de Edwards: desde el diagnóstico prenatal hasta el neonatólogo. Pediatr. (Asunción). </w:t>
      </w:r>
      <w:r w:rsidRPr="00017FC0">
        <w:rPr>
          <w:rFonts w:ascii="Verdana" w:eastAsia="Calibri" w:hAnsi="Verdana" w:cs="Arial"/>
          <w:sz w:val="22"/>
        </w:rPr>
        <w:t>[Internet].</w:t>
      </w:r>
      <w:r w:rsidRPr="00017FC0">
        <w:rPr>
          <w:rFonts w:ascii="Verdana" w:eastAsia="Calibri" w:hAnsi="Verdana" w:cs="Times New Roman"/>
          <w:sz w:val="22"/>
        </w:rPr>
        <w:t xml:space="preserve"> 2021 </w:t>
      </w:r>
      <w:r w:rsidRPr="00017FC0">
        <w:rPr>
          <w:rFonts w:ascii="Verdana" w:eastAsia="Calibri" w:hAnsi="Verdana" w:cs="Arial"/>
          <w:sz w:val="22"/>
        </w:rPr>
        <w:t>[Citado 24 de noviembre de 2022]</w:t>
      </w:r>
      <w:r w:rsidRPr="00017FC0">
        <w:rPr>
          <w:rFonts w:ascii="Verdana" w:eastAsia="Calibri" w:hAnsi="Verdana" w:cs="Times New Roman"/>
          <w:sz w:val="22"/>
        </w:rPr>
        <w:t xml:space="preserve">; 48(3): 216-220. Disponible en: </w:t>
      </w:r>
      <w:hyperlink r:id="rId20" w:history="1">
        <w:r w:rsidRPr="00017FC0">
          <w:rPr>
            <w:rFonts w:ascii="Verdana" w:eastAsia="Calibri" w:hAnsi="Verdana" w:cs="Times New Roman"/>
            <w:color w:val="0563C1"/>
            <w:sz w:val="22"/>
            <w:u w:val="single"/>
          </w:rPr>
          <w:t>http://scielo.iics.una.py/pdf/ped/v48n3/1683-9803-ped-48-03-216.pdf</w:t>
        </w:r>
      </w:hyperlink>
      <w:r w:rsidRPr="00017FC0">
        <w:rPr>
          <w:rFonts w:ascii="Verdana" w:eastAsia="Calibri" w:hAnsi="Verdana" w:cs="Times New Roman"/>
          <w:sz w:val="22"/>
        </w:rPr>
        <w:t xml:space="preserve"> </w:t>
      </w:r>
    </w:p>
    <w:p w:rsidR="001C153E" w:rsidRPr="00017FC0" w:rsidRDefault="00C0478D" w:rsidP="00017FC0">
      <w:pPr>
        <w:spacing w:after="160" w:line="259" w:lineRule="auto"/>
        <w:ind w:left="720"/>
        <w:contextualSpacing/>
        <w:jc w:val="both"/>
        <w:rPr>
          <w:rFonts w:ascii="Verdana" w:eastAsia="Calibri" w:hAnsi="Verdana" w:cs="Times New Roman"/>
          <w:sz w:val="22"/>
        </w:rPr>
      </w:pPr>
      <w:hyperlink r:id="rId21" w:history="1">
        <w:r w:rsidR="001C153E" w:rsidRPr="00017FC0">
          <w:rPr>
            <w:rFonts w:ascii="Verdana" w:eastAsia="Calibri" w:hAnsi="Verdana" w:cs="Times New Roman"/>
            <w:color w:val="0563C1"/>
            <w:sz w:val="22"/>
            <w:u w:val="single"/>
          </w:rPr>
          <w:t>http://scielo.iics.una.py/scielo.php?script=sci_arttext&amp;pid=S1683-98032021000300216&amp;lng=en</w:t>
        </w:r>
      </w:hyperlink>
      <w:r w:rsidR="001C153E" w:rsidRPr="00017FC0">
        <w:rPr>
          <w:rFonts w:ascii="Verdana" w:eastAsia="Calibri" w:hAnsi="Verdana" w:cs="Times New Roman"/>
          <w:sz w:val="22"/>
        </w:rPr>
        <w:t xml:space="preserve">.   </w:t>
      </w:r>
      <w:hyperlink r:id="rId22" w:history="1">
        <w:r w:rsidR="001C153E" w:rsidRPr="00017FC0">
          <w:rPr>
            <w:rFonts w:ascii="Verdana" w:eastAsia="Calibri" w:hAnsi="Verdana" w:cs="Times New Roman"/>
            <w:color w:val="0563C1"/>
            <w:sz w:val="22"/>
            <w:u w:val="single"/>
          </w:rPr>
          <w:t>https://doi.org/10.31698/ped.48032021010</w:t>
        </w:r>
      </w:hyperlink>
      <w:r w:rsidR="001C153E" w:rsidRPr="00017FC0">
        <w:rPr>
          <w:rFonts w:ascii="Verdana" w:eastAsia="Calibri" w:hAnsi="Verdana" w:cs="Times New Roman"/>
          <w:sz w:val="22"/>
        </w:rPr>
        <w:t>.</w:t>
      </w:r>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Abarca Barriga HH, Chávez Pastor M, Trubnykova M, La Serna Infantes JE, Poterico JA. Factores de riesgo en las enfermedades genéticas. Acta Med Peru. </w:t>
      </w:r>
      <w:r w:rsidRPr="00017FC0">
        <w:rPr>
          <w:rFonts w:ascii="Verdana" w:eastAsia="Calibri" w:hAnsi="Verdana" w:cs="Arial"/>
          <w:sz w:val="22"/>
        </w:rPr>
        <w:t>[Internet].</w:t>
      </w:r>
      <w:r w:rsidRPr="00017FC0">
        <w:rPr>
          <w:rFonts w:ascii="Verdana" w:eastAsia="Calibri" w:hAnsi="Verdana" w:cs="Times New Roman"/>
          <w:sz w:val="22"/>
        </w:rPr>
        <w:t xml:space="preserve"> 2018 </w:t>
      </w:r>
      <w:r w:rsidRPr="00017FC0">
        <w:rPr>
          <w:rFonts w:ascii="Verdana" w:eastAsia="Calibri" w:hAnsi="Verdana" w:cs="Arial"/>
          <w:sz w:val="22"/>
        </w:rPr>
        <w:t>[Citado 20 de noviembre de 2022]</w:t>
      </w:r>
      <w:r w:rsidRPr="00017FC0">
        <w:rPr>
          <w:rFonts w:ascii="Verdana" w:eastAsia="Calibri" w:hAnsi="Verdana" w:cs="Times New Roman"/>
          <w:sz w:val="22"/>
        </w:rPr>
        <w:t xml:space="preserve">; 35(1): 43-50. Disponible en: </w:t>
      </w:r>
      <w:hyperlink r:id="rId23" w:history="1">
        <w:r w:rsidRPr="00017FC0">
          <w:rPr>
            <w:rFonts w:ascii="Verdana" w:eastAsia="Calibri" w:hAnsi="Verdana" w:cs="Times New Roman"/>
            <w:color w:val="0563C1"/>
            <w:sz w:val="22"/>
            <w:u w:val="single"/>
          </w:rPr>
          <w:t>https://www.amp.cmp.org.pe/index.php/AMP/article/download/368/262</w:t>
        </w:r>
      </w:hyperlink>
    </w:p>
    <w:p w:rsidR="001C153E" w:rsidRPr="00017FC0" w:rsidRDefault="00C0478D" w:rsidP="00017FC0">
      <w:pPr>
        <w:spacing w:after="160" w:line="259" w:lineRule="auto"/>
        <w:ind w:left="720"/>
        <w:contextualSpacing/>
        <w:jc w:val="both"/>
        <w:rPr>
          <w:rFonts w:ascii="Verdana" w:eastAsia="Calibri" w:hAnsi="Verdana" w:cs="Times New Roman"/>
          <w:sz w:val="22"/>
        </w:rPr>
      </w:pPr>
      <w:hyperlink r:id="rId24" w:history="1">
        <w:r w:rsidR="001C153E" w:rsidRPr="00017FC0">
          <w:rPr>
            <w:rFonts w:ascii="Verdana" w:eastAsia="Calibri" w:hAnsi="Verdana" w:cs="Times New Roman"/>
            <w:color w:val="0563C1"/>
            <w:sz w:val="22"/>
            <w:u w:val="single"/>
          </w:rPr>
          <w:t>http://scielo.iics.una.py/pdf/iics/v16n2/1812-9528-iics-16-02-107.pdf</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t xml:space="preserve">Montoya Reales DA, Lanza CG, Almendares JD. Síndrome de trisomía 18: informe de un caso clínico. Rev Med Hondur. </w:t>
      </w:r>
      <w:r w:rsidRPr="00017FC0">
        <w:rPr>
          <w:rFonts w:ascii="Verdana" w:eastAsia="Calibri" w:hAnsi="Verdana" w:cs="Arial"/>
          <w:sz w:val="22"/>
        </w:rPr>
        <w:t>[Internet]. 2020. [Citado 24 de noviembre de 2022]</w:t>
      </w:r>
      <w:r w:rsidRPr="00017FC0">
        <w:rPr>
          <w:rFonts w:ascii="Verdana" w:eastAsia="Calibri" w:hAnsi="Verdana" w:cs="Times New Roman"/>
          <w:sz w:val="22"/>
        </w:rPr>
        <w:t xml:space="preserve">; 88 (1): 43-46. Disponible en: </w:t>
      </w:r>
      <w:hyperlink r:id="rId25" w:history="1">
        <w:r w:rsidRPr="00017FC0">
          <w:rPr>
            <w:rFonts w:ascii="Verdana" w:eastAsia="Calibri" w:hAnsi="Verdana" w:cs="Times New Roman"/>
            <w:color w:val="0563C1"/>
            <w:sz w:val="22"/>
            <w:u w:val="single"/>
          </w:rPr>
          <w:t>http://www.bvs.hn/RMH/pdf/2020/pdf/Vol88-1-2020-9.pdf</w:t>
        </w:r>
      </w:hyperlink>
    </w:p>
    <w:p w:rsidR="001C153E" w:rsidRPr="00017FC0" w:rsidRDefault="001C153E" w:rsidP="00017FC0">
      <w:pPr>
        <w:numPr>
          <w:ilvl w:val="0"/>
          <w:numId w:val="1"/>
        </w:numPr>
        <w:spacing w:after="160" w:line="259" w:lineRule="auto"/>
        <w:contextualSpacing/>
        <w:jc w:val="both"/>
        <w:rPr>
          <w:rFonts w:ascii="Verdana" w:eastAsia="Calibri" w:hAnsi="Verdana" w:cs="Times New Roman"/>
          <w:sz w:val="22"/>
        </w:rPr>
      </w:pPr>
      <w:r w:rsidRPr="00017FC0">
        <w:rPr>
          <w:rFonts w:ascii="Verdana" w:eastAsia="Calibri" w:hAnsi="Verdana" w:cs="Times New Roman"/>
          <w:sz w:val="22"/>
        </w:rPr>
        <w:lastRenderedPageBreak/>
        <w:t xml:space="preserve">Díaz Hernández DJ, Torres Gómez IP, Arango Martínez AM, Manrique-Hernández RD, Gallo Bonilla JE. Aspectos genómicos, transcriptómicos y del diagnóstico en el síndrome de Down. Medicina &amp; Laboratorio. </w:t>
      </w:r>
      <w:r w:rsidRPr="00017FC0">
        <w:rPr>
          <w:rFonts w:ascii="Verdana" w:eastAsia="Calibri" w:hAnsi="Verdana" w:cs="Arial"/>
          <w:sz w:val="22"/>
        </w:rPr>
        <w:t>[Internet].</w:t>
      </w:r>
      <w:r w:rsidRPr="00017FC0">
        <w:rPr>
          <w:rFonts w:ascii="Verdana" w:eastAsia="Calibri" w:hAnsi="Verdana" w:cs="Times New Roman"/>
          <w:sz w:val="22"/>
        </w:rPr>
        <w:t xml:space="preserve"> 2020 </w:t>
      </w:r>
      <w:r w:rsidRPr="00017FC0">
        <w:rPr>
          <w:rFonts w:ascii="Verdana" w:eastAsia="Calibri" w:hAnsi="Verdana" w:cs="Arial"/>
          <w:sz w:val="22"/>
        </w:rPr>
        <w:t>[Citado 24 de noviembre de 2022]</w:t>
      </w:r>
      <w:r w:rsidRPr="00017FC0">
        <w:rPr>
          <w:rFonts w:ascii="Verdana" w:eastAsia="Calibri" w:hAnsi="Verdana" w:cs="Times New Roman"/>
          <w:sz w:val="22"/>
        </w:rPr>
        <w:t xml:space="preserve">; 24:37-56. Disponible en: </w:t>
      </w:r>
      <w:hyperlink r:id="rId26" w:history="1">
        <w:r w:rsidRPr="00017FC0">
          <w:rPr>
            <w:rFonts w:ascii="Verdana" w:eastAsia="Calibri" w:hAnsi="Verdana" w:cs="Times New Roman"/>
            <w:color w:val="0563C1"/>
            <w:sz w:val="22"/>
            <w:u w:val="single"/>
          </w:rPr>
          <w:t>https://doi.org/10.36384/01232576.13</w:t>
        </w:r>
      </w:hyperlink>
      <w:r w:rsidRPr="00017FC0">
        <w:rPr>
          <w:rFonts w:ascii="Verdana" w:eastAsia="Calibri" w:hAnsi="Verdana" w:cs="Times New Roman"/>
          <w:sz w:val="22"/>
        </w:rPr>
        <w:t xml:space="preserve"> </w:t>
      </w:r>
      <w:hyperlink r:id="rId27" w:history="1">
        <w:r w:rsidRPr="00017FC0">
          <w:rPr>
            <w:rFonts w:ascii="Verdana" w:eastAsia="Calibri" w:hAnsi="Verdana" w:cs="Times New Roman"/>
            <w:color w:val="0563C1"/>
            <w:sz w:val="22"/>
            <w:u w:val="single"/>
          </w:rPr>
          <w:t>https://www.medigraphic.com/pdfs/medlab/myl-2020/myl201c.pdf</w:t>
        </w:r>
      </w:hyperlink>
    </w:p>
    <w:p w:rsidR="001C153E" w:rsidRPr="00017FC0" w:rsidRDefault="001C153E" w:rsidP="00017FC0">
      <w:pPr>
        <w:spacing w:after="160" w:line="259" w:lineRule="auto"/>
        <w:ind w:left="720"/>
        <w:contextualSpacing/>
        <w:jc w:val="both"/>
        <w:rPr>
          <w:rFonts w:ascii="Verdana" w:eastAsia="Calibri" w:hAnsi="Verdana" w:cs="Times New Roman"/>
          <w:sz w:val="22"/>
        </w:rPr>
      </w:pPr>
    </w:p>
    <w:p w:rsidR="001C153E" w:rsidRPr="00017FC0" w:rsidRDefault="001C153E" w:rsidP="00017FC0">
      <w:pPr>
        <w:spacing w:after="160" w:line="259" w:lineRule="auto"/>
        <w:jc w:val="both"/>
        <w:rPr>
          <w:rFonts w:ascii="Verdana" w:eastAsia="Calibri" w:hAnsi="Verdana" w:cs="Times New Roman"/>
          <w:sz w:val="22"/>
        </w:rPr>
      </w:pPr>
    </w:p>
    <w:p w:rsidR="008C6998" w:rsidRPr="00017FC0" w:rsidRDefault="008C6998" w:rsidP="00017FC0">
      <w:pPr>
        <w:spacing w:after="160" w:line="259" w:lineRule="auto"/>
        <w:jc w:val="both"/>
        <w:rPr>
          <w:rFonts w:ascii="Verdana" w:eastAsia="Calibri" w:hAnsi="Verdana" w:cs="Times New Roman"/>
          <w:sz w:val="22"/>
        </w:rPr>
      </w:pPr>
    </w:p>
    <w:sectPr w:rsidR="008C6998" w:rsidRPr="00017FC0">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8D" w:rsidRDefault="00C0478D" w:rsidP="0019714A">
      <w:pPr>
        <w:spacing w:after="0" w:line="240" w:lineRule="auto"/>
      </w:pPr>
      <w:r>
        <w:separator/>
      </w:r>
    </w:p>
  </w:endnote>
  <w:endnote w:type="continuationSeparator" w:id="0">
    <w:p w:rsidR="00C0478D" w:rsidRDefault="00C0478D" w:rsidP="0019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721238"/>
      <w:docPartObj>
        <w:docPartGallery w:val="Page Numbers (Bottom of Page)"/>
        <w:docPartUnique/>
      </w:docPartObj>
    </w:sdtPr>
    <w:sdtEndPr/>
    <w:sdtContent>
      <w:p w:rsidR="0019714A" w:rsidRDefault="0019714A">
        <w:pPr>
          <w:pStyle w:val="Piedepgina"/>
          <w:jc w:val="right"/>
        </w:pPr>
        <w:r>
          <w:fldChar w:fldCharType="begin"/>
        </w:r>
        <w:r>
          <w:instrText>PAGE   \* MERGEFORMAT</w:instrText>
        </w:r>
        <w:r>
          <w:fldChar w:fldCharType="separate"/>
        </w:r>
        <w:r w:rsidR="007732EA">
          <w:rPr>
            <w:noProof/>
          </w:rPr>
          <w:t>1</w:t>
        </w:r>
        <w:r>
          <w:fldChar w:fldCharType="end"/>
        </w:r>
      </w:p>
    </w:sdtContent>
  </w:sdt>
  <w:p w:rsidR="0019714A" w:rsidRDefault="001971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8D" w:rsidRDefault="00C0478D" w:rsidP="0019714A">
      <w:pPr>
        <w:spacing w:after="0" w:line="240" w:lineRule="auto"/>
      </w:pPr>
      <w:r>
        <w:separator/>
      </w:r>
    </w:p>
  </w:footnote>
  <w:footnote w:type="continuationSeparator" w:id="0">
    <w:p w:rsidR="00C0478D" w:rsidRDefault="00C0478D" w:rsidP="001971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B58"/>
    <w:multiLevelType w:val="hybridMultilevel"/>
    <w:tmpl w:val="E37A49BA"/>
    <w:lvl w:ilvl="0" w:tplc="13749D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F1"/>
    <w:rsid w:val="00003001"/>
    <w:rsid w:val="000045D2"/>
    <w:rsid w:val="00006416"/>
    <w:rsid w:val="00014EA1"/>
    <w:rsid w:val="000168C1"/>
    <w:rsid w:val="00017FC0"/>
    <w:rsid w:val="000253C3"/>
    <w:rsid w:val="0003722D"/>
    <w:rsid w:val="0006568B"/>
    <w:rsid w:val="000B3922"/>
    <w:rsid w:val="000D7F96"/>
    <w:rsid w:val="000E49E8"/>
    <w:rsid w:val="0012647D"/>
    <w:rsid w:val="00127375"/>
    <w:rsid w:val="00163692"/>
    <w:rsid w:val="00182EC1"/>
    <w:rsid w:val="00182FA6"/>
    <w:rsid w:val="001964B5"/>
    <w:rsid w:val="0019714A"/>
    <w:rsid w:val="001A2BDA"/>
    <w:rsid w:val="001C0EC4"/>
    <w:rsid w:val="001C153E"/>
    <w:rsid w:val="001C7CF7"/>
    <w:rsid w:val="00202426"/>
    <w:rsid w:val="0021081C"/>
    <w:rsid w:val="00214A52"/>
    <w:rsid w:val="00215534"/>
    <w:rsid w:val="00215D6E"/>
    <w:rsid w:val="0024194D"/>
    <w:rsid w:val="002451AF"/>
    <w:rsid w:val="00286E03"/>
    <w:rsid w:val="00286E06"/>
    <w:rsid w:val="002D7FA3"/>
    <w:rsid w:val="002F295C"/>
    <w:rsid w:val="002F7D63"/>
    <w:rsid w:val="0030355A"/>
    <w:rsid w:val="0032729A"/>
    <w:rsid w:val="0033630E"/>
    <w:rsid w:val="003457E2"/>
    <w:rsid w:val="00363389"/>
    <w:rsid w:val="003724E9"/>
    <w:rsid w:val="00384D85"/>
    <w:rsid w:val="003F1BB7"/>
    <w:rsid w:val="00406448"/>
    <w:rsid w:val="004207B8"/>
    <w:rsid w:val="0042242B"/>
    <w:rsid w:val="00437CFC"/>
    <w:rsid w:val="00443A04"/>
    <w:rsid w:val="00461462"/>
    <w:rsid w:val="00471FB7"/>
    <w:rsid w:val="00472130"/>
    <w:rsid w:val="00476CD1"/>
    <w:rsid w:val="00482826"/>
    <w:rsid w:val="004873DB"/>
    <w:rsid w:val="0049172F"/>
    <w:rsid w:val="004975C4"/>
    <w:rsid w:val="004B6EEA"/>
    <w:rsid w:val="004C6AB8"/>
    <w:rsid w:val="004C7561"/>
    <w:rsid w:val="004E5301"/>
    <w:rsid w:val="004F331E"/>
    <w:rsid w:val="00500FC4"/>
    <w:rsid w:val="00507FFC"/>
    <w:rsid w:val="00511471"/>
    <w:rsid w:val="00522FCA"/>
    <w:rsid w:val="00541D62"/>
    <w:rsid w:val="00567540"/>
    <w:rsid w:val="0059792D"/>
    <w:rsid w:val="005C4B56"/>
    <w:rsid w:val="006048AA"/>
    <w:rsid w:val="006113AD"/>
    <w:rsid w:val="0061633F"/>
    <w:rsid w:val="00616417"/>
    <w:rsid w:val="00640690"/>
    <w:rsid w:val="00644063"/>
    <w:rsid w:val="006441B8"/>
    <w:rsid w:val="00663C1E"/>
    <w:rsid w:val="00674CE8"/>
    <w:rsid w:val="00680372"/>
    <w:rsid w:val="0068413E"/>
    <w:rsid w:val="006A07C4"/>
    <w:rsid w:val="006C4B89"/>
    <w:rsid w:val="006C781E"/>
    <w:rsid w:val="006E1286"/>
    <w:rsid w:val="006F06F1"/>
    <w:rsid w:val="007230D3"/>
    <w:rsid w:val="00726F57"/>
    <w:rsid w:val="00734D02"/>
    <w:rsid w:val="00743EC1"/>
    <w:rsid w:val="007657C9"/>
    <w:rsid w:val="007732EA"/>
    <w:rsid w:val="00783EDD"/>
    <w:rsid w:val="007C6F08"/>
    <w:rsid w:val="007E6339"/>
    <w:rsid w:val="00832471"/>
    <w:rsid w:val="00852657"/>
    <w:rsid w:val="008621D5"/>
    <w:rsid w:val="00867B55"/>
    <w:rsid w:val="00892E30"/>
    <w:rsid w:val="008B5835"/>
    <w:rsid w:val="008C6998"/>
    <w:rsid w:val="008D1E60"/>
    <w:rsid w:val="008E6C14"/>
    <w:rsid w:val="008F44E8"/>
    <w:rsid w:val="0091088A"/>
    <w:rsid w:val="00966F5C"/>
    <w:rsid w:val="00973AEB"/>
    <w:rsid w:val="009D2A09"/>
    <w:rsid w:val="009F245B"/>
    <w:rsid w:val="009F73CB"/>
    <w:rsid w:val="00A31857"/>
    <w:rsid w:val="00A52FE6"/>
    <w:rsid w:val="00A74961"/>
    <w:rsid w:val="00A90898"/>
    <w:rsid w:val="00AA3540"/>
    <w:rsid w:val="00AA3DEA"/>
    <w:rsid w:val="00AA6A1B"/>
    <w:rsid w:val="00AB2664"/>
    <w:rsid w:val="00AB35B2"/>
    <w:rsid w:val="00AC1AE1"/>
    <w:rsid w:val="00AC6D59"/>
    <w:rsid w:val="00AF0CB9"/>
    <w:rsid w:val="00AF7DCB"/>
    <w:rsid w:val="00B06FCD"/>
    <w:rsid w:val="00B22D6D"/>
    <w:rsid w:val="00B360A0"/>
    <w:rsid w:val="00B3783A"/>
    <w:rsid w:val="00B56E7E"/>
    <w:rsid w:val="00B60FB0"/>
    <w:rsid w:val="00B830B1"/>
    <w:rsid w:val="00B84D83"/>
    <w:rsid w:val="00B872A2"/>
    <w:rsid w:val="00BB461C"/>
    <w:rsid w:val="00BB79A1"/>
    <w:rsid w:val="00BC0EA2"/>
    <w:rsid w:val="00BD08F8"/>
    <w:rsid w:val="00C0478D"/>
    <w:rsid w:val="00C2314C"/>
    <w:rsid w:val="00C31C26"/>
    <w:rsid w:val="00C34AD4"/>
    <w:rsid w:val="00C66D85"/>
    <w:rsid w:val="00C9576C"/>
    <w:rsid w:val="00CA407D"/>
    <w:rsid w:val="00CA6959"/>
    <w:rsid w:val="00CD0CAD"/>
    <w:rsid w:val="00CD0D91"/>
    <w:rsid w:val="00CD55E1"/>
    <w:rsid w:val="00CE54B7"/>
    <w:rsid w:val="00CE57C2"/>
    <w:rsid w:val="00CE59AF"/>
    <w:rsid w:val="00D25776"/>
    <w:rsid w:val="00D459D8"/>
    <w:rsid w:val="00D559E4"/>
    <w:rsid w:val="00D60A54"/>
    <w:rsid w:val="00D6445D"/>
    <w:rsid w:val="00DE7A6F"/>
    <w:rsid w:val="00DE7F72"/>
    <w:rsid w:val="00DF0910"/>
    <w:rsid w:val="00E02C3B"/>
    <w:rsid w:val="00E1276D"/>
    <w:rsid w:val="00E24554"/>
    <w:rsid w:val="00E25AD5"/>
    <w:rsid w:val="00E25C0C"/>
    <w:rsid w:val="00E2621C"/>
    <w:rsid w:val="00E372D7"/>
    <w:rsid w:val="00E43806"/>
    <w:rsid w:val="00E72502"/>
    <w:rsid w:val="00E72520"/>
    <w:rsid w:val="00E728AF"/>
    <w:rsid w:val="00E72FF8"/>
    <w:rsid w:val="00E96AFC"/>
    <w:rsid w:val="00E96C4A"/>
    <w:rsid w:val="00ED0C68"/>
    <w:rsid w:val="00EE00FF"/>
    <w:rsid w:val="00EE0AE2"/>
    <w:rsid w:val="00EE0E54"/>
    <w:rsid w:val="00EE7902"/>
    <w:rsid w:val="00F014D2"/>
    <w:rsid w:val="00F019B7"/>
    <w:rsid w:val="00F123D4"/>
    <w:rsid w:val="00F135D4"/>
    <w:rsid w:val="00F4183C"/>
    <w:rsid w:val="00F50001"/>
    <w:rsid w:val="00F73ED5"/>
    <w:rsid w:val="00F7695B"/>
    <w:rsid w:val="00F81DE2"/>
    <w:rsid w:val="00F96E51"/>
    <w:rsid w:val="00FA3EF1"/>
    <w:rsid w:val="00FA4B8D"/>
    <w:rsid w:val="00FB3B50"/>
    <w:rsid w:val="00FC556F"/>
    <w:rsid w:val="00FC6219"/>
    <w:rsid w:val="00FC7C13"/>
    <w:rsid w:val="00FF3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93F0F-B394-42C5-A642-23647CBF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AB8"/>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7C13"/>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749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96E51"/>
    <w:rPr>
      <w:sz w:val="16"/>
      <w:szCs w:val="16"/>
    </w:rPr>
  </w:style>
  <w:style w:type="paragraph" w:styleId="Textocomentario">
    <w:name w:val="annotation text"/>
    <w:basedOn w:val="Normal"/>
    <w:link w:val="TextocomentarioCar"/>
    <w:uiPriority w:val="99"/>
    <w:semiHidden/>
    <w:unhideWhenUsed/>
    <w:rsid w:val="00F96E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6E51"/>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96E51"/>
    <w:rPr>
      <w:b/>
      <w:bCs/>
    </w:rPr>
  </w:style>
  <w:style w:type="character" w:customStyle="1" w:styleId="AsuntodelcomentarioCar">
    <w:name w:val="Asunto del comentario Car"/>
    <w:basedOn w:val="TextocomentarioCar"/>
    <w:link w:val="Asuntodelcomentario"/>
    <w:uiPriority w:val="99"/>
    <w:semiHidden/>
    <w:rsid w:val="00F96E51"/>
    <w:rPr>
      <w:rFonts w:ascii="Arial" w:hAnsi="Arial"/>
      <w:b/>
      <w:bCs/>
      <w:sz w:val="20"/>
      <w:szCs w:val="20"/>
    </w:rPr>
  </w:style>
  <w:style w:type="paragraph" w:styleId="Textodeglobo">
    <w:name w:val="Balloon Text"/>
    <w:basedOn w:val="Normal"/>
    <w:link w:val="TextodegloboCar"/>
    <w:uiPriority w:val="99"/>
    <w:semiHidden/>
    <w:unhideWhenUsed/>
    <w:rsid w:val="00F96E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E51"/>
    <w:rPr>
      <w:rFonts w:ascii="Segoe UI" w:hAnsi="Segoe UI" w:cs="Segoe UI"/>
      <w:sz w:val="18"/>
      <w:szCs w:val="18"/>
    </w:rPr>
  </w:style>
  <w:style w:type="paragraph" w:styleId="Encabezado">
    <w:name w:val="header"/>
    <w:basedOn w:val="Normal"/>
    <w:link w:val="EncabezadoCar"/>
    <w:uiPriority w:val="99"/>
    <w:unhideWhenUsed/>
    <w:rsid w:val="0019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714A"/>
    <w:rPr>
      <w:rFonts w:ascii="Arial" w:hAnsi="Arial"/>
      <w:sz w:val="24"/>
    </w:rPr>
  </w:style>
  <w:style w:type="paragraph" w:styleId="Piedepgina">
    <w:name w:val="footer"/>
    <w:basedOn w:val="Normal"/>
    <w:link w:val="PiedepginaCar"/>
    <w:uiPriority w:val="99"/>
    <w:unhideWhenUsed/>
    <w:rsid w:val="0019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714A"/>
    <w:rPr>
      <w:rFonts w:ascii="Arial" w:hAnsi="Arial"/>
      <w:sz w:val="24"/>
    </w:rPr>
  </w:style>
  <w:style w:type="character" w:styleId="Hipervnculo">
    <w:name w:val="Hyperlink"/>
    <w:uiPriority w:val="99"/>
    <w:unhideWhenUsed/>
    <w:rsid w:val="00017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graphic.com/pdfs/pediat/sp-2017/sp171g.pdf" TargetMode="External"/><Relationship Id="rId13" Type="http://schemas.openxmlformats.org/officeDocument/2006/relationships/hyperlink" Target="http://bvs.sld.cu/revistas/rcgc/v4n3/rcgc080310.html" TargetMode="External"/><Relationship Id="rId18" Type="http://schemas.openxmlformats.org/officeDocument/2006/relationships/hyperlink" Target="http://www.scielo.org.pe/scielo.php?script=sci_arttext&amp;pid=S2304-51322016000200002&amp;lng=es" TargetMode="External"/><Relationship Id="rId26" Type="http://schemas.openxmlformats.org/officeDocument/2006/relationships/hyperlink" Target="https://doi.org/10.36384/01232576.13" TargetMode="External"/><Relationship Id="rId3" Type="http://schemas.openxmlformats.org/officeDocument/2006/relationships/settings" Target="settings.xml"/><Relationship Id="rId21" Type="http://schemas.openxmlformats.org/officeDocument/2006/relationships/hyperlink" Target="http://scielo.iics.una.py/scielo.php?script=sci_arttext&amp;pid=S1683-98032021000300216&amp;lng=en" TargetMode="External"/><Relationship Id="rId7" Type="http://schemas.openxmlformats.org/officeDocument/2006/relationships/hyperlink" Target="mailto:cynara.cmw@infomed.sld.cu" TargetMode="External"/><Relationship Id="rId12" Type="http://schemas.openxmlformats.org/officeDocument/2006/relationships/hyperlink" Target="http://revzoilomarinello.sld.cu/index.php/zmv/article/view/708/pdf_287" TargetMode="External"/><Relationship Id="rId17" Type="http://schemas.openxmlformats.org/officeDocument/2006/relationships/hyperlink" Target="https://doi.org/10.18004/mem.iics/1812-9528/2018.016(02)107-112" TargetMode="External"/><Relationship Id="rId25" Type="http://schemas.openxmlformats.org/officeDocument/2006/relationships/hyperlink" Target="http://www.bvs.hn/RMH/pdf/2020/pdf/Vol88-1-2020-9.pdf" TargetMode="External"/><Relationship Id="rId2" Type="http://schemas.openxmlformats.org/officeDocument/2006/relationships/styles" Target="styles.xml"/><Relationship Id="rId16" Type="http://schemas.openxmlformats.org/officeDocument/2006/relationships/hyperlink" Target="http://scielo.iics.una.py/scielo.php?script=sci_arttext&amp;pid=S1812-95282018000200107&amp;lng=en" TargetMode="External"/><Relationship Id="rId20" Type="http://schemas.openxmlformats.org/officeDocument/2006/relationships/hyperlink" Target="http://scielo.iics.una.py/pdf/ped/v48n3/1683-9803-ped-48-03-216.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ibri.udelar.edu.uy/jspui/bitstream/20.500.12008/24537/1/uy24-19256.pdf" TargetMode="External"/><Relationship Id="rId24" Type="http://schemas.openxmlformats.org/officeDocument/2006/relationships/hyperlink" Target="http://scielo.iics.una.py/pdf/iics/v16n2/1812-9528-iics-16-02-107.pdf" TargetMode="External"/><Relationship Id="rId5" Type="http://schemas.openxmlformats.org/officeDocument/2006/relationships/footnotes" Target="footnotes.xml"/><Relationship Id="rId15" Type="http://schemas.openxmlformats.org/officeDocument/2006/relationships/hyperlink" Target="http://www.scielo.org.bo/scielo.php?script=sci_arttext&amp;pid=S1652-67762017000200003&amp;lng=es" TargetMode="External"/><Relationship Id="rId23" Type="http://schemas.openxmlformats.org/officeDocument/2006/relationships/hyperlink" Target="https://www.amp.cmp.org.pe/index.php/AMP/article/download/368/262" TargetMode="External"/><Relationship Id="rId28" Type="http://schemas.openxmlformats.org/officeDocument/2006/relationships/footer" Target="footer1.xml"/><Relationship Id="rId10" Type="http://schemas.openxmlformats.org/officeDocument/2006/relationships/hyperlink" Target="https://www.kerwa.ucr.ac.cr/bitstream/handle/10669/85620/Identificaci%C3%B3n%20de%20aberraciones%20cromos%C3%B3micas%20en%20una%20poblaci%C3%B3n%20infantil%20costarricense%20con%20discapacidad%20intelectual%20idiop%C3%A1tica.pdf?sequence=1&amp;isAllowed=y" TargetMode="External"/><Relationship Id="rId19" Type="http://schemas.openxmlformats.org/officeDocument/2006/relationships/hyperlink" Target="https://cibamanz2021.sld.cu/index.php/cibamanz/cibamanz2021/paper/viewFile/760/496" TargetMode="External"/><Relationship Id="rId4" Type="http://schemas.openxmlformats.org/officeDocument/2006/relationships/webSettings" Target="webSettings.xml"/><Relationship Id="rId9" Type="http://schemas.openxmlformats.org/officeDocument/2006/relationships/hyperlink" Target="https://respyn.uanl.mx/index.php/respyn/article/download/18/18/35" TargetMode="External"/><Relationship Id="rId14" Type="http://schemas.openxmlformats.org/officeDocument/2006/relationships/hyperlink" Target="https://www.redalyc.org/journal/1800/180061480006/180061480006.pdf" TargetMode="External"/><Relationship Id="rId22" Type="http://schemas.openxmlformats.org/officeDocument/2006/relationships/hyperlink" Target="https://doi.org/10.31698/ped.48032021010" TargetMode="External"/><Relationship Id="rId27" Type="http://schemas.openxmlformats.org/officeDocument/2006/relationships/hyperlink" Target="https://www.medigraphic.com/pdfs/medlab/myl-2020/myl201c.pdf"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Pages>
  <Words>4251</Words>
  <Characters>23384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Acao Francois</dc:creator>
  <cp:keywords/>
  <dc:description/>
  <cp:lastModifiedBy>Usuario de Windows</cp:lastModifiedBy>
  <cp:revision>123</cp:revision>
  <dcterms:created xsi:type="dcterms:W3CDTF">2022-09-23T14:30:00Z</dcterms:created>
  <dcterms:modified xsi:type="dcterms:W3CDTF">2022-12-15T15:06:00Z</dcterms:modified>
</cp:coreProperties>
</file>