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C4A" w:rsidRPr="00D83BAE" w:rsidRDefault="00E07C4A" w:rsidP="00E07C4A">
      <w:pPr>
        <w:tabs>
          <w:tab w:val="left" w:pos="2268"/>
        </w:tabs>
        <w:spacing w:after="0" w:line="360" w:lineRule="auto"/>
        <w:ind w:right="-376"/>
        <w:rPr>
          <w:b/>
          <w:color w:val="C45911"/>
          <w:sz w:val="32"/>
          <w:szCs w:val="32"/>
        </w:rPr>
      </w:pPr>
      <w:proofErr w:type="spellStart"/>
      <w:r w:rsidRPr="00D83BAE">
        <w:rPr>
          <w:b/>
          <w:color w:val="C45911"/>
          <w:sz w:val="32"/>
          <w:szCs w:val="32"/>
        </w:rPr>
        <w:t>Morfovirtual</w:t>
      </w:r>
      <w:proofErr w:type="spellEnd"/>
      <w:r w:rsidRPr="00D83BAE">
        <w:rPr>
          <w:b/>
          <w:color w:val="C45911"/>
          <w:sz w:val="32"/>
          <w:szCs w:val="32"/>
        </w:rPr>
        <w:t xml:space="preserve"> 2022</w:t>
      </w:r>
    </w:p>
    <w:p w:rsidR="00E07C4A" w:rsidRPr="009B5DB1" w:rsidRDefault="00E07C4A" w:rsidP="00E07C4A">
      <w:pPr>
        <w:tabs>
          <w:tab w:val="left" w:pos="2268"/>
        </w:tabs>
        <w:spacing w:after="0" w:line="360" w:lineRule="auto"/>
        <w:ind w:right="-376"/>
        <w:rPr>
          <w:b/>
          <w:color w:val="C45911"/>
          <w:sz w:val="32"/>
          <w:szCs w:val="32"/>
        </w:rPr>
      </w:pPr>
    </w:p>
    <w:p w:rsidR="00E07C4A" w:rsidRPr="009B5DB1" w:rsidRDefault="00E07C4A" w:rsidP="00E07C4A">
      <w:pPr>
        <w:tabs>
          <w:tab w:val="left" w:pos="2268"/>
        </w:tabs>
        <w:spacing w:after="0" w:line="360" w:lineRule="auto"/>
        <w:ind w:right="-376"/>
        <w:rPr>
          <w:b/>
          <w:color w:val="C45911"/>
          <w:sz w:val="32"/>
          <w:szCs w:val="32"/>
        </w:rPr>
      </w:pPr>
      <w:r w:rsidRPr="009B5DB1">
        <w:rPr>
          <w:b/>
          <w:color w:val="C45911"/>
          <w:sz w:val="32"/>
          <w:szCs w:val="32"/>
        </w:rPr>
        <w:t>VI Congreso virtual de Ciencias Morfológicas.</w:t>
      </w:r>
    </w:p>
    <w:p w:rsidR="00E07C4A" w:rsidRPr="009B5DB1" w:rsidRDefault="00E07C4A" w:rsidP="00E07C4A">
      <w:pPr>
        <w:spacing w:after="0" w:line="360" w:lineRule="auto"/>
        <w:ind w:left="-425"/>
        <w:rPr>
          <w:b/>
          <w:color w:val="C45911"/>
          <w:sz w:val="32"/>
          <w:szCs w:val="32"/>
        </w:rPr>
      </w:pPr>
      <w:r w:rsidRPr="009B5DB1">
        <w:rPr>
          <w:b/>
          <w:color w:val="C45911"/>
          <w:sz w:val="32"/>
          <w:szCs w:val="32"/>
        </w:rPr>
        <w:t>Sexta Jornada Científica de la Cátedra Santiago Ramón y Cajal.</w:t>
      </w:r>
    </w:p>
    <w:p w:rsidR="00E07C4A" w:rsidRDefault="00E07C4A" w:rsidP="00E07C4A">
      <w:pPr>
        <w:spacing w:after="0" w:line="360" w:lineRule="auto"/>
        <w:ind w:left="-425"/>
        <w:rPr>
          <w:sz w:val="22"/>
        </w:rPr>
      </w:pPr>
    </w:p>
    <w:p w:rsidR="00072BDC" w:rsidRPr="00072BDC" w:rsidRDefault="00E07C4A" w:rsidP="00072BDC">
      <w:pPr>
        <w:spacing w:line="240" w:lineRule="auto"/>
        <w:contextualSpacing/>
        <w:jc w:val="both"/>
        <w:rPr>
          <w:rFonts w:cs="Arial"/>
          <w:b/>
          <w:sz w:val="28"/>
          <w:szCs w:val="28"/>
          <w:lang w:val="es-CO"/>
        </w:rPr>
      </w:pPr>
      <w:r w:rsidRPr="00D83BAE">
        <w:rPr>
          <w:b/>
          <w:sz w:val="28"/>
          <w:szCs w:val="28"/>
        </w:rPr>
        <w:t>TÍTULO</w:t>
      </w:r>
      <w:r w:rsidRPr="00AE4390">
        <w:rPr>
          <w:b/>
          <w:sz w:val="28"/>
          <w:szCs w:val="28"/>
        </w:rPr>
        <w:t xml:space="preserve"> </w:t>
      </w:r>
      <w:r w:rsidR="00EF2590" w:rsidRPr="00EF2590">
        <w:rPr>
          <w:rFonts w:cs="Arial"/>
          <w:b/>
          <w:sz w:val="28"/>
          <w:szCs w:val="28"/>
          <w:lang w:val="es-CO"/>
        </w:rPr>
        <w:t>DINÁMICA DE LAS GRASAS ABDOMINALES</w:t>
      </w:r>
      <w:r w:rsidR="00072BDC">
        <w:rPr>
          <w:rFonts w:cs="Arial"/>
          <w:b/>
          <w:sz w:val="28"/>
          <w:szCs w:val="28"/>
          <w:lang w:val="es-CO"/>
        </w:rPr>
        <w:t xml:space="preserve"> </w:t>
      </w:r>
      <w:r w:rsidR="00072BDC" w:rsidRPr="00072BDC">
        <w:rPr>
          <w:rFonts w:cs="Arial"/>
          <w:b/>
          <w:sz w:val="28"/>
          <w:szCs w:val="28"/>
          <w:lang w:val="es-CO"/>
        </w:rPr>
        <w:t>D</w:t>
      </w:r>
      <w:r w:rsidR="00072BDC">
        <w:rPr>
          <w:rFonts w:cs="Arial"/>
          <w:b/>
          <w:sz w:val="28"/>
          <w:szCs w:val="28"/>
          <w:lang w:val="es-CO"/>
        </w:rPr>
        <w:t>URANTE LA GESTACIÓN SEGU</w:t>
      </w:r>
      <w:r w:rsidR="00072BDC">
        <w:rPr>
          <w:rFonts w:cs="Arial"/>
          <w:b/>
          <w:sz w:val="28"/>
          <w:szCs w:val="28"/>
          <w:lang w:val="es-CO"/>
        </w:rPr>
        <w:t>N</w:t>
      </w:r>
      <w:r w:rsidR="00072BDC" w:rsidRPr="00072BDC">
        <w:rPr>
          <w:rFonts w:cs="Arial"/>
          <w:b/>
          <w:sz w:val="28"/>
          <w:szCs w:val="28"/>
          <w:lang w:val="es-CO"/>
        </w:rPr>
        <w:t xml:space="preserve"> LA CLASIFICACIÓN DEL ÍNDICE CINTURA /TALLA.</w:t>
      </w:r>
    </w:p>
    <w:p w:rsidR="00072BDC" w:rsidRPr="00E55D0D" w:rsidRDefault="00072BDC" w:rsidP="00072BDC">
      <w:pPr>
        <w:spacing w:line="240" w:lineRule="auto"/>
        <w:ind w:left="425"/>
        <w:contextualSpacing/>
        <w:jc w:val="both"/>
        <w:rPr>
          <w:rFonts w:cs="Arial"/>
          <w:sz w:val="22"/>
          <w:lang w:val="es-CO"/>
        </w:rPr>
      </w:pPr>
    </w:p>
    <w:p w:rsidR="00E07C4A" w:rsidRPr="006C431C" w:rsidRDefault="00E07C4A" w:rsidP="00E07C4A">
      <w:pPr>
        <w:spacing w:after="0" w:line="360" w:lineRule="auto"/>
        <w:ind w:left="-425"/>
        <w:rPr>
          <w:b/>
          <w:sz w:val="22"/>
        </w:rPr>
      </w:pPr>
      <w:r w:rsidRPr="006C431C">
        <w:rPr>
          <w:b/>
          <w:sz w:val="22"/>
        </w:rPr>
        <w:t xml:space="preserve">Autores: </w:t>
      </w:r>
    </w:p>
    <w:p w:rsidR="00E07C4A" w:rsidRDefault="00B86221" w:rsidP="00CA3680">
      <w:pPr>
        <w:spacing w:after="0" w:line="360" w:lineRule="auto"/>
        <w:ind w:left="-425"/>
        <w:rPr>
          <w:rFonts w:cs="Arial"/>
          <w:b/>
          <w:sz w:val="22"/>
          <w:vertAlign w:val="superscript"/>
        </w:rPr>
      </w:pPr>
      <w:proofErr w:type="spellStart"/>
      <w:r w:rsidRPr="006C431C">
        <w:rPr>
          <w:rFonts w:cs="Arial"/>
          <w:b/>
          <w:sz w:val="22"/>
        </w:rPr>
        <w:t>Naylan</w:t>
      </w:r>
      <w:proofErr w:type="spellEnd"/>
      <w:r w:rsidRPr="006C431C">
        <w:rPr>
          <w:rFonts w:cs="Arial"/>
          <w:b/>
          <w:sz w:val="22"/>
        </w:rPr>
        <w:t xml:space="preserve"> </w:t>
      </w:r>
      <w:proofErr w:type="spellStart"/>
      <w:r w:rsidRPr="006C431C">
        <w:rPr>
          <w:rFonts w:cs="Arial"/>
          <w:b/>
          <w:sz w:val="22"/>
        </w:rPr>
        <w:t>Nóbrega</w:t>
      </w:r>
      <w:proofErr w:type="spellEnd"/>
      <w:r w:rsidRPr="006C431C">
        <w:rPr>
          <w:rFonts w:cs="Arial"/>
          <w:b/>
          <w:sz w:val="22"/>
        </w:rPr>
        <w:t xml:space="preserve"> Pérez</w:t>
      </w:r>
      <w:r w:rsidRPr="00B86221">
        <w:rPr>
          <w:rFonts w:cs="Arial"/>
          <w:b/>
          <w:sz w:val="22"/>
          <w:vertAlign w:val="superscript"/>
        </w:rPr>
        <w:t>1</w:t>
      </w:r>
      <w:r>
        <w:rPr>
          <w:rFonts w:cs="Arial"/>
          <w:b/>
          <w:sz w:val="22"/>
        </w:rPr>
        <w:t>,</w:t>
      </w:r>
      <w:r w:rsidR="00CA3680">
        <w:rPr>
          <w:rFonts w:cs="Arial"/>
          <w:b/>
          <w:sz w:val="22"/>
        </w:rPr>
        <w:t xml:space="preserve"> </w:t>
      </w:r>
      <w:proofErr w:type="spellStart"/>
      <w:r w:rsidRPr="006C431C">
        <w:rPr>
          <w:rFonts w:cs="Arial"/>
          <w:b/>
          <w:sz w:val="22"/>
        </w:rPr>
        <w:t>Leidy</w:t>
      </w:r>
      <w:proofErr w:type="spellEnd"/>
      <w:r w:rsidRPr="006C431C">
        <w:rPr>
          <w:rFonts w:cs="Arial"/>
          <w:b/>
          <w:sz w:val="22"/>
        </w:rPr>
        <w:t xml:space="preserve"> M Rondón Céspedes</w:t>
      </w:r>
      <w:r>
        <w:rPr>
          <w:rFonts w:cs="Arial"/>
          <w:b/>
          <w:sz w:val="22"/>
          <w:vertAlign w:val="superscript"/>
        </w:rPr>
        <w:t>2</w:t>
      </w:r>
      <w:r>
        <w:rPr>
          <w:rFonts w:cs="Arial"/>
          <w:b/>
          <w:sz w:val="22"/>
        </w:rPr>
        <w:t>,</w:t>
      </w:r>
      <w:r w:rsidRPr="006C431C">
        <w:rPr>
          <w:rFonts w:cs="Arial"/>
          <w:b/>
          <w:sz w:val="22"/>
        </w:rPr>
        <w:t xml:space="preserve"> </w:t>
      </w:r>
      <w:r w:rsidR="00E07C4A" w:rsidRPr="006C431C">
        <w:rPr>
          <w:rFonts w:cs="Arial"/>
          <w:b/>
          <w:sz w:val="22"/>
        </w:rPr>
        <w:t xml:space="preserve">Beatriz Machado </w:t>
      </w:r>
      <w:proofErr w:type="spellStart"/>
      <w:r w:rsidR="00E07C4A" w:rsidRPr="006C431C">
        <w:rPr>
          <w:rFonts w:cs="Arial"/>
          <w:b/>
          <w:sz w:val="22"/>
        </w:rPr>
        <w:t>Diaz</w:t>
      </w:r>
      <w:proofErr w:type="spellEnd"/>
      <w:r w:rsidR="00E07C4A" w:rsidRPr="006C431C">
        <w:rPr>
          <w:b/>
          <w:sz w:val="22"/>
          <w:vertAlign w:val="superscript"/>
        </w:rPr>
        <w:t xml:space="preserve"> </w:t>
      </w:r>
      <w:r>
        <w:rPr>
          <w:b/>
          <w:sz w:val="22"/>
          <w:vertAlign w:val="superscript"/>
        </w:rPr>
        <w:t>3</w:t>
      </w:r>
      <w:r w:rsidR="00E07C4A" w:rsidRPr="006C431C">
        <w:rPr>
          <w:b/>
          <w:sz w:val="22"/>
        </w:rPr>
        <w:t xml:space="preserve">, </w:t>
      </w:r>
      <w:r w:rsidR="00CA3680" w:rsidRPr="006C431C">
        <w:rPr>
          <w:rFonts w:cs="Arial"/>
          <w:b/>
          <w:sz w:val="22"/>
        </w:rPr>
        <w:t>Yanet Limas Pérez</w:t>
      </w:r>
      <w:r w:rsidR="00CA3680" w:rsidRPr="00CA3680">
        <w:rPr>
          <w:rFonts w:cs="Arial"/>
          <w:b/>
          <w:sz w:val="22"/>
          <w:vertAlign w:val="superscript"/>
        </w:rPr>
        <w:t>4</w:t>
      </w:r>
      <w:r w:rsidR="00CA3680" w:rsidRPr="00CA3680">
        <w:rPr>
          <w:rFonts w:cs="Arial"/>
          <w:b/>
          <w:sz w:val="22"/>
        </w:rPr>
        <w:t>,</w:t>
      </w:r>
      <w:r w:rsidR="00CA3680">
        <w:rPr>
          <w:rFonts w:cs="Arial"/>
          <w:b/>
          <w:sz w:val="22"/>
        </w:rPr>
        <w:t xml:space="preserve"> </w:t>
      </w:r>
      <w:r w:rsidR="004E2421" w:rsidRPr="006C431C">
        <w:rPr>
          <w:rFonts w:cs="Arial"/>
          <w:b/>
          <w:sz w:val="22"/>
        </w:rPr>
        <w:t>Daisy Pérez Martínez</w:t>
      </w:r>
      <w:r w:rsidR="004E2421" w:rsidRPr="006C431C">
        <w:rPr>
          <w:rFonts w:cs="Arial"/>
          <w:b/>
          <w:sz w:val="22"/>
          <w:vertAlign w:val="superscript"/>
        </w:rPr>
        <w:t>5</w:t>
      </w:r>
      <w:r w:rsidR="0027649F" w:rsidRPr="00CA3680">
        <w:rPr>
          <w:rFonts w:cs="Arial"/>
          <w:b/>
          <w:sz w:val="22"/>
        </w:rPr>
        <w:t>,</w:t>
      </w:r>
      <w:r w:rsidR="0027649F">
        <w:rPr>
          <w:rFonts w:cs="Arial"/>
          <w:b/>
          <w:sz w:val="22"/>
        </w:rPr>
        <w:t xml:space="preserve"> Olga M Torres </w:t>
      </w:r>
      <w:proofErr w:type="spellStart"/>
      <w:r w:rsidR="0027649F">
        <w:rPr>
          <w:rFonts w:cs="Arial"/>
          <w:b/>
          <w:sz w:val="22"/>
        </w:rPr>
        <w:t>Manrresa</w:t>
      </w:r>
      <w:proofErr w:type="spellEnd"/>
      <w:r w:rsidR="0027649F">
        <w:rPr>
          <w:rFonts w:cs="Arial"/>
          <w:b/>
          <w:sz w:val="22"/>
        </w:rPr>
        <w:t>.</w:t>
      </w:r>
    </w:p>
    <w:p w:rsidR="00CA3680" w:rsidRDefault="00CA3680" w:rsidP="00CA3680">
      <w:pPr>
        <w:spacing w:after="0" w:line="360" w:lineRule="auto"/>
        <w:rPr>
          <w:rFonts w:cs="Arial"/>
          <w:color w:val="000000"/>
          <w:sz w:val="22"/>
        </w:rPr>
      </w:pPr>
      <w:r w:rsidRPr="00CA3680">
        <w:rPr>
          <w:rFonts w:cs="Arial"/>
          <w:sz w:val="22"/>
          <w:vertAlign w:val="superscript"/>
        </w:rPr>
        <w:t>1</w:t>
      </w:r>
      <w:r w:rsidRPr="006C431C">
        <w:rPr>
          <w:rFonts w:cs="Arial"/>
          <w:sz w:val="22"/>
        </w:rPr>
        <w:t xml:space="preserve">Doctor en Medicina. Especialista de I Grado en Medicina General Integral. Especialista de I Grado en Anatomía Humana. Profesor asistente. </w:t>
      </w:r>
      <w:r w:rsidRPr="006C431C">
        <w:rPr>
          <w:rFonts w:cs="Arial"/>
          <w:color w:val="000000"/>
          <w:sz w:val="22"/>
        </w:rPr>
        <w:t xml:space="preserve">Universidad de Ciencias Médicas de Villa Clara. Cuba. Correo electrónico: </w:t>
      </w:r>
      <w:hyperlink r:id="rId7" w:history="1">
        <w:r w:rsidR="00757A40" w:rsidRPr="00C42DDE">
          <w:rPr>
            <w:rStyle w:val="Hipervnculo"/>
            <w:rFonts w:cs="Arial"/>
            <w:sz w:val="22"/>
          </w:rPr>
          <w:t>leidyrondoncespedes@gmail.com</w:t>
        </w:r>
      </w:hyperlink>
    </w:p>
    <w:p w:rsidR="00757A40" w:rsidRDefault="00CA3680" w:rsidP="00757A40">
      <w:pPr>
        <w:spacing w:after="0" w:line="360" w:lineRule="auto"/>
        <w:rPr>
          <w:rFonts w:cs="Arial"/>
          <w:color w:val="000000"/>
          <w:sz w:val="22"/>
        </w:rPr>
      </w:pPr>
      <w:r>
        <w:rPr>
          <w:rFonts w:cs="Arial"/>
          <w:sz w:val="22"/>
          <w:vertAlign w:val="superscript"/>
        </w:rPr>
        <w:t>2</w:t>
      </w:r>
      <w:r w:rsidRPr="006C431C">
        <w:rPr>
          <w:rFonts w:cs="Arial"/>
          <w:sz w:val="22"/>
        </w:rPr>
        <w:t xml:space="preserve">Doctor en Medicina. Especialista de I Grado Medicina General Integral. Profesor asistente. </w:t>
      </w:r>
      <w:r w:rsidRPr="006C431C">
        <w:rPr>
          <w:rFonts w:cs="Arial"/>
          <w:color w:val="000000"/>
          <w:sz w:val="22"/>
        </w:rPr>
        <w:t xml:space="preserve">Universidad de Ciencias Médicas de Villa Clara. Cuba. Correo electrónico: </w:t>
      </w:r>
      <w:hyperlink r:id="rId8" w:history="1">
        <w:r w:rsidR="00757A40" w:rsidRPr="00C42DDE">
          <w:rPr>
            <w:rStyle w:val="Hipervnculo"/>
            <w:rFonts w:cs="Arial"/>
            <w:sz w:val="22"/>
          </w:rPr>
          <w:t>leidyrondoncespedes@gmail.com</w:t>
        </w:r>
      </w:hyperlink>
    </w:p>
    <w:p w:rsidR="00E07C4A" w:rsidRPr="00C31FE1" w:rsidRDefault="00CA3680" w:rsidP="00E07C4A">
      <w:pPr>
        <w:autoSpaceDE w:val="0"/>
        <w:autoSpaceDN w:val="0"/>
        <w:adjustRightInd w:val="0"/>
        <w:spacing w:after="0" w:line="360" w:lineRule="auto"/>
        <w:jc w:val="both"/>
        <w:rPr>
          <w:rFonts w:cs="Arial"/>
          <w:color w:val="2E74B5" w:themeColor="accent1" w:themeShade="BF"/>
          <w:sz w:val="22"/>
          <w:u w:val="single"/>
        </w:rPr>
      </w:pPr>
      <w:r>
        <w:rPr>
          <w:rFonts w:cs="Arial"/>
          <w:sz w:val="22"/>
          <w:vertAlign w:val="superscript"/>
        </w:rPr>
        <w:t>3</w:t>
      </w:r>
      <w:r w:rsidR="00E07C4A" w:rsidRPr="006C431C">
        <w:rPr>
          <w:rFonts w:cs="Arial"/>
          <w:sz w:val="22"/>
        </w:rPr>
        <w:t xml:space="preserve">Doctor en Medicina. Especialista de I Grado en Medicina General Integral. Especialista de I Grado en Anatomía Humana. Máster en enfermedades infecciosas. Profesor auxiliar. </w:t>
      </w:r>
      <w:r w:rsidR="00E07C4A" w:rsidRPr="006C431C">
        <w:rPr>
          <w:rFonts w:cs="Arial"/>
          <w:color w:val="000000"/>
          <w:sz w:val="22"/>
        </w:rPr>
        <w:t xml:space="preserve">Universidad de Ciencias Médicas de Villa Clara. Cuba. Correo electrónico: </w:t>
      </w:r>
      <w:hyperlink r:id="rId9" w:history="1">
        <w:r w:rsidRPr="00C31FE1">
          <w:rPr>
            <w:rStyle w:val="Hipervnculo"/>
            <w:rFonts w:cs="Arial"/>
            <w:color w:val="2E74B5" w:themeColor="accent1" w:themeShade="BF"/>
            <w:sz w:val="22"/>
          </w:rPr>
          <w:t>bmachadodiaz95@gmail.com</w:t>
        </w:r>
      </w:hyperlink>
    </w:p>
    <w:p w:rsidR="00E07C4A" w:rsidRPr="006C431C" w:rsidRDefault="00CA3680" w:rsidP="00E07C4A">
      <w:pPr>
        <w:autoSpaceDE w:val="0"/>
        <w:autoSpaceDN w:val="0"/>
        <w:adjustRightInd w:val="0"/>
        <w:spacing w:after="0" w:line="360" w:lineRule="auto"/>
        <w:jc w:val="both"/>
        <w:rPr>
          <w:rFonts w:cs="Arial"/>
          <w:color w:val="2E74B5"/>
          <w:sz w:val="22"/>
          <w:u w:val="single"/>
        </w:rPr>
      </w:pPr>
      <w:r>
        <w:rPr>
          <w:rFonts w:cs="Arial"/>
          <w:sz w:val="22"/>
          <w:vertAlign w:val="superscript"/>
        </w:rPr>
        <w:t>4</w:t>
      </w:r>
      <w:r w:rsidR="00E07C4A" w:rsidRPr="006C431C">
        <w:rPr>
          <w:rFonts w:cs="Arial"/>
          <w:sz w:val="22"/>
        </w:rPr>
        <w:t xml:space="preserve">Doctor en Medicina. Especialista de I Grado en Medicina General Integral. Especialista de I Grado en Anatomía Humana. Profesor auxiliar. </w:t>
      </w:r>
      <w:r w:rsidR="00E07C4A" w:rsidRPr="006C431C">
        <w:rPr>
          <w:rFonts w:cs="Arial"/>
          <w:color w:val="000000"/>
          <w:sz w:val="22"/>
        </w:rPr>
        <w:t xml:space="preserve">Universidad de Ciencias Médicas de Villa Clara. Cuba. Correo electrónico: </w:t>
      </w:r>
      <w:r w:rsidR="00E07C4A" w:rsidRPr="006C431C">
        <w:rPr>
          <w:rFonts w:cs="Arial"/>
          <w:color w:val="2E74B5"/>
          <w:sz w:val="22"/>
          <w:u w:val="single"/>
        </w:rPr>
        <w:t>yanetlpc</w:t>
      </w:r>
      <w:hyperlink r:id="rId10" w:history="1">
        <w:r w:rsidR="00E07C4A" w:rsidRPr="006C431C">
          <w:rPr>
            <w:rStyle w:val="Hipervnculo"/>
            <w:rFonts w:cs="Arial"/>
            <w:color w:val="2E74B5"/>
            <w:sz w:val="22"/>
          </w:rPr>
          <w:t>@infomed.sld.cu</w:t>
        </w:r>
      </w:hyperlink>
    </w:p>
    <w:p w:rsidR="00E07C4A" w:rsidRPr="006C431C" w:rsidRDefault="00CA3680" w:rsidP="00E07C4A">
      <w:pPr>
        <w:autoSpaceDE w:val="0"/>
        <w:autoSpaceDN w:val="0"/>
        <w:adjustRightInd w:val="0"/>
        <w:spacing w:after="0" w:line="360" w:lineRule="auto"/>
        <w:jc w:val="both"/>
        <w:rPr>
          <w:rFonts w:cs="Arial"/>
          <w:color w:val="2E74B5"/>
          <w:sz w:val="22"/>
        </w:rPr>
      </w:pPr>
      <w:r>
        <w:rPr>
          <w:rFonts w:cs="Arial"/>
          <w:sz w:val="22"/>
          <w:vertAlign w:val="superscript"/>
        </w:rPr>
        <w:t>5</w:t>
      </w:r>
      <w:r w:rsidR="00E07C4A" w:rsidRPr="006C431C">
        <w:rPr>
          <w:rFonts w:cs="Arial"/>
          <w:sz w:val="22"/>
        </w:rPr>
        <w:t xml:space="preserve">Licenciada en enfermería. Especialista de I Grado en Anatomía Humana. Profesor asistente. </w:t>
      </w:r>
      <w:r w:rsidR="00E07C4A" w:rsidRPr="006C431C">
        <w:rPr>
          <w:rFonts w:cs="Arial"/>
          <w:color w:val="000000"/>
          <w:sz w:val="22"/>
        </w:rPr>
        <w:t xml:space="preserve">Universidad de Ciencias Médicas de Villa Clara. Cuba. Correo electrónico: </w:t>
      </w:r>
      <w:hyperlink r:id="rId11" w:history="1">
        <w:r w:rsidR="00E07C4A" w:rsidRPr="006C431C">
          <w:rPr>
            <w:rStyle w:val="Hipervnculo"/>
            <w:rFonts w:cs="Arial"/>
            <w:color w:val="2E74B5"/>
            <w:sz w:val="22"/>
          </w:rPr>
          <w:t>daistpm@infomed.sld.cu</w:t>
        </w:r>
      </w:hyperlink>
    </w:p>
    <w:p w:rsidR="00E07C4A" w:rsidRDefault="00E07C4A" w:rsidP="00E07C4A">
      <w:pPr>
        <w:autoSpaceDE w:val="0"/>
        <w:autoSpaceDN w:val="0"/>
        <w:adjustRightInd w:val="0"/>
        <w:spacing w:after="0" w:line="360" w:lineRule="auto"/>
        <w:jc w:val="both"/>
        <w:rPr>
          <w:rFonts w:cs="Arial"/>
          <w:color w:val="000000"/>
          <w:sz w:val="22"/>
        </w:rPr>
      </w:pPr>
      <w:r w:rsidRPr="006C431C">
        <w:rPr>
          <w:rFonts w:cs="Arial"/>
          <w:sz w:val="22"/>
          <w:vertAlign w:val="superscript"/>
        </w:rPr>
        <w:lastRenderedPageBreak/>
        <w:t>6</w:t>
      </w:r>
      <w:r w:rsidRPr="006C431C">
        <w:rPr>
          <w:rFonts w:cs="Arial"/>
          <w:sz w:val="22"/>
        </w:rPr>
        <w:t>Doctor en Medicina. Especialista d</w:t>
      </w:r>
      <w:r w:rsidR="00A72CA9">
        <w:rPr>
          <w:rFonts w:cs="Arial"/>
          <w:sz w:val="22"/>
        </w:rPr>
        <w:t>e I Grado en Pediatría</w:t>
      </w:r>
      <w:r w:rsidRPr="006C431C">
        <w:rPr>
          <w:rFonts w:cs="Arial"/>
          <w:sz w:val="22"/>
        </w:rPr>
        <w:t xml:space="preserve">. Profesor asistente. </w:t>
      </w:r>
      <w:r w:rsidRPr="006C431C">
        <w:rPr>
          <w:rFonts w:cs="Arial"/>
          <w:color w:val="000000"/>
          <w:sz w:val="22"/>
        </w:rPr>
        <w:t xml:space="preserve">Universidad de Ciencias Médicas de Villa Clara. Cuba. Correo electrónico: </w:t>
      </w:r>
      <w:hyperlink r:id="rId12" w:history="1">
        <w:r w:rsidR="007C30DF" w:rsidRPr="00C42DDE">
          <w:rPr>
            <w:rStyle w:val="Hipervnculo"/>
            <w:rFonts w:cs="Arial"/>
            <w:sz w:val="22"/>
          </w:rPr>
          <w:t>olgamtmkb@gmail.com</w:t>
        </w:r>
      </w:hyperlink>
    </w:p>
    <w:p w:rsidR="0094667A" w:rsidRPr="00B97E47" w:rsidRDefault="0094667A" w:rsidP="00E07C4A">
      <w:pPr>
        <w:autoSpaceDE w:val="0"/>
        <w:autoSpaceDN w:val="0"/>
        <w:adjustRightInd w:val="0"/>
        <w:spacing w:after="0" w:line="360" w:lineRule="auto"/>
        <w:jc w:val="both"/>
        <w:rPr>
          <w:rFonts w:ascii="Arial" w:hAnsi="Arial" w:cs="Arial"/>
          <w:color w:val="000000"/>
          <w:sz w:val="24"/>
          <w:szCs w:val="24"/>
        </w:rPr>
      </w:pPr>
    </w:p>
    <w:p w:rsidR="00E07C4A" w:rsidRPr="00E35467" w:rsidRDefault="00E07C4A" w:rsidP="00E07C4A">
      <w:pPr>
        <w:spacing w:after="0" w:line="360" w:lineRule="auto"/>
        <w:ind w:left="-425"/>
        <w:jc w:val="both"/>
        <w:rPr>
          <w:b/>
          <w:sz w:val="22"/>
          <w:vertAlign w:val="superscript"/>
        </w:rPr>
      </w:pPr>
    </w:p>
    <w:p w:rsidR="00E07C4A" w:rsidRDefault="00E07C4A" w:rsidP="00E07C4A">
      <w:pPr>
        <w:spacing w:after="0" w:line="360" w:lineRule="auto"/>
        <w:ind w:left="-425"/>
        <w:jc w:val="both"/>
        <w:rPr>
          <w:b/>
          <w:sz w:val="22"/>
        </w:rPr>
      </w:pPr>
      <w:r w:rsidRPr="00E35467">
        <w:rPr>
          <w:b/>
          <w:sz w:val="22"/>
        </w:rPr>
        <w:t>Resumen</w:t>
      </w:r>
    </w:p>
    <w:p w:rsidR="001B429D" w:rsidRPr="001B429D" w:rsidRDefault="001B429D" w:rsidP="001B429D">
      <w:pPr>
        <w:spacing w:line="240" w:lineRule="auto"/>
        <w:contextualSpacing/>
        <w:jc w:val="both"/>
        <w:rPr>
          <w:rFonts w:cs="Arial"/>
          <w:color w:val="000000"/>
          <w:sz w:val="22"/>
        </w:rPr>
      </w:pPr>
      <w:r w:rsidRPr="001B429D">
        <w:rPr>
          <w:rFonts w:cs="Arial"/>
          <w:b/>
          <w:sz w:val="22"/>
        </w:rPr>
        <w:t xml:space="preserve">Introducción: </w:t>
      </w:r>
      <w:r w:rsidRPr="001B429D">
        <w:rPr>
          <w:rFonts w:cs="Arial"/>
          <w:sz w:val="22"/>
        </w:rPr>
        <w:t xml:space="preserve">La obesidad según el reporte de la Organización Mundial de la Salud del 2018, es un problema común, 39% de los adultos con edades de 18 años y más, son sobrepeso (de las que 40% son mujeres), y del 13% obesas el 15% son mujeres. </w:t>
      </w:r>
      <w:r w:rsidRPr="001B429D">
        <w:rPr>
          <w:rFonts w:cs="Arial"/>
          <w:b/>
          <w:sz w:val="22"/>
          <w:shd w:val="clear" w:color="auto" w:fill="FFFFFF"/>
        </w:rPr>
        <w:t xml:space="preserve">Objetivos: </w:t>
      </w:r>
      <w:r w:rsidRPr="001B429D">
        <w:rPr>
          <w:rFonts w:cs="Arial"/>
          <w:sz w:val="22"/>
          <w:lang w:val="es-CO"/>
        </w:rPr>
        <w:t xml:space="preserve">Describir la distribución de las gestantes de acuerdo a la clasificación del índice cintura /talla e identificar la dinámica de las grasas abdominales subcutánea y </w:t>
      </w:r>
      <w:proofErr w:type="spellStart"/>
      <w:r w:rsidRPr="001B429D">
        <w:rPr>
          <w:rFonts w:cs="Arial"/>
          <w:sz w:val="22"/>
          <w:lang w:val="es-CO"/>
        </w:rPr>
        <w:t>preperitoneal</w:t>
      </w:r>
      <w:proofErr w:type="spellEnd"/>
      <w:r w:rsidRPr="001B429D">
        <w:rPr>
          <w:rFonts w:cs="Arial"/>
          <w:sz w:val="22"/>
          <w:lang w:val="es-CO"/>
        </w:rPr>
        <w:t xml:space="preserve">, del índice de adiposidad abdominal (AFI) y del índice de grasa acumulativo (IGA) durante la gestación de acuerdo a la clasificación del índice cintura /talla. </w:t>
      </w:r>
      <w:r w:rsidRPr="001B429D">
        <w:rPr>
          <w:rFonts w:cs="Arial"/>
          <w:b/>
          <w:sz w:val="22"/>
          <w:lang w:val="es-CO"/>
        </w:rPr>
        <w:t xml:space="preserve">Resultados: </w:t>
      </w:r>
      <w:r w:rsidRPr="001B429D">
        <w:rPr>
          <w:rFonts w:cs="Arial"/>
          <w:bCs/>
          <w:color w:val="000000"/>
          <w:sz w:val="22"/>
          <w:lang w:eastAsia="es-ES"/>
        </w:rPr>
        <w:t xml:space="preserve">Predominaron las gestantes con valores del índice C/T superior a 0,5. </w:t>
      </w:r>
      <w:r w:rsidRPr="001B429D">
        <w:rPr>
          <w:rFonts w:cs="Arial"/>
          <w:color w:val="000000"/>
          <w:sz w:val="22"/>
          <w:lang w:eastAsia="es-ES"/>
        </w:rPr>
        <w:t xml:space="preserve">La grasa subcutánea mínima desciende a través del embarazo y la grasa </w:t>
      </w:r>
      <w:proofErr w:type="spellStart"/>
      <w:r w:rsidRPr="001B429D">
        <w:rPr>
          <w:rFonts w:cs="Arial"/>
          <w:color w:val="000000"/>
          <w:sz w:val="22"/>
          <w:lang w:eastAsia="es-ES"/>
        </w:rPr>
        <w:t>preperitoneal</w:t>
      </w:r>
      <w:proofErr w:type="spellEnd"/>
      <w:r w:rsidRPr="001B429D">
        <w:rPr>
          <w:rFonts w:cs="Arial"/>
          <w:color w:val="000000"/>
          <w:sz w:val="22"/>
          <w:lang w:eastAsia="es-ES"/>
        </w:rPr>
        <w:t xml:space="preserve"> máxima se incrementó a lo largo del mismo.</w:t>
      </w:r>
      <w:r w:rsidRPr="001B429D">
        <w:rPr>
          <w:rFonts w:cs="Arial"/>
          <w:b/>
          <w:color w:val="000000"/>
          <w:sz w:val="22"/>
        </w:rPr>
        <w:t xml:space="preserve"> Conclusiones: </w:t>
      </w:r>
      <w:r w:rsidRPr="001B429D">
        <w:rPr>
          <w:rFonts w:cs="Arial"/>
          <w:sz w:val="22"/>
        </w:rPr>
        <w:t xml:space="preserve">A la captación del embarazo </w:t>
      </w:r>
      <w:r w:rsidRPr="001B429D">
        <w:rPr>
          <w:rFonts w:cs="Arial"/>
          <w:bCs/>
          <w:color w:val="000000"/>
          <w:sz w:val="22"/>
        </w:rPr>
        <w:t xml:space="preserve">predominaron las gestantes </w:t>
      </w:r>
      <w:r w:rsidRPr="001B429D">
        <w:rPr>
          <w:rFonts w:cs="Arial"/>
          <w:sz w:val="22"/>
        </w:rPr>
        <w:t>vulnerables por adiposidad central,</w:t>
      </w:r>
      <w:r w:rsidRPr="001B429D">
        <w:rPr>
          <w:rFonts w:cs="Arial"/>
          <w:bCs/>
          <w:color w:val="000000"/>
          <w:sz w:val="22"/>
        </w:rPr>
        <w:t xml:space="preserve"> con valores del índice cintura/</w:t>
      </w:r>
      <w:proofErr w:type="gramStart"/>
      <w:r w:rsidRPr="001B429D">
        <w:rPr>
          <w:rFonts w:cs="Arial"/>
          <w:bCs/>
          <w:color w:val="000000"/>
          <w:sz w:val="22"/>
        </w:rPr>
        <w:t>talla superiores</w:t>
      </w:r>
      <w:proofErr w:type="gramEnd"/>
      <w:r w:rsidRPr="001B429D">
        <w:rPr>
          <w:rFonts w:cs="Arial"/>
          <w:bCs/>
          <w:color w:val="000000"/>
          <w:sz w:val="22"/>
        </w:rPr>
        <w:t xml:space="preserve"> a 0,5.</w:t>
      </w:r>
      <w:r w:rsidRPr="001B429D">
        <w:rPr>
          <w:rFonts w:cs="Arial"/>
          <w:color w:val="000000"/>
          <w:sz w:val="22"/>
        </w:rPr>
        <w:t xml:space="preserve"> La trayectoria del índice de grasa acumulativo durante el embarazo es inversa a la del índice de adiposidad abdominal.</w:t>
      </w:r>
    </w:p>
    <w:p w:rsidR="001B429D" w:rsidRPr="00E35467" w:rsidRDefault="001B429D" w:rsidP="00E07C4A">
      <w:pPr>
        <w:spacing w:after="0" w:line="360" w:lineRule="auto"/>
        <w:ind w:left="-425"/>
        <w:jc w:val="both"/>
        <w:rPr>
          <w:b/>
          <w:sz w:val="22"/>
        </w:rPr>
      </w:pPr>
    </w:p>
    <w:p w:rsidR="00E07C4A" w:rsidRDefault="00E07C4A" w:rsidP="00E07C4A">
      <w:pPr>
        <w:spacing w:after="0" w:line="360" w:lineRule="auto"/>
        <w:ind w:left="-425"/>
        <w:jc w:val="both"/>
        <w:rPr>
          <w:b/>
          <w:sz w:val="22"/>
        </w:rPr>
      </w:pPr>
      <w:r w:rsidRPr="00E35467">
        <w:rPr>
          <w:b/>
          <w:sz w:val="22"/>
        </w:rPr>
        <w:t>Introducción:</w:t>
      </w:r>
    </w:p>
    <w:p w:rsidR="003E2533" w:rsidRPr="003E2533" w:rsidRDefault="003E2533" w:rsidP="003E2533">
      <w:pPr>
        <w:spacing w:after="120" w:line="240" w:lineRule="auto"/>
        <w:jc w:val="both"/>
        <w:rPr>
          <w:rFonts w:cs="Arial"/>
          <w:sz w:val="22"/>
          <w:vertAlign w:val="superscript"/>
        </w:rPr>
      </w:pPr>
      <w:r w:rsidRPr="003E2533">
        <w:rPr>
          <w:rFonts w:cs="Arial"/>
          <w:sz w:val="22"/>
        </w:rPr>
        <w:t>La obesidad según el reporte de la Organización Mundial de la Salud del 2018, es un problema común, 39% de los adultos con edades de 18 años y más, son sobrepeso (de las que 40% son mujeres), y del 13% obesas el 15% son mujeres.</w:t>
      </w:r>
    </w:p>
    <w:p w:rsidR="003E2533" w:rsidRPr="003E2533" w:rsidRDefault="003E2533" w:rsidP="003E2533">
      <w:pPr>
        <w:spacing w:after="120" w:line="240" w:lineRule="auto"/>
        <w:jc w:val="both"/>
        <w:rPr>
          <w:rFonts w:cs="Arial"/>
          <w:sz w:val="22"/>
          <w:vertAlign w:val="superscript"/>
          <w:lang w:eastAsia="es-ES"/>
        </w:rPr>
      </w:pPr>
      <w:r w:rsidRPr="003E2533">
        <w:rPr>
          <w:rFonts w:cs="Arial"/>
          <w:sz w:val="22"/>
          <w:lang w:eastAsia="es-ES"/>
        </w:rPr>
        <w:t xml:space="preserve">Actualmente el exceso de peso corporal se encuentra entre las primeras cinco causas de muerte globales, pues se le encuentra </w:t>
      </w:r>
      <w:r w:rsidRPr="003E2533">
        <w:rPr>
          <w:rFonts w:cs="Arial"/>
          <w:sz w:val="22"/>
        </w:rPr>
        <w:t xml:space="preserve">asociada con varios desórdenes como la diabetes mellitus, la </w:t>
      </w:r>
      <w:proofErr w:type="spellStart"/>
      <w:r w:rsidRPr="003E2533">
        <w:rPr>
          <w:rFonts w:cs="Arial"/>
          <w:sz w:val="22"/>
        </w:rPr>
        <w:t>dislipidemia</w:t>
      </w:r>
      <w:proofErr w:type="spellEnd"/>
      <w:r w:rsidRPr="003E2533">
        <w:rPr>
          <w:rFonts w:cs="Arial"/>
          <w:sz w:val="22"/>
        </w:rPr>
        <w:t xml:space="preserve"> </w:t>
      </w:r>
      <w:proofErr w:type="spellStart"/>
      <w:r w:rsidRPr="003E2533">
        <w:rPr>
          <w:rFonts w:cs="Arial"/>
          <w:sz w:val="22"/>
        </w:rPr>
        <w:t>aterogénica</w:t>
      </w:r>
      <w:proofErr w:type="spellEnd"/>
      <w:r w:rsidRPr="003E2533">
        <w:rPr>
          <w:rFonts w:cs="Arial"/>
          <w:sz w:val="22"/>
        </w:rPr>
        <w:t xml:space="preserve"> y la hipertensión, los cuales contribuyen al desarrollo de un ambiente propicio para la aparición </w:t>
      </w:r>
      <w:proofErr w:type="gramStart"/>
      <w:r w:rsidRPr="003E2533">
        <w:rPr>
          <w:rFonts w:cs="Arial"/>
          <w:sz w:val="22"/>
        </w:rPr>
        <w:t>de la arterioesclerosis</w:t>
      </w:r>
      <w:proofErr w:type="gramEnd"/>
      <w:r w:rsidRPr="003E2533">
        <w:rPr>
          <w:rFonts w:cs="Arial"/>
          <w:sz w:val="22"/>
        </w:rPr>
        <w:t xml:space="preserve"> y el desarrollo de enfermedades cardiovasculares. Ello permite comprender que, en las dos últimas décadas, la obesidad compita por el primer lugar entre las causas de muerte evitables, particularmente en el mundo occidental</w:t>
      </w:r>
      <w:r w:rsidRPr="003E2533">
        <w:rPr>
          <w:rFonts w:cs="Arial"/>
          <w:sz w:val="22"/>
          <w:lang w:eastAsia="es-ES"/>
        </w:rPr>
        <w:t>.</w:t>
      </w:r>
      <w:r w:rsidRPr="003E2533">
        <w:rPr>
          <w:sz w:val="22"/>
          <w:vertAlign w:val="superscript"/>
        </w:rPr>
        <w:t>1</w:t>
      </w:r>
      <w:r w:rsidRPr="003E2533">
        <w:rPr>
          <w:rFonts w:cs="Arial"/>
          <w:sz w:val="22"/>
          <w:vertAlign w:val="superscript"/>
          <w:lang w:eastAsia="es-ES"/>
        </w:rPr>
        <w:t xml:space="preserve"> </w:t>
      </w:r>
    </w:p>
    <w:p w:rsidR="003E2533" w:rsidRPr="003E2533" w:rsidRDefault="003E2533" w:rsidP="003E2533">
      <w:pPr>
        <w:spacing w:line="240" w:lineRule="auto"/>
        <w:jc w:val="both"/>
        <w:rPr>
          <w:rFonts w:cs="Arial"/>
          <w:sz w:val="22"/>
          <w:vertAlign w:val="superscript"/>
          <w:lang w:eastAsia="es-ES"/>
        </w:rPr>
      </w:pPr>
      <w:r w:rsidRPr="003E2533">
        <w:rPr>
          <w:rFonts w:cs="Arial"/>
          <w:sz w:val="22"/>
          <w:lang w:eastAsia="es-MX"/>
        </w:rPr>
        <w:t xml:space="preserve">La relevancia que se le concede al peso en el embarazo ha sido </w:t>
      </w:r>
      <w:proofErr w:type="gramStart"/>
      <w:r w:rsidRPr="003E2533">
        <w:rPr>
          <w:rFonts w:cs="Arial"/>
          <w:sz w:val="22"/>
          <w:lang w:eastAsia="es-MX"/>
        </w:rPr>
        <w:t>patentizado</w:t>
      </w:r>
      <w:proofErr w:type="gramEnd"/>
      <w:r w:rsidRPr="003E2533">
        <w:rPr>
          <w:rFonts w:cs="Arial"/>
          <w:sz w:val="22"/>
          <w:lang w:eastAsia="es-MX"/>
        </w:rPr>
        <w:t xml:space="preserve"> por el Instituto de Medicina de los Estados Unidos al aseverar que lo más importante para lograr un infante saludable; es que la mujer inicie su período gestacional en </w:t>
      </w:r>
      <w:proofErr w:type="spellStart"/>
      <w:r w:rsidRPr="003E2533">
        <w:rPr>
          <w:rFonts w:cs="Arial"/>
          <w:sz w:val="22"/>
          <w:lang w:eastAsia="es-MX"/>
        </w:rPr>
        <w:t>normopeso</w:t>
      </w:r>
      <w:proofErr w:type="spellEnd"/>
      <w:r w:rsidRPr="003E2533">
        <w:rPr>
          <w:rFonts w:cs="Arial"/>
          <w:sz w:val="22"/>
          <w:lang w:eastAsia="es-MX"/>
        </w:rPr>
        <w:t xml:space="preserve">; a lo que </w:t>
      </w:r>
      <w:r w:rsidRPr="003E2533">
        <w:rPr>
          <w:rFonts w:cs="Arial"/>
          <w:bCs/>
          <w:sz w:val="22"/>
          <w:lang w:eastAsia="es-ES"/>
        </w:rPr>
        <w:t>recientemente se ha agregado que el aumento excesivo de peso gestacional se asocia al incremento en los indicadores de adiposidad y a trastornos metabólicos independientemente del peso con que se haya iniciado la gestación.</w:t>
      </w:r>
      <w:r w:rsidRPr="003E2533">
        <w:rPr>
          <w:sz w:val="22"/>
          <w:vertAlign w:val="superscript"/>
        </w:rPr>
        <w:t>2</w:t>
      </w:r>
    </w:p>
    <w:p w:rsidR="003E2533" w:rsidRPr="003E2533" w:rsidRDefault="003E2533" w:rsidP="003E2533">
      <w:pPr>
        <w:spacing w:line="240" w:lineRule="auto"/>
        <w:jc w:val="both"/>
        <w:rPr>
          <w:rFonts w:cs="Arial"/>
          <w:sz w:val="22"/>
          <w:lang w:eastAsia="es-ES"/>
        </w:rPr>
      </w:pPr>
      <w:r w:rsidRPr="003E2533">
        <w:rPr>
          <w:rFonts w:cs="Arial"/>
          <w:bCs/>
          <w:sz w:val="22"/>
          <w:lang w:eastAsia="es-MX"/>
        </w:rPr>
        <w:t xml:space="preserve">El aumento de peso en el embarazo incide entre otras causas por los </w:t>
      </w:r>
      <w:r w:rsidRPr="003E2533">
        <w:rPr>
          <w:rFonts w:cs="Arial"/>
          <w:sz w:val="22"/>
          <w:lang w:eastAsia="es-ES"/>
        </w:rPr>
        <w:t xml:space="preserve">cambios en las concentraciones de hormonas sexuales, las que producen incrementos de la resistencia a la insulina y cambios en la distribución del tejido adiposo visceral y </w:t>
      </w:r>
      <w:r w:rsidRPr="003E2533">
        <w:rPr>
          <w:rFonts w:cs="Arial"/>
          <w:sz w:val="22"/>
          <w:lang w:eastAsia="es-ES"/>
        </w:rPr>
        <w:lastRenderedPageBreak/>
        <w:t>corporal</w:t>
      </w:r>
      <w:r w:rsidRPr="003E2533">
        <w:rPr>
          <w:rFonts w:cs="Arial"/>
          <w:color w:val="FF0000"/>
          <w:sz w:val="22"/>
          <w:lang w:eastAsia="es-ES"/>
        </w:rPr>
        <w:t xml:space="preserve">. </w:t>
      </w:r>
      <w:r w:rsidRPr="003E2533">
        <w:rPr>
          <w:rFonts w:cs="Arial"/>
          <w:sz w:val="22"/>
          <w:lang w:eastAsia="es-ES"/>
        </w:rPr>
        <w:t xml:space="preserve">En concordancia con tales condicionantes </w:t>
      </w:r>
      <w:r w:rsidRPr="003E2533">
        <w:rPr>
          <w:rFonts w:cs="Arial"/>
          <w:bCs/>
          <w:sz w:val="22"/>
          <w:lang w:eastAsia="es-MX"/>
        </w:rPr>
        <w:t>la OMS diseñó un proyecto de nutrición materna para el período gestacional.</w:t>
      </w:r>
      <w:r w:rsidRPr="003E2533">
        <w:rPr>
          <w:sz w:val="22"/>
          <w:vertAlign w:val="superscript"/>
        </w:rPr>
        <w:t>3</w:t>
      </w:r>
    </w:p>
    <w:p w:rsidR="003E2533" w:rsidRPr="003E2533" w:rsidRDefault="003E2533" w:rsidP="003E2533">
      <w:pPr>
        <w:spacing w:after="120" w:line="240" w:lineRule="auto"/>
        <w:jc w:val="both"/>
        <w:rPr>
          <w:rFonts w:cs="Arial"/>
          <w:color w:val="FF0000"/>
          <w:sz w:val="22"/>
        </w:rPr>
      </w:pPr>
      <w:r w:rsidRPr="003E2533">
        <w:rPr>
          <w:rFonts w:cs="Arial"/>
          <w:sz w:val="22"/>
        </w:rPr>
        <w:t>La distribución central de la adiposidad, se asocia al incremento del riesgo de patologías lo cual en parte obedece a que e</w:t>
      </w:r>
      <w:r w:rsidRPr="003E2533">
        <w:rPr>
          <w:rFonts w:cs="Arial"/>
          <w:bCs/>
          <w:sz w:val="22"/>
        </w:rPr>
        <w:t xml:space="preserve">l tejido adiposo como órgano endocrino secreta </w:t>
      </w:r>
      <w:proofErr w:type="spellStart"/>
      <w:r w:rsidRPr="003E2533">
        <w:rPr>
          <w:rFonts w:cs="Arial"/>
          <w:bCs/>
          <w:sz w:val="22"/>
        </w:rPr>
        <w:t>leptina</w:t>
      </w:r>
      <w:proofErr w:type="spellEnd"/>
      <w:r w:rsidRPr="003E2533">
        <w:rPr>
          <w:rFonts w:cs="Arial"/>
          <w:bCs/>
          <w:sz w:val="22"/>
        </w:rPr>
        <w:t xml:space="preserve"> la que actúa sobre el eje </w:t>
      </w:r>
      <w:proofErr w:type="spellStart"/>
      <w:r w:rsidRPr="003E2533">
        <w:rPr>
          <w:rFonts w:cs="Arial"/>
          <w:bCs/>
          <w:sz w:val="22"/>
        </w:rPr>
        <w:t>adipoinsular</w:t>
      </w:r>
      <w:proofErr w:type="spellEnd"/>
      <w:r w:rsidRPr="003E2533">
        <w:rPr>
          <w:rFonts w:cs="Arial"/>
          <w:bCs/>
          <w:sz w:val="22"/>
        </w:rPr>
        <w:t xml:space="preserve">, a través de la cual, el vínculo funcional entre hipotálamo, hipófisis y adrenales provoca que dos hormonas </w:t>
      </w:r>
      <w:proofErr w:type="spellStart"/>
      <w:r w:rsidRPr="003E2533">
        <w:rPr>
          <w:rFonts w:cs="Arial"/>
          <w:bCs/>
          <w:sz w:val="22"/>
        </w:rPr>
        <w:t>adipogénicas</w:t>
      </w:r>
      <w:proofErr w:type="spellEnd"/>
      <w:r w:rsidRPr="003E2533">
        <w:rPr>
          <w:rFonts w:cs="Arial"/>
          <w:bCs/>
          <w:sz w:val="22"/>
        </w:rPr>
        <w:t xml:space="preserve"> (insulina y glucocorticoide) faciliten el desarrollo de la grasa omental </w:t>
      </w:r>
      <w:proofErr w:type="spellStart"/>
      <w:r w:rsidRPr="003E2533">
        <w:rPr>
          <w:rFonts w:cs="Arial"/>
          <w:bCs/>
          <w:sz w:val="22"/>
        </w:rPr>
        <w:t>perivisceral</w:t>
      </w:r>
      <w:proofErr w:type="spellEnd"/>
      <w:r w:rsidRPr="003E2533">
        <w:rPr>
          <w:rFonts w:cs="Arial"/>
          <w:bCs/>
          <w:sz w:val="22"/>
        </w:rPr>
        <w:t>, con fuertes consecuencias metabólicas.</w:t>
      </w:r>
      <w:r w:rsidRPr="003E2533">
        <w:rPr>
          <w:sz w:val="22"/>
          <w:vertAlign w:val="superscript"/>
        </w:rPr>
        <w:t>4</w:t>
      </w:r>
    </w:p>
    <w:p w:rsidR="003E2533" w:rsidRPr="003E2533" w:rsidRDefault="003E2533" w:rsidP="003E2533">
      <w:pPr>
        <w:spacing w:line="240" w:lineRule="auto"/>
        <w:ind w:right="-93"/>
        <w:jc w:val="both"/>
        <w:rPr>
          <w:sz w:val="22"/>
          <w:vertAlign w:val="superscript"/>
        </w:rPr>
      </w:pPr>
      <w:r w:rsidRPr="003E2533">
        <w:rPr>
          <w:rFonts w:cs="Arial"/>
          <w:sz w:val="22"/>
        </w:rPr>
        <w:t xml:space="preserve">Todo ello explica la importancia de evaluar certeramente, en las gestantes; el estado y la evolución desde el inicio del embarazo y en todo su trayecto, no solo del peso corporal sino también de la adiposidad abdominal. Por esta razón en los países en vías de desarrollo, que carecen de recursos para realizar otro tipo de mediciones, el uso de parámetros antropométricos constituye una estrategia costo efectiva para su determinación. </w:t>
      </w:r>
      <w:r w:rsidRPr="003E2533">
        <w:rPr>
          <w:sz w:val="22"/>
          <w:vertAlign w:val="superscript"/>
        </w:rPr>
        <w:t>5</w:t>
      </w:r>
    </w:p>
    <w:p w:rsidR="003E2533" w:rsidRPr="003E2533" w:rsidRDefault="003E2533" w:rsidP="003E2533">
      <w:pPr>
        <w:spacing w:line="240" w:lineRule="auto"/>
        <w:ind w:right="-93"/>
        <w:jc w:val="both"/>
        <w:rPr>
          <w:rFonts w:cs="Arial"/>
          <w:sz w:val="22"/>
          <w:vertAlign w:val="superscript"/>
        </w:rPr>
      </w:pPr>
      <w:r w:rsidRPr="003E2533">
        <w:rPr>
          <w:rFonts w:cs="Arial"/>
          <w:sz w:val="22"/>
        </w:rPr>
        <w:t xml:space="preserve">En este sentido uno de los recursos de fácil aplicación y bajo costo es la medición de la circunferencia de la cintura (CA); parámetro antropométrico cuyo valor en la evaluación de la enfermedad cardiovascular y de la diabetes tipo 2 ha sido demostrado en estudios longitudinales. </w:t>
      </w:r>
      <w:r w:rsidRPr="003E2533">
        <w:rPr>
          <w:sz w:val="22"/>
          <w:vertAlign w:val="superscript"/>
        </w:rPr>
        <w:t>6</w:t>
      </w:r>
    </w:p>
    <w:p w:rsidR="003E2533" w:rsidRPr="003E2533" w:rsidRDefault="003E2533" w:rsidP="003E2533">
      <w:pPr>
        <w:spacing w:line="240" w:lineRule="auto"/>
        <w:ind w:right="-93"/>
        <w:jc w:val="both"/>
        <w:rPr>
          <w:rFonts w:cs="Arial"/>
          <w:sz w:val="22"/>
          <w:vertAlign w:val="superscript"/>
        </w:rPr>
      </w:pPr>
      <w:r w:rsidRPr="003E2533">
        <w:rPr>
          <w:rFonts w:cs="Arial"/>
          <w:sz w:val="22"/>
        </w:rPr>
        <w:t xml:space="preserve">Su valor como herramienta predictiva de ciertos procesos metabólicos irregulares tales como inflamación, </w:t>
      </w:r>
      <w:proofErr w:type="spellStart"/>
      <w:r w:rsidRPr="003E2533">
        <w:rPr>
          <w:rFonts w:cs="Arial"/>
          <w:sz w:val="22"/>
        </w:rPr>
        <w:t>dislipidemia</w:t>
      </w:r>
      <w:proofErr w:type="spellEnd"/>
      <w:r w:rsidRPr="003E2533">
        <w:rPr>
          <w:rFonts w:cs="Arial"/>
          <w:sz w:val="22"/>
        </w:rPr>
        <w:t xml:space="preserve"> y diabetes mellitus (DM2) es superior al del índice de masa corporal (IMC). </w:t>
      </w:r>
      <w:hyperlink w:anchor="_ENREF_16" w:tooltip="Wall-Medrano, 2016 #819" w:history="1">
        <w:r w:rsidRPr="003E2533">
          <w:rPr>
            <w:rFonts w:cs="Arial"/>
            <w:sz w:val="22"/>
            <w:vertAlign w:val="superscript"/>
          </w:rPr>
          <w:t>7</w:t>
        </w:r>
      </w:hyperlink>
    </w:p>
    <w:p w:rsidR="003E2533" w:rsidRPr="003E2533" w:rsidRDefault="003E2533" w:rsidP="003E2533">
      <w:pPr>
        <w:spacing w:line="240" w:lineRule="auto"/>
        <w:jc w:val="both"/>
        <w:rPr>
          <w:sz w:val="22"/>
          <w:vertAlign w:val="superscript"/>
        </w:rPr>
      </w:pPr>
      <w:r w:rsidRPr="003E2533">
        <w:rPr>
          <w:rFonts w:cs="Arial"/>
          <w:sz w:val="22"/>
        </w:rPr>
        <w:t>En las personas con circunferencia de la cintura (CA) aumentada son también comunes índices de grasa visceral/subcutáneo de expansión (hipertrófica) de las células adiposas del tejido subcutáneo, la que traduce la limitación de las células de este tejido para reproducir nuevas células; combinado con disfuncionalidad y tejido adiposo inflamatorio, además del incremento del depósito de tejido adiposo visceral y ectópico.</w:t>
      </w:r>
      <w:r w:rsidRPr="003E2533">
        <w:rPr>
          <w:sz w:val="22"/>
          <w:vertAlign w:val="superscript"/>
        </w:rPr>
        <w:t xml:space="preserve">8 </w:t>
      </w:r>
    </w:p>
    <w:p w:rsidR="003E2533" w:rsidRPr="003E2533" w:rsidRDefault="003E2533" w:rsidP="003E2533">
      <w:pPr>
        <w:spacing w:line="240" w:lineRule="auto"/>
        <w:jc w:val="both"/>
        <w:rPr>
          <w:sz w:val="22"/>
          <w:vertAlign w:val="superscript"/>
        </w:rPr>
      </w:pPr>
      <w:r w:rsidRPr="003E2533">
        <w:rPr>
          <w:rFonts w:cs="Arial"/>
          <w:sz w:val="22"/>
        </w:rPr>
        <w:t xml:space="preserve">El estudio, por este concepto de la adiposidad abdominal en el embarazo, y su comprobación </w:t>
      </w:r>
      <w:proofErr w:type="spellStart"/>
      <w:r w:rsidRPr="003E2533">
        <w:rPr>
          <w:rFonts w:cs="Arial"/>
          <w:sz w:val="22"/>
        </w:rPr>
        <w:t>ultrasonográfica</w:t>
      </w:r>
      <w:proofErr w:type="spellEnd"/>
      <w:r w:rsidRPr="003E2533">
        <w:rPr>
          <w:rFonts w:cs="Arial"/>
          <w:sz w:val="22"/>
        </w:rPr>
        <w:t xml:space="preserve"> han demostrado que a mayor circunferencia de la cintura (CA), mayor incidencia de complicaciones, independientes del índice de masa corporal (IMC); lo que evidencia que es un buen predictor de riesgo </w:t>
      </w:r>
      <w:proofErr w:type="spellStart"/>
      <w:r w:rsidRPr="003E2533">
        <w:rPr>
          <w:rFonts w:cs="Arial"/>
          <w:sz w:val="22"/>
        </w:rPr>
        <w:t>cardiometabólico</w:t>
      </w:r>
      <w:proofErr w:type="spellEnd"/>
      <w:r w:rsidRPr="003E2533">
        <w:rPr>
          <w:rFonts w:cs="Arial"/>
          <w:sz w:val="22"/>
        </w:rPr>
        <w:t xml:space="preserve"> incluso en las personas de peso normal. Evidencias de este tipo argumentan la necesidad impostergable de encontrar métodos seguros y precisos para sustituir o complementar con eficiencia el uso de las técnicas de diagnóstico </w:t>
      </w:r>
      <w:proofErr w:type="spellStart"/>
      <w:r w:rsidRPr="003E2533">
        <w:rPr>
          <w:rFonts w:cs="Arial"/>
          <w:sz w:val="22"/>
        </w:rPr>
        <w:t>imagenológicos</w:t>
      </w:r>
      <w:proofErr w:type="spellEnd"/>
      <w:r w:rsidRPr="003E2533">
        <w:rPr>
          <w:rFonts w:cs="Arial"/>
          <w:sz w:val="22"/>
        </w:rPr>
        <w:t xml:space="preserve"> en el cálculo de la grasa visceral; por métodos antropométricos. </w:t>
      </w:r>
      <w:r w:rsidRPr="003E2533">
        <w:rPr>
          <w:sz w:val="22"/>
          <w:vertAlign w:val="superscript"/>
        </w:rPr>
        <w:t>9</w:t>
      </w:r>
    </w:p>
    <w:p w:rsidR="003E2533" w:rsidRPr="003E2533" w:rsidRDefault="003E2533" w:rsidP="003E2533">
      <w:pPr>
        <w:spacing w:line="240" w:lineRule="auto"/>
        <w:jc w:val="both"/>
        <w:rPr>
          <w:rFonts w:cs="Arial"/>
          <w:sz w:val="22"/>
          <w:highlight w:val="cyan"/>
          <w:vertAlign w:val="superscript"/>
        </w:rPr>
      </w:pPr>
      <w:r w:rsidRPr="003E2533">
        <w:rPr>
          <w:rFonts w:cs="Arial"/>
          <w:sz w:val="22"/>
        </w:rPr>
        <w:t xml:space="preserve">Recientemente diferentes índices metabólicos que combinan mediciones antropométricas y lipídicas se han usado en la estimación de la disfunción adiposa visceral </w:t>
      </w:r>
      <w:r w:rsidRPr="003E2533">
        <w:rPr>
          <w:rFonts w:cs="Arial"/>
          <w:sz w:val="22"/>
          <w:vertAlign w:val="superscript"/>
        </w:rPr>
        <w:t>10</w:t>
      </w:r>
      <w:r w:rsidRPr="003E2533">
        <w:rPr>
          <w:rFonts w:cs="Arial"/>
          <w:sz w:val="22"/>
        </w:rPr>
        <w:t xml:space="preserve"> y la acumulación lipídica. </w:t>
      </w:r>
      <w:r w:rsidRPr="003E2533">
        <w:rPr>
          <w:sz w:val="22"/>
          <w:vertAlign w:val="superscript"/>
        </w:rPr>
        <w:t>11</w:t>
      </w:r>
      <w:r w:rsidRPr="003E2533">
        <w:rPr>
          <w:sz w:val="22"/>
        </w:rPr>
        <w:t xml:space="preserve"> </w:t>
      </w:r>
      <w:r w:rsidRPr="003E2533">
        <w:rPr>
          <w:rFonts w:cs="Arial"/>
          <w:sz w:val="22"/>
        </w:rPr>
        <w:t xml:space="preserve">Estos incluyen el índice de adiposidad visceral (VAI), la acumulación de productos lipídicos (LAP) y los productos de </w:t>
      </w:r>
      <w:proofErr w:type="spellStart"/>
      <w:r w:rsidRPr="003E2533">
        <w:rPr>
          <w:rFonts w:cs="Arial"/>
          <w:sz w:val="22"/>
        </w:rPr>
        <w:t>triacilglicéridos</w:t>
      </w:r>
      <w:proofErr w:type="spellEnd"/>
      <w:r w:rsidRPr="003E2533">
        <w:rPr>
          <w:rFonts w:cs="Arial"/>
          <w:sz w:val="22"/>
        </w:rPr>
        <w:t xml:space="preserve"> y glucosa (marcador precoz de resistencia a la insulina. </w:t>
      </w:r>
      <w:r w:rsidRPr="003E2533">
        <w:rPr>
          <w:sz w:val="22"/>
          <w:vertAlign w:val="superscript"/>
        </w:rPr>
        <w:t>12</w:t>
      </w:r>
      <w:r w:rsidRPr="003E2533">
        <w:rPr>
          <w:rFonts w:cs="Arial"/>
          <w:sz w:val="22"/>
        </w:rPr>
        <w:t xml:space="preserve"> El incremento del tejido adiposo subcutáneo que comienza con el embarazo, se extiende hasta el tercer </w:t>
      </w:r>
      <w:r w:rsidRPr="003E2533">
        <w:rPr>
          <w:rFonts w:cs="Arial"/>
          <w:sz w:val="22"/>
        </w:rPr>
        <w:lastRenderedPageBreak/>
        <w:t xml:space="preserve">trimestre, momento en que cesa a pesar de que la masa libre de grasa continúa en ascenso. </w:t>
      </w:r>
      <w:r w:rsidRPr="003E2533">
        <w:rPr>
          <w:sz w:val="22"/>
          <w:vertAlign w:val="superscript"/>
        </w:rPr>
        <w:t>13</w:t>
      </w:r>
    </w:p>
    <w:p w:rsidR="003E2533" w:rsidRPr="003E2533" w:rsidRDefault="003E2533" w:rsidP="003E2533">
      <w:pPr>
        <w:spacing w:line="240" w:lineRule="auto"/>
        <w:jc w:val="both"/>
        <w:rPr>
          <w:rFonts w:cs="Arial"/>
          <w:sz w:val="22"/>
        </w:rPr>
      </w:pPr>
      <w:r w:rsidRPr="003E2533">
        <w:rPr>
          <w:rFonts w:cs="Arial"/>
          <w:sz w:val="22"/>
        </w:rPr>
        <w:t xml:space="preserve">Lo anterior conllevó a que se planteara el siguiente problema científico: </w:t>
      </w:r>
    </w:p>
    <w:p w:rsidR="003E2533" w:rsidRPr="00E55D0D" w:rsidRDefault="003E2533" w:rsidP="005D376A">
      <w:pPr>
        <w:spacing w:line="240" w:lineRule="auto"/>
        <w:ind w:right="-93"/>
        <w:jc w:val="both"/>
        <w:rPr>
          <w:rFonts w:cs="Arial"/>
          <w:sz w:val="22"/>
        </w:rPr>
      </w:pPr>
      <w:r w:rsidRPr="003E2533">
        <w:rPr>
          <w:rFonts w:cs="Arial"/>
          <w:sz w:val="22"/>
        </w:rPr>
        <w:t xml:space="preserve">¿Cuál es la relación entre </w:t>
      </w:r>
      <w:proofErr w:type="gramStart"/>
      <w:r w:rsidRPr="003E2533">
        <w:rPr>
          <w:rFonts w:cs="Arial"/>
          <w:sz w:val="22"/>
        </w:rPr>
        <w:t>el índice cintura</w:t>
      </w:r>
      <w:proofErr w:type="gramEnd"/>
      <w:r w:rsidRPr="003E2533">
        <w:rPr>
          <w:rFonts w:cs="Arial"/>
          <w:sz w:val="22"/>
        </w:rPr>
        <w:t xml:space="preserve">/talla a la captación con la dinámica de la </w:t>
      </w:r>
      <w:r w:rsidRPr="00E55D0D">
        <w:rPr>
          <w:rFonts w:cs="Arial"/>
          <w:sz w:val="22"/>
        </w:rPr>
        <w:t>adiposidad abdominal durante el embarazo, en gestantes de peso adecuado pertenecientes al Policlínico “</w:t>
      </w:r>
      <w:proofErr w:type="spellStart"/>
      <w:r w:rsidRPr="00E55D0D">
        <w:rPr>
          <w:rFonts w:cs="Arial"/>
          <w:sz w:val="22"/>
        </w:rPr>
        <w:t>Chiqui</w:t>
      </w:r>
      <w:proofErr w:type="spellEnd"/>
      <w:r w:rsidRPr="00E55D0D">
        <w:rPr>
          <w:rFonts w:cs="Arial"/>
          <w:sz w:val="22"/>
        </w:rPr>
        <w:t xml:space="preserve"> Gómez </w:t>
      </w:r>
      <w:proofErr w:type="spellStart"/>
      <w:r w:rsidRPr="00E55D0D">
        <w:rPr>
          <w:rFonts w:cs="Arial"/>
          <w:sz w:val="22"/>
        </w:rPr>
        <w:t>Lubián</w:t>
      </w:r>
      <w:proofErr w:type="spellEnd"/>
      <w:r w:rsidRPr="00E55D0D">
        <w:rPr>
          <w:rFonts w:cs="Arial"/>
          <w:sz w:val="22"/>
        </w:rPr>
        <w:t>” durante el período enero-octubre de 2018?</w:t>
      </w:r>
    </w:p>
    <w:p w:rsidR="00E07C4A" w:rsidRPr="00E55D0D" w:rsidRDefault="00E07C4A" w:rsidP="00E07C4A">
      <w:pPr>
        <w:spacing w:after="0" w:line="360" w:lineRule="auto"/>
        <w:ind w:left="-425"/>
        <w:jc w:val="both"/>
        <w:rPr>
          <w:b/>
          <w:sz w:val="22"/>
        </w:rPr>
      </w:pPr>
      <w:r w:rsidRPr="00E55D0D">
        <w:rPr>
          <w:b/>
          <w:sz w:val="22"/>
        </w:rPr>
        <w:t>Objetivo</w:t>
      </w:r>
      <w:r w:rsidR="005D376A" w:rsidRPr="00E55D0D">
        <w:rPr>
          <w:b/>
          <w:sz w:val="22"/>
        </w:rPr>
        <w:t>s</w:t>
      </w:r>
      <w:r w:rsidRPr="00E55D0D">
        <w:rPr>
          <w:b/>
          <w:sz w:val="22"/>
        </w:rPr>
        <w:t xml:space="preserve">: </w:t>
      </w:r>
    </w:p>
    <w:p w:rsidR="005D376A" w:rsidRPr="00E55D0D" w:rsidRDefault="005D376A" w:rsidP="005D376A">
      <w:pPr>
        <w:numPr>
          <w:ilvl w:val="0"/>
          <w:numId w:val="3"/>
        </w:numPr>
        <w:spacing w:line="240" w:lineRule="auto"/>
        <w:ind w:left="567" w:hanging="425"/>
        <w:contextualSpacing/>
        <w:jc w:val="both"/>
        <w:rPr>
          <w:rFonts w:cs="Arial"/>
          <w:sz w:val="22"/>
          <w:lang w:val="es-CO"/>
        </w:rPr>
      </w:pPr>
      <w:r w:rsidRPr="00E55D0D">
        <w:rPr>
          <w:rFonts w:cs="Arial"/>
          <w:sz w:val="22"/>
          <w:lang w:val="es-CO"/>
        </w:rPr>
        <w:t>Describir la distribución de las gestantes de acuerdo a la clasificación del índice cintura /talla.</w:t>
      </w:r>
    </w:p>
    <w:p w:rsidR="005D376A" w:rsidRPr="00E55D0D" w:rsidRDefault="005D376A" w:rsidP="005D376A">
      <w:pPr>
        <w:numPr>
          <w:ilvl w:val="0"/>
          <w:numId w:val="3"/>
        </w:numPr>
        <w:spacing w:line="240" w:lineRule="auto"/>
        <w:ind w:left="567" w:hanging="425"/>
        <w:contextualSpacing/>
        <w:jc w:val="both"/>
        <w:rPr>
          <w:rFonts w:cs="Arial"/>
          <w:sz w:val="22"/>
          <w:lang w:val="es-CO"/>
        </w:rPr>
      </w:pPr>
      <w:r w:rsidRPr="00E55D0D">
        <w:rPr>
          <w:rFonts w:cs="Arial"/>
          <w:sz w:val="22"/>
          <w:lang w:val="es-CO"/>
        </w:rPr>
        <w:t xml:space="preserve">Identificar la dinámica de las grasas abdominales subcutánea y </w:t>
      </w:r>
      <w:proofErr w:type="spellStart"/>
      <w:r w:rsidRPr="00E55D0D">
        <w:rPr>
          <w:rFonts w:cs="Arial"/>
          <w:sz w:val="22"/>
          <w:lang w:val="es-CO"/>
        </w:rPr>
        <w:t>preperitoneal</w:t>
      </w:r>
      <w:proofErr w:type="spellEnd"/>
      <w:r w:rsidRPr="00E55D0D">
        <w:rPr>
          <w:rFonts w:cs="Arial"/>
          <w:sz w:val="22"/>
          <w:lang w:val="es-CO"/>
        </w:rPr>
        <w:t>, del índice de adiposidad abdominal (AFI) y del índice de grasa acumulativo (IGA) durante la gestación de acuerdo a la clasificación del índice cintura /talla.</w:t>
      </w:r>
    </w:p>
    <w:p w:rsidR="005D376A" w:rsidRPr="00E55D0D" w:rsidRDefault="005D376A" w:rsidP="005D376A">
      <w:pPr>
        <w:spacing w:line="240" w:lineRule="auto"/>
        <w:ind w:left="567"/>
        <w:contextualSpacing/>
        <w:jc w:val="both"/>
        <w:rPr>
          <w:rFonts w:cs="Arial"/>
          <w:sz w:val="22"/>
          <w:lang w:val="es-CO"/>
        </w:rPr>
      </w:pPr>
    </w:p>
    <w:p w:rsidR="00E07C4A" w:rsidRPr="00E55D0D" w:rsidRDefault="00E07C4A" w:rsidP="00E07C4A">
      <w:pPr>
        <w:spacing w:after="0" w:line="360" w:lineRule="auto"/>
        <w:ind w:left="-425"/>
        <w:jc w:val="both"/>
        <w:rPr>
          <w:b/>
          <w:sz w:val="22"/>
        </w:rPr>
      </w:pPr>
      <w:r w:rsidRPr="00E55D0D">
        <w:rPr>
          <w:b/>
          <w:sz w:val="22"/>
        </w:rPr>
        <w:t>Materiales y métodos:</w:t>
      </w:r>
    </w:p>
    <w:p w:rsidR="00E55D0D" w:rsidRPr="00E55D0D" w:rsidRDefault="00E55D0D" w:rsidP="00E55D0D">
      <w:pPr>
        <w:autoSpaceDE w:val="0"/>
        <w:autoSpaceDN w:val="0"/>
        <w:adjustRightInd w:val="0"/>
        <w:spacing w:line="240" w:lineRule="auto"/>
        <w:jc w:val="both"/>
        <w:rPr>
          <w:rFonts w:cs="Arial"/>
          <w:color w:val="000000"/>
          <w:sz w:val="22"/>
        </w:rPr>
      </w:pPr>
      <w:r w:rsidRPr="00E55D0D">
        <w:rPr>
          <w:rFonts w:cs="Arial"/>
          <w:bCs/>
          <w:color w:val="000000"/>
          <w:sz w:val="22"/>
        </w:rPr>
        <w:t xml:space="preserve">Se trata de un estudio observacional  analítico en gestantes cubanas </w:t>
      </w:r>
      <w:proofErr w:type="spellStart"/>
      <w:r w:rsidRPr="00E55D0D">
        <w:rPr>
          <w:rFonts w:cs="Arial"/>
          <w:bCs/>
          <w:color w:val="000000"/>
          <w:sz w:val="22"/>
        </w:rPr>
        <w:t>normopeso</w:t>
      </w:r>
      <w:proofErr w:type="spellEnd"/>
      <w:r w:rsidRPr="00E55D0D">
        <w:rPr>
          <w:rFonts w:cs="Arial"/>
          <w:bCs/>
          <w:color w:val="000000"/>
          <w:sz w:val="22"/>
        </w:rPr>
        <w:t xml:space="preserve"> (IMC:18.5-25.6 kg/m</w:t>
      </w:r>
      <w:r w:rsidRPr="00E55D0D">
        <w:rPr>
          <w:rFonts w:cs="Arial"/>
          <w:bCs/>
          <w:color w:val="000000"/>
          <w:sz w:val="22"/>
          <w:vertAlign w:val="superscript"/>
        </w:rPr>
        <w:t>2</w:t>
      </w:r>
      <w:r w:rsidRPr="00E55D0D">
        <w:rPr>
          <w:rFonts w:cs="Arial"/>
          <w:bCs/>
          <w:color w:val="000000"/>
          <w:sz w:val="22"/>
        </w:rPr>
        <w:t>) que asistieron a la consulta de evaluación prenatal en el área de salud del policlínico “</w:t>
      </w:r>
      <w:proofErr w:type="spellStart"/>
      <w:r w:rsidRPr="00E55D0D">
        <w:rPr>
          <w:rFonts w:cs="Arial"/>
          <w:bCs/>
          <w:color w:val="000000"/>
          <w:sz w:val="22"/>
        </w:rPr>
        <w:t>Chiqui</w:t>
      </w:r>
      <w:proofErr w:type="spellEnd"/>
      <w:r w:rsidRPr="00E55D0D">
        <w:rPr>
          <w:rFonts w:cs="Arial"/>
          <w:bCs/>
          <w:color w:val="000000"/>
          <w:sz w:val="22"/>
        </w:rPr>
        <w:t xml:space="preserve"> Gómez </w:t>
      </w:r>
      <w:proofErr w:type="spellStart"/>
      <w:r w:rsidRPr="00E55D0D">
        <w:rPr>
          <w:rFonts w:cs="Arial"/>
          <w:bCs/>
          <w:color w:val="000000"/>
          <w:sz w:val="22"/>
        </w:rPr>
        <w:t>Lubián</w:t>
      </w:r>
      <w:proofErr w:type="spellEnd"/>
      <w:r w:rsidRPr="00E55D0D">
        <w:rPr>
          <w:rFonts w:cs="Arial"/>
          <w:bCs/>
          <w:color w:val="000000"/>
          <w:sz w:val="22"/>
        </w:rPr>
        <w:t xml:space="preserve">” del municipio Santa Clara, </w:t>
      </w:r>
      <w:r w:rsidRPr="00E55D0D">
        <w:rPr>
          <w:rFonts w:cs="Arial"/>
          <w:color w:val="000000"/>
          <w:sz w:val="22"/>
          <w:lang w:eastAsia="es-ES"/>
        </w:rPr>
        <w:t xml:space="preserve">en el período comprendido de enero de 2018 a octubre 2018, </w:t>
      </w:r>
      <w:r w:rsidRPr="00E55D0D">
        <w:rPr>
          <w:rFonts w:cs="Arial"/>
          <w:color w:val="000000"/>
          <w:sz w:val="22"/>
        </w:rPr>
        <w:t xml:space="preserve">que tuvieron embarazos simples sin complicaciones maternas ni fetales durante la gestación , que asistieron a todas las consultas </w:t>
      </w:r>
      <w:proofErr w:type="spellStart"/>
      <w:r w:rsidRPr="00E55D0D">
        <w:rPr>
          <w:rFonts w:cs="Arial"/>
          <w:color w:val="000000"/>
          <w:sz w:val="22"/>
        </w:rPr>
        <w:t>ultrasonográficas</w:t>
      </w:r>
      <w:proofErr w:type="spellEnd"/>
      <w:r w:rsidRPr="00E55D0D">
        <w:rPr>
          <w:rFonts w:cs="Arial"/>
          <w:color w:val="000000"/>
          <w:sz w:val="22"/>
        </w:rPr>
        <w:t xml:space="preserve"> en la fecha prevista y sin alternar su realización con otro profesional ajeno al que está responsabilizado con el estudio de la adiposidad abdominal. A la consulta asistieron 229 gestantes, finalmente, al aplicar diferentes criterios de inclusión, exclusión y de salida la muestra a </w:t>
      </w:r>
      <w:r w:rsidRPr="00E55D0D">
        <w:rPr>
          <w:rFonts w:cs="Arial"/>
          <w:sz w:val="22"/>
        </w:rPr>
        <w:t>estudiar quedó constituida por 52 gestantes.</w:t>
      </w:r>
    </w:p>
    <w:p w:rsidR="00E55D0D" w:rsidRPr="00E55D0D" w:rsidRDefault="00E55D0D" w:rsidP="00E55D0D">
      <w:pPr>
        <w:spacing w:line="240" w:lineRule="auto"/>
        <w:contextualSpacing/>
        <w:jc w:val="both"/>
        <w:rPr>
          <w:rFonts w:cs="Arial"/>
          <w:sz w:val="22"/>
          <w:lang w:eastAsia="es-ES"/>
        </w:rPr>
      </w:pPr>
      <w:r w:rsidRPr="00E55D0D">
        <w:rPr>
          <w:rFonts w:cs="Arial"/>
          <w:b/>
          <w:sz w:val="22"/>
          <w:lang w:eastAsia="es-ES"/>
        </w:rPr>
        <w:t>Criterios de inclusión</w:t>
      </w:r>
      <w:r w:rsidRPr="00E55D0D">
        <w:rPr>
          <w:rFonts w:cs="Arial"/>
          <w:sz w:val="22"/>
          <w:lang w:eastAsia="es-ES"/>
        </w:rPr>
        <w:t>:</w:t>
      </w:r>
    </w:p>
    <w:p w:rsidR="00E55D0D" w:rsidRPr="00E55D0D" w:rsidRDefault="00E55D0D" w:rsidP="00E55D0D">
      <w:pPr>
        <w:numPr>
          <w:ilvl w:val="0"/>
          <w:numId w:val="4"/>
        </w:numPr>
        <w:spacing w:line="240" w:lineRule="auto"/>
        <w:contextualSpacing/>
        <w:jc w:val="both"/>
        <w:rPr>
          <w:rFonts w:cs="Arial"/>
          <w:sz w:val="22"/>
          <w:lang w:eastAsia="es-ES"/>
        </w:rPr>
      </w:pPr>
      <w:r w:rsidRPr="00E55D0D">
        <w:rPr>
          <w:rFonts w:cs="Arial"/>
          <w:sz w:val="22"/>
          <w:lang w:eastAsia="es-ES"/>
        </w:rPr>
        <w:t>Nacionalidad cubana.</w:t>
      </w:r>
    </w:p>
    <w:p w:rsidR="007C30DF" w:rsidRDefault="00E55D0D" w:rsidP="00A31DA4">
      <w:pPr>
        <w:numPr>
          <w:ilvl w:val="0"/>
          <w:numId w:val="4"/>
        </w:numPr>
        <w:autoSpaceDE w:val="0"/>
        <w:autoSpaceDN w:val="0"/>
        <w:adjustRightInd w:val="0"/>
        <w:spacing w:line="240" w:lineRule="auto"/>
        <w:contextualSpacing/>
        <w:jc w:val="both"/>
        <w:rPr>
          <w:rFonts w:cs="Arial"/>
          <w:sz w:val="22"/>
          <w:lang w:eastAsia="es-ES"/>
        </w:rPr>
      </w:pPr>
      <w:r w:rsidRPr="007C30DF">
        <w:rPr>
          <w:rFonts w:cs="Arial"/>
          <w:sz w:val="22"/>
        </w:rPr>
        <w:t xml:space="preserve">Residente en el municipio Santa Clara. </w:t>
      </w:r>
    </w:p>
    <w:p w:rsidR="00E55D0D" w:rsidRPr="007C30DF" w:rsidRDefault="00E55D0D" w:rsidP="00A31DA4">
      <w:pPr>
        <w:numPr>
          <w:ilvl w:val="0"/>
          <w:numId w:val="4"/>
        </w:numPr>
        <w:autoSpaceDE w:val="0"/>
        <w:autoSpaceDN w:val="0"/>
        <w:adjustRightInd w:val="0"/>
        <w:spacing w:line="240" w:lineRule="auto"/>
        <w:contextualSpacing/>
        <w:jc w:val="both"/>
        <w:rPr>
          <w:rFonts w:cs="Arial"/>
          <w:sz w:val="22"/>
          <w:lang w:eastAsia="es-ES"/>
        </w:rPr>
      </w:pPr>
      <w:r w:rsidRPr="007C30DF">
        <w:rPr>
          <w:rFonts w:cs="Arial"/>
          <w:sz w:val="22"/>
          <w:lang w:eastAsia="es-ES"/>
        </w:rPr>
        <w:t>Edad gestacional entre 12,0 y 14,0 semanas por fecha de última menstruación corroborada por ultrasonido.</w:t>
      </w:r>
    </w:p>
    <w:p w:rsidR="00E55D0D" w:rsidRPr="00E55D0D" w:rsidRDefault="00E55D0D" w:rsidP="00E55D0D">
      <w:pPr>
        <w:numPr>
          <w:ilvl w:val="0"/>
          <w:numId w:val="4"/>
        </w:numPr>
        <w:autoSpaceDE w:val="0"/>
        <w:autoSpaceDN w:val="0"/>
        <w:adjustRightInd w:val="0"/>
        <w:spacing w:line="240" w:lineRule="auto"/>
        <w:jc w:val="both"/>
        <w:rPr>
          <w:rFonts w:cs="Arial"/>
          <w:color w:val="FF0000"/>
          <w:sz w:val="22"/>
        </w:rPr>
      </w:pPr>
      <w:r w:rsidRPr="00E55D0D">
        <w:rPr>
          <w:rFonts w:cs="Arial"/>
          <w:sz w:val="22"/>
        </w:rPr>
        <w:t>Expresar por escrito su consentimiento de participar en la investigación</w:t>
      </w:r>
      <w:r w:rsidRPr="00E55D0D">
        <w:rPr>
          <w:rFonts w:cs="Arial"/>
          <w:color w:val="FF0000"/>
          <w:sz w:val="22"/>
        </w:rPr>
        <w:t xml:space="preserve">. </w:t>
      </w:r>
    </w:p>
    <w:p w:rsidR="00E55D0D" w:rsidRPr="00E55D0D" w:rsidRDefault="00E55D0D" w:rsidP="00E55D0D">
      <w:pPr>
        <w:autoSpaceDE w:val="0"/>
        <w:autoSpaceDN w:val="0"/>
        <w:adjustRightInd w:val="0"/>
        <w:spacing w:line="240" w:lineRule="auto"/>
        <w:jc w:val="both"/>
        <w:rPr>
          <w:rFonts w:cs="Arial"/>
          <w:b/>
          <w:color w:val="000000" w:themeColor="text1"/>
          <w:sz w:val="22"/>
        </w:rPr>
      </w:pPr>
      <w:r w:rsidRPr="00E55D0D">
        <w:rPr>
          <w:rFonts w:cs="Arial"/>
          <w:b/>
          <w:color w:val="000000" w:themeColor="text1"/>
          <w:sz w:val="22"/>
        </w:rPr>
        <w:t xml:space="preserve">Criterios de exclusión: </w:t>
      </w:r>
    </w:p>
    <w:p w:rsidR="00E55D0D" w:rsidRPr="00E55D0D" w:rsidRDefault="00E55D0D" w:rsidP="00E55D0D">
      <w:pPr>
        <w:numPr>
          <w:ilvl w:val="0"/>
          <w:numId w:val="5"/>
        </w:numPr>
        <w:spacing w:line="240" w:lineRule="auto"/>
        <w:contextualSpacing/>
        <w:jc w:val="both"/>
        <w:rPr>
          <w:rFonts w:cs="Arial"/>
          <w:sz w:val="22"/>
          <w:lang w:eastAsia="es-ES"/>
        </w:rPr>
      </w:pPr>
      <w:r w:rsidRPr="00E55D0D">
        <w:rPr>
          <w:rFonts w:cs="Arial"/>
          <w:sz w:val="22"/>
          <w:lang w:eastAsia="es-ES"/>
        </w:rPr>
        <w:t xml:space="preserve">Tener diagnóstico y llevar tratamiento para patologías tales como: hipertensión arterial, epilepsia, hipotiroidismo, Diabetes Mellitus cardiopatías, útero </w:t>
      </w:r>
      <w:proofErr w:type="spellStart"/>
      <w:r w:rsidRPr="00E55D0D">
        <w:rPr>
          <w:rFonts w:cs="Arial"/>
          <w:sz w:val="22"/>
          <w:lang w:eastAsia="es-ES"/>
        </w:rPr>
        <w:t>miomatoso</w:t>
      </w:r>
      <w:proofErr w:type="spellEnd"/>
      <w:r w:rsidRPr="00E55D0D">
        <w:rPr>
          <w:rFonts w:cs="Arial"/>
          <w:sz w:val="22"/>
          <w:lang w:eastAsia="es-ES"/>
        </w:rPr>
        <w:t xml:space="preserve"> con volumen superior a un embarazo de 12 semanas, nefropatías, trastorno psiquiátrico u otra patología crónica.</w:t>
      </w:r>
    </w:p>
    <w:p w:rsidR="00E55D0D" w:rsidRPr="00E55D0D" w:rsidRDefault="00E55D0D" w:rsidP="00E55D0D">
      <w:pPr>
        <w:numPr>
          <w:ilvl w:val="0"/>
          <w:numId w:val="5"/>
        </w:numPr>
        <w:autoSpaceDE w:val="0"/>
        <w:autoSpaceDN w:val="0"/>
        <w:adjustRightInd w:val="0"/>
        <w:spacing w:line="240" w:lineRule="auto"/>
        <w:jc w:val="both"/>
        <w:rPr>
          <w:rFonts w:cs="Arial"/>
          <w:sz w:val="22"/>
        </w:rPr>
      </w:pPr>
      <w:r w:rsidRPr="00E55D0D">
        <w:rPr>
          <w:rFonts w:cs="Arial"/>
          <w:sz w:val="22"/>
        </w:rPr>
        <w:t xml:space="preserve">Consumo habitual de drogas (lícitas o ilícitas) </w:t>
      </w:r>
    </w:p>
    <w:p w:rsidR="00E55D0D" w:rsidRPr="00E55D0D" w:rsidRDefault="00E55D0D" w:rsidP="00E55D0D">
      <w:pPr>
        <w:autoSpaceDE w:val="0"/>
        <w:autoSpaceDN w:val="0"/>
        <w:adjustRightInd w:val="0"/>
        <w:spacing w:line="240" w:lineRule="auto"/>
        <w:jc w:val="both"/>
        <w:rPr>
          <w:rFonts w:cs="Arial"/>
          <w:b/>
          <w:sz w:val="22"/>
          <w:lang w:eastAsia="es-ES"/>
        </w:rPr>
      </w:pPr>
      <w:r w:rsidRPr="00E55D0D">
        <w:rPr>
          <w:rFonts w:cs="Arial"/>
          <w:b/>
          <w:sz w:val="22"/>
          <w:lang w:eastAsia="es-ES"/>
        </w:rPr>
        <w:t>Criterios de salida:</w:t>
      </w:r>
    </w:p>
    <w:p w:rsidR="00E55D0D" w:rsidRPr="00E55D0D" w:rsidRDefault="00E55D0D" w:rsidP="00E55D0D">
      <w:pPr>
        <w:numPr>
          <w:ilvl w:val="0"/>
          <w:numId w:val="6"/>
        </w:numPr>
        <w:autoSpaceDE w:val="0"/>
        <w:autoSpaceDN w:val="0"/>
        <w:adjustRightInd w:val="0"/>
        <w:spacing w:after="286" w:line="240" w:lineRule="auto"/>
        <w:contextualSpacing/>
        <w:jc w:val="both"/>
        <w:rPr>
          <w:rFonts w:cs="Arial"/>
          <w:color w:val="000000"/>
          <w:sz w:val="22"/>
        </w:rPr>
      </w:pPr>
      <w:r w:rsidRPr="00E55D0D">
        <w:rPr>
          <w:rFonts w:cs="Arial"/>
          <w:color w:val="000000"/>
          <w:sz w:val="22"/>
        </w:rPr>
        <w:t>Traslado del área de salud.</w:t>
      </w:r>
    </w:p>
    <w:p w:rsidR="00E55D0D" w:rsidRPr="00E55D0D" w:rsidRDefault="00E55D0D" w:rsidP="00E55D0D">
      <w:pPr>
        <w:numPr>
          <w:ilvl w:val="0"/>
          <w:numId w:val="6"/>
        </w:numPr>
        <w:autoSpaceDE w:val="0"/>
        <w:autoSpaceDN w:val="0"/>
        <w:adjustRightInd w:val="0"/>
        <w:spacing w:after="286" w:line="240" w:lineRule="auto"/>
        <w:contextualSpacing/>
        <w:jc w:val="both"/>
        <w:rPr>
          <w:rFonts w:cs="Arial"/>
          <w:color w:val="000000"/>
          <w:sz w:val="22"/>
        </w:rPr>
      </w:pPr>
      <w:r w:rsidRPr="00E55D0D">
        <w:rPr>
          <w:rFonts w:cs="Arial"/>
          <w:color w:val="000000"/>
          <w:sz w:val="22"/>
        </w:rPr>
        <w:t>Abandono del estudio.</w:t>
      </w:r>
    </w:p>
    <w:p w:rsidR="00E55D0D" w:rsidRPr="00E55D0D" w:rsidRDefault="00E55D0D" w:rsidP="00E55D0D">
      <w:pPr>
        <w:numPr>
          <w:ilvl w:val="0"/>
          <w:numId w:val="6"/>
        </w:numPr>
        <w:autoSpaceDE w:val="0"/>
        <w:autoSpaceDN w:val="0"/>
        <w:adjustRightInd w:val="0"/>
        <w:spacing w:after="286" w:line="240" w:lineRule="auto"/>
        <w:contextualSpacing/>
        <w:jc w:val="both"/>
        <w:rPr>
          <w:rFonts w:cs="Arial"/>
          <w:color w:val="000000"/>
          <w:sz w:val="22"/>
        </w:rPr>
      </w:pPr>
      <w:r w:rsidRPr="00E55D0D">
        <w:rPr>
          <w:rFonts w:cs="Arial"/>
          <w:color w:val="000000"/>
          <w:sz w:val="22"/>
        </w:rPr>
        <w:lastRenderedPageBreak/>
        <w:t>Pérdida fetal durante el embarazo.</w:t>
      </w:r>
      <w:r w:rsidRPr="00E55D0D">
        <w:rPr>
          <w:rFonts w:cs="Arial"/>
          <w:sz w:val="22"/>
        </w:rPr>
        <w:t xml:space="preserve"> </w:t>
      </w:r>
    </w:p>
    <w:p w:rsidR="00E55D0D" w:rsidRPr="00E55D0D" w:rsidRDefault="00E55D0D" w:rsidP="00E55D0D">
      <w:pPr>
        <w:autoSpaceDE w:val="0"/>
        <w:autoSpaceDN w:val="0"/>
        <w:adjustRightInd w:val="0"/>
        <w:spacing w:after="286" w:line="240" w:lineRule="auto"/>
        <w:ind w:left="360"/>
        <w:contextualSpacing/>
        <w:jc w:val="both"/>
        <w:rPr>
          <w:rFonts w:cs="Arial"/>
          <w:sz w:val="22"/>
        </w:rPr>
      </w:pPr>
    </w:p>
    <w:p w:rsidR="00E55D0D" w:rsidRPr="00E55D0D" w:rsidRDefault="00E55D0D" w:rsidP="00E55D0D">
      <w:pPr>
        <w:autoSpaceDE w:val="0"/>
        <w:autoSpaceDN w:val="0"/>
        <w:adjustRightInd w:val="0"/>
        <w:spacing w:after="286" w:line="240" w:lineRule="auto"/>
        <w:contextualSpacing/>
        <w:jc w:val="both"/>
        <w:rPr>
          <w:rFonts w:cs="Arial"/>
          <w:color w:val="000000"/>
          <w:sz w:val="22"/>
        </w:rPr>
      </w:pPr>
      <w:r w:rsidRPr="00E55D0D">
        <w:rPr>
          <w:rFonts w:cs="Arial"/>
          <w:sz w:val="22"/>
        </w:rPr>
        <w:t>El estudio se realizó en la consulta médica del policlínico, programada para la atención prenatal de las gestantes desde el momento de la captación, en coincidencia con la concurrencia de las gestantes a la primera consulta de asesoramiento genético y nutricional</w:t>
      </w:r>
    </w:p>
    <w:p w:rsidR="00E55D0D" w:rsidRPr="00E55D0D" w:rsidRDefault="00E55D0D" w:rsidP="00E55D0D">
      <w:pPr>
        <w:pStyle w:val="Prrafodelista"/>
        <w:spacing w:line="240" w:lineRule="auto"/>
        <w:ind w:left="0"/>
        <w:jc w:val="both"/>
        <w:rPr>
          <w:rFonts w:ascii="Verdana" w:hAnsi="Verdana" w:cs="Arial"/>
          <w:color w:val="000000"/>
          <w:lang w:val="es-MX"/>
        </w:rPr>
      </w:pPr>
      <w:r w:rsidRPr="00E55D0D">
        <w:rPr>
          <w:rFonts w:ascii="Verdana" w:hAnsi="Verdana" w:cs="Arial"/>
          <w:color w:val="000000"/>
          <w:lang w:val="es-MX"/>
        </w:rPr>
        <w:t>La trayectoria del índice de grasa acumulativo durante el embarazo es inversa a la del índice de adiposidad abdominal.</w:t>
      </w:r>
    </w:p>
    <w:p w:rsidR="00E55D0D" w:rsidRPr="00E55D0D" w:rsidRDefault="00E55D0D" w:rsidP="00E55D0D">
      <w:pPr>
        <w:pStyle w:val="Prrafodelista"/>
        <w:spacing w:line="240" w:lineRule="auto"/>
        <w:ind w:left="0"/>
        <w:jc w:val="both"/>
        <w:rPr>
          <w:rFonts w:ascii="Verdana" w:hAnsi="Verdana" w:cs="Arial"/>
          <w:color w:val="000000"/>
          <w:lang w:val="es-MX"/>
        </w:rPr>
      </w:pPr>
    </w:p>
    <w:p w:rsidR="00E55D0D" w:rsidRPr="00E55D0D" w:rsidRDefault="00E55D0D" w:rsidP="00E55D0D">
      <w:pPr>
        <w:pStyle w:val="Prrafodelista"/>
        <w:spacing w:line="240" w:lineRule="auto"/>
        <w:ind w:left="0"/>
        <w:jc w:val="both"/>
        <w:rPr>
          <w:rFonts w:ascii="Verdana" w:hAnsi="Verdana" w:cs="Arial"/>
          <w:b/>
        </w:rPr>
      </w:pPr>
      <w:r w:rsidRPr="00E55D0D">
        <w:rPr>
          <w:rFonts w:ascii="Verdana" w:hAnsi="Verdana" w:cs="Arial"/>
          <w:color w:val="000000"/>
          <w:lang w:val="es-MX"/>
        </w:rPr>
        <w:t>V</w:t>
      </w:r>
      <w:proofErr w:type="spellStart"/>
      <w:r w:rsidRPr="00E55D0D">
        <w:rPr>
          <w:rFonts w:ascii="Verdana" w:hAnsi="Verdana" w:cs="Arial"/>
          <w:b/>
          <w:lang w:eastAsia="es-ES"/>
        </w:rPr>
        <w:t>ariables</w:t>
      </w:r>
      <w:proofErr w:type="spellEnd"/>
      <w:r w:rsidRPr="00E55D0D">
        <w:rPr>
          <w:rFonts w:ascii="Verdana" w:hAnsi="Verdana" w:cs="Arial"/>
          <w:b/>
          <w:lang w:eastAsia="es-ES"/>
        </w:rPr>
        <w:t xml:space="preserve"> en estudio:</w:t>
      </w:r>
    </w:p>
    <w:p w:rsidR="00E55D0D" w:rsidRPr="00E55D0D" w:rsidRDefault="00E55D0D" w:rsidP="00E55D0D">
      <w:pPr>
        <w:spacing w:line="240" w:lineRule="auto"/>
        <w:jc w:val="both"/>
        <w:rPr>
          <w:rFonts w:cs="Arial"/>
          <w:sz w:val="22"/>
          <w:lang w:eastAsia="es-ES"/>
        </w:rPr>
      </w:pPr>
      <w:r w:rsidRPr="00E55D0D">
        <w:rPr>
          <w:rFonts w:cs="Arial"/>
          <w:b/>
          <w:color w:val="000000" w:themeColor="text1"/>
          <w:sz w:val="22"/>
          <w:lang w:eastAsia="es-ES"/>
        </w:rPr>
        <w:t>Talla (m)</w:t>
      </w:r>
      <w:r w:rsidRPr="00E55D0D">
        <w:rPr>
          <w:rFonts w:cs="Arial"/>
          <w:color w:val="000000" w:themeColor="text1"/>
          <w:sz w:val="22"/>
          <w:lang w:eastAsia="es-ES"/>
        </w:rPr>
        <w:t>.</w:t>
      </w:r>
      <w:r w:rsidRPr="00E55D0D">
        <w:rPr>
          <w:rFonts w:cs="Arial"/>
          <w:sz w:val="22"/>
          <w:lang w:eastAsia="es-ES"/>
        </w:rPr>
        <w:t xml:space="preserve"> El </w:t>
      </w:r>
      <w:proofErr w:type="spellStart"/>
      <w:r w:rsidRPr="00E55D0D">
        <w:rPr>
          <w:rFonts w:cs="Arial"/>
          <w:sz w:val="22"/>
          <w:lang w:eastAsia="es-ES"/>
        </w:rPr>
        <w:t>tallímetro</w:t>
      </w:r>
      <w:proofErr w:type="spellEnd"/>
      <w:r w:rsidRPr="00E55D0D">
        <w:rPr>
          <w:rFonts w:cs="Arial"/>
          <w:sz w:val="22"/>
          <w:lang w:eastAsia="es-ES"/>
        </w:rPr>
        <w:t xml:space="preserve"> de la referida balanza mide la talla de pie en un rango de 70 - 190 cm con 0.5 cm de precisión.</w:t>
      </w:r>
    </w:p>
    <w:p w:rsidR="00E55D0D" w:rsidRPr="00E55D0D" w:rsidRDefault="00E55D0D" w:rsidP="00E55D0D">
      <w:pPr>
        <w:spacing w:line="240" w:lineRule="auto"/>
        <w:jc w:val="both"/>
        <w:rPr>
          <w:rFonts w:cs="Arial"/>
          <w:color w:val="000000" w:themeColor="text1"/>
          <w:sz w:val="22"/>
          <w:lang w:eastAsia="es-ES"/>
        </w:rPr>
      </w:pPr>
      <w:r w:rsidRPr="00E55D0D">
        <w:rPr>
          <w:rFonts w:cs="Arial"/>
          <w:b/>
          <w:color w:val="000000" w:themeColor="text1"/>
          <w:sz w:val="22"/>
          <w:lang w:eastAsia="es-ES"/>
        </w:rPr>
        <w:t>Circunferencias</w:t>
      </w:r>
      <w:r w:rsidRPr="00E55D0D">
        <w:rPr>
          <w:rFonts w:cs="Arial"/>
          <w:color w:val="000000" w:themeColor="text1"/>
          <w:sz w:val="22"/>
          <w:lang w:eastAsia="es-ES"/>
        </w:rPr>
        <w:t xml:space="preserve">: </w:t>
      </w:r>
    </w:p>
    <w:p w:rsidR="00E55D0D" w:rsidRPr="00E55D0D" w:rsidRDefault="00E55D0D" w:rsidP="00E55D0D">
      <w:pPr>
        <w:tabs>
          <w:tab w:val="left" w:pos="975"/>
        </w:tabs>
        <w:suppressAutoHyphens/>
        <w:spacing w:line="240" w:lineRule="auto"/>
        <w:jc w:val="both"/>
        <w:rPr>
          <w:rFonts w:cs="Arial"/>
          <w:sz w:val="22"/>
        </w:rPr>
      </w:pPr>
      <w:r w:rsidRPr="00E55D0D">
        <w:rPr>
          <w:rFonts w:cs="Arial"/>
          <w:b/>
          <w:color w:val="000000" w:themeColor="text1"/>
          <w:sz w:val="22"/>
          <w:lang w:eastAsia="es-ES"/>
        </w:rPr>
        <w:t>Circunferencia de la cintura (cm) (CA):</w:t>
      </w:r>
      <w:r w:rsidRPr="00E55D0D">
        <w:rPr>
          <w:rFonts w:cs="Arial"/>
          <w:sz w:val="22"/>
          <w:lang w:eastAsia="es-ES"/>
        </w:rPr>
        <w:t xml:space="preserve"> Medida al final de la espiración, con la cinta extendida horizontalmente sobre la superficie del abdomen en la distancia media entre la duodécima costilla y la cresta ilíaca.</w:t>
      </w:r>
      <w:r w:rsidRPr="00E55D0D">
        <w:rPr>
          <w:rFonts w:cs="Arial"/>
          <w:sz w:val="22"/>
        </w:rPr>
        <w:t xml:space="preserve"> Clasificación: Cuantitativa continua.</w:t>
      </w:r>
    </w:p>
    <w:p w:rsidR="00E55D0D" w:rsidRPr="00E55D0D" w:rsidRDefault="00E55D0D" w:rsidP="00E55D0D">
      <w:pPr>
        <w:tabs>
          <w:tab w:val="left" w:pos="975"/>
        </w:tabs>
        <w:suppressAutoHyphens/>
        <w:spacing w:line="240" w:lineRule="auto"/>
        <w:jc w:val="both"/>
        <w:rPr>
          <w:rFonts w:cs="Arial"/>
          <w:b/>
          <w:sz w:val="22"/>
        </w:rPr>
      </w:pPr>
      <w:r w:rsidRPr="00E55D0D">
        <w:rPr>
          <w:rFonts w:cs="Arial"/>
          <w:b/>
          <w:sz w:val="22"/>
        </w:rPr>
        <w:t>Índices.</w:t>
      </w:r>
    </w:p>
    <w:p w:rsidR="00E55D0D" w:rsidRPr="00E55D0D" w:rsidRDefault="00E55D0D" w:rsidP="00E55D0D">
      <w:pPr>
        <w:autoSpaceDE w:val="0"/>
        <w:autoSpaceDN w:val="0"/>
        <w:adjustRightInd w:val="0"/>
        <w:spacing w:line="240" w:lineRule="auto"/>
        <w:jc w:val="both"/>
        <w:rPr>
          <w:rFonts w:cs="Arial"/>
          <w:color w:val="000000"/>
          <w:sz w:val="22"/>
        </w:rPr>
      </w:pPr>
      <w:r w:rsidRPr="00E55D0D">
        <w:rPr>
          <w:rFonts w:cs="Arial"/>
          <w:b/>
          <w:sz w:val="22"/>
        </w:rPr>
        <w:t>Índice cintura/talla (ICT)</w:t>
      </w:r>
      <w:r w:rsidRPr="00E55D0D">
        <w:rPr>
          <w:rFonts w:cs="Arial"/>
          <w:sz w:val="22"/>
        </w:rPr>
        <w:t xml:space="preserve">: </w:t>
      </w:r>
      <w:r w:rsidRPr="00E55D0D">
        <w:rPr>
          <w:rFonts w:cs="Arial"/>
          <w:color w:val="000000"/>
          <w:sz w:val="22"/>
        </w:rPr>
        <w:t xml:space="preserve">Resultado de la relación entre la circunferencia de la cintura y la talla en cm. </w:t>
      </w:r>
    </w:p>
    <w:p w:rsidR="00E55D0D" w:rsidRPr="00E55D0D" w:rsidRDefault="00E55D0D" w:rsidP="00E55D0D">
      <w:pPr>
        <w:autoSpaceDE w:val="0"/>
        <w:autoSpaceDN w:val="0"/>
        <w:adjustRightInd w:val="0"/>
        <w:spacing w:line="240" w:lineRule="auto"/>
        <w:jc w:val="both"/>
        <w:rPr>
          <w:rFonts w:cs="Arial"/>
          <w:color w:val="000000"/>
          <w:sz w:val="22"/>
        </w:rPr>
      </w:pPr>
      <w:r w:rsidRPr="00E55D0D">
        <w:rPr>
          <w:rFonts w:cs="Arial"/>
          <w:color w:val="000000"/>
          <w:sz w:val="22"/>
        </w:rPr>
        <w:t xml:space="preserve">Calculado mediante la siguiente fórmula: ICT=CA/T </w:t>
      </w:r>
    </w:p>
    <w:p w:rsidR="00E55D0D" w:rsidRPr="00E55D0D" w:rsidRDefault="00E55D0D" w:rsidP="00E55D0D">
      <w:pPr>
        <w:autoSpaceDE w:val="0"/>
        <w:autoSpaceDN w:val="0"/>
        <w:adjustRightInd w:val="0"/>
        <w:spacing w:line="240" w:lineRule="auto"/>
        <w:contextualSpacing/>
        <w:jc w:val="both"/>
        <w:rPr>
          <w:rFonts w:cs="Arial"/>
          <w:sz w:val="22"/>
        </w:rPr>
      </w:pPr>
      <w:r w:rsidRPr="00E55D0D">
        <w:rPr>
          <w:rFonts w:cs="Arial"/>
          <w:sz w:val="22"/>
        </w:rPr>
        <w:t>El valor normal para la interpretación es de 0,50.</w:t>
      </w:r>
      <w:r w:rsidRPr="00E55D0D">
        <w:rPr>
          <w:sz w:val="22"/>
          <w:vertAlign w:val="superscript"/>
        </w:rPr>
        <w:t>14</w:t>
      </w:r>
      <w:r w:rsidRPr="00E55D0D">
        <w:rPr>
          <w:rFonts w:cs="Arial"/>
          <w:sz w:val="22"/>
        </w:rPr>
        <w:t xml:space="preserve">   Cuando el valor del ICT es igual o superior a este punto de corte se considera que existe obesidad abdominal y riesgo </w:t>
      </w:r>
      <w:proofErr w:type="spellStart"/>
      <w:r w:rsidRPr="00E55D0D">
        <w:rPr>
          <w:rFonts w:cs="Arial"/>
          <w:sz w:val="22"/>
        </w:rPr>
        <w:t>cardiometabólico</w:t>
      </w:r>
      <w:proofErr w:type="spellEnd"/>
      <w:r w:rsidRPr="00E55D0D">
        <w:rPr>
          <w:rFonts w:cs="Arial"/>
          <w:sz w:val="22"/>
        </w:rPr>
        <w:t>.  Clasificación: cuantitativa continua.</w:t>
      </w:r>
    </w:p>
    <w:p w:rsidR="00E55D0D" w:rsidRPr="00E55D0D" w:rsidRDefault="00E55D0D" w:rsidP="00E55D0D">
      <w:pPr>
        <w:spacing w:line="240" w:lineRule="auto"/>
        <w:jc w:val="both"/>
        <w:rPr>
          <w:rFonts w:cs="Arial"/>
          <w:b/>
          <w:color w:val="FF0000"/>
          <w:sz w:val="22"/>
        </w:rPr>
      </w:pPr>
      <w:r w:rsidRPr="00E55D0D">
        <w:rPr>
          <w:rFonts w:cs="Arial"/>
          <w:sz w:val="22"/>
        </w:rPr>
        <w:t>Según los objetivos de la investigación, esta variable además se transformó en cualitativa nominal dicotómica atendiendo al valor 0,5 y al 66 percentil; con dos categorías en cada caso:</w:t>
      </w:r>
    </w:p>
    <w:p w:rsidR="00E55D0D" w:rsidRPr="00E55D0D" w:rsidRDefault="00E55D0D" w:rsidP="00E55D0D">
      <w:pPr>
        <w:spacing w:line="240" w:lineRule="auto"/>
        <w:jc w:val="both"/>
        <w:rPr>
          <w:rFonts w:cs="Arial"/>
          <w:b/>
          <w:sz w:val="22"/>
        </w:rPr>
      </w:pPr>
      <w:r w:rsidRPr="00E55D0D">
        <w:rPr>
          <w:rFonts w:cs="Arial"/>
          <w:b/>
          <w:sz w:val="22"/>
        </w:rPr>
        <w:t>Respecto al valor 0,5</w:t>
      </w:r>
    </w:p>
    <w:p w:rsidR="00E55D0D" w:rsidRPr="00E55D0D" w:rsidRDefault="00E55D0D" w:rsidP="00E55D0D">
      <w:pPr>
        <w:numPr>
          <w:ilvl w:val="0"/>
          <w:numId w:val="7"/>
        </w:numPr>
        <w:spacing w:line="240" w:lineRule="auto"/>
        <w:contextualSpacing/>
        <w:jc w:val="both"/>
        <w:rPr>
          <w:rFonts w:cs="Arial"/>
          <w:sz w:val="22"/>
          <w:lang w:eastAsia="es-ES"/>
        </w:rPr>
      </w:pPr>
      <w:r w:rsidRPr="00E55D0D">
        <w:rPr>
          <w:rFonts w:cs="Arial"/>
          <w:sz w:val="22"/>
          <w:lang w:eastAsia="es-ES"/>
        </w:rPr>
        <w:t>IC/T Menor de 0,5</w:t>
      </w:r>
    </w:p>
    <w:p w:rsidR="00E55D0D" w:rsidRPr="00E55D0D" w:rsidRDefault="00E55D0D" w:rsidP="00E55D0D">
      <w:pPr>
        <w:numPr>
          <w:ilvl w:val="0"/>
          <w:numId w:val="7"/>
        </w:numPr>
        <w:spacing w:line="240" w:lineRule="auto"/>
        <w:contextualSpacing/>
        <w:jc w:val="both"/>
        <w:rPr>
          <w:rFonts w:cs="Arial"/>
          <w:sz w:val="22"/>
          <w:lang w:eastAsia="es-ES"/>
        </w:rPr>
      </w:pPr>
      <w:r w:rsidRPr="00E55D0D">
        <w:rPr>
          <w:rFonts w:cs="Arial"/>
          <w:sz w:val="22"/>
          <w:lang w:eastAsia="es-ES"/>
        </w:rPr>
        <w:t>IC/T Igual o mayor a 0,5</w:t>
      </w:r>
    </w:p>
    <w:p w:rsidR="00E55D0D" w:rsidRPr="00E55D0D" w:rsidRDefault="00E55D0D" w:rsidP="00E55D0D">
      <w:pPr>
        <w:spacing w:after="0" w:line="240" w:lineRule="auto"/>
        <w:ind w:left="-425"/>
        <w:jc w:val="both"/>
        <w:rPr>
          <w:rFonts w:cs="Arial"/>
          <w:b/>
          <w:sz w:val="22"/>
        </w:rPr>
      </w:pPr>
    </w:p>
    <w:p w:rsidR="00E55D0D" w:rsidRPr="00E55D0D" w:rsidRDefault="00E55D0D" w:rsidP="00E55D0D">
      <w:pPr>
        <w:spacing w:line="240" w:lineRule="auto"/>
        <w:contextualSpacing/>
        <w:jc w:val="both"/>
        <w:rPr>
          <w:rFonts w:cs="Arial"/>
          <w:sz w:val="22"/>
        </w:rPr>
      </w:pPr>
      <w:r w:rsidRPr="00E55D0D">
        <w:rPr>
          <w:rFonts w:cs="Arial"/>
          <w:b/>
          <w:sz w:val="22"/>
        </w:rPr>
        <w:t xml:space="preserve">Índice de grasa acumulativa (IGA). </w:t>
      </w:r>
      <w:r w:rsidRPr="00E55D0D">
        <w:rPr>
          <w:rFonts w:cs="Arial"/>
          <w:sz w:val="22"/>
        </w:rPr>
        <w:t xml:space="preserve">Definida como la suma en cada trimestre de la grasa subcutánea mínima más la grasa </w:t>
      </w:r>
      <w:proofErr w:type="spellStart"/>
      <w:r w:rsidRPr="00E55D0D">
        <w:rPr>
          <w:rFonts w:cs="Arial"/>
          <w:sz w:val="22"/>
        </w:rPr>
        <w:t>preperitoneal</w:t>
      </w:r>
      <w:proofErr w:type="spellEnd"/>
      <w:r w:rsidRPr="00E55D0D">
        <w:rPr>
          <w:rFonts w:cs="Arial"/>
          <w:sz w:val="22"/>
        </w:rPr>
        <w:t xml:space="preserve"> máxima IGA= GS(min) + GP(</w:t>
      </w:r>
      <w:proofErr w:type="spellStart"/>
      <w:r w:rsidRPr="00E55D0D">
        <w:rPr>
          <w:rFonts w:cs="Arial"/>
          <w:sz w:val="22"/>
        </w:rPr>
        <w:t>max</w:t>
      </w:r>
      <w:proofErr w:type="spellEnd"/>
      <w:r w:rsidRPr="00E55D0D">
        <w:rPr>
          <w:rFonts w:cs="Arial"/>
          <w:sz w:val="22"/>
        </w:rPr>
        <w:t>)</w:t>
      </w:r>
      <w:r w:rsidRPr="00E55D0D">
        <w:rPr>
          <w:sz w:val="22"/>
          <w:vertAlign w:val="superscript"/>
        </w:rPr>
        <w:t>15</w:t>
      </w:r>
    </w:p>
    <w:p w:rsidR="00E55D0D" w:rsidRPr="00E55D0D" w:rsidRDefault="00E55D0D" w:rsidP="00E55D0D">
      <w:pPr>
        <w:spacing w:line="240" w:lineRule="auto"/>
        <w:jc w:val="both"/>
        <w:rPr>
          <w:rFonts w:cs="Arial"/>
          <w:sz w:val="22"/>
        </w:rPr>
      </w:pPr>
      <w:r w:rsidRPr="00E55D0D">
        <w:rPr>
          <w:rFonts w:cs="Arial"/>
          <w:b/>
          <w:sz w:val="22"/>
        </w:rPr>
        <w:t xml:space="preserve">Índice de adiposidad abdominal (AFI). </w:t>
      </w:r>
      <w:r w:rsidRPr="00E55D0D">
        <w:rPr>
          <w:rFonts w:cs="Arial"/>
          <w:sz w:val="22"/>
        </w:rPr>
        <w:t xml:space="preserve">Definida </w:t>
      </w:r>
      <w:r w:rsidRPr="00E55D0D">
        <w:rPr>
          <w:rFonts w:cs="Arial"/>
          <w:sz w:val="22"/>
          <w:lang w:eastAsia="es-ES"/>
        </w:rPr>
        <w:t xml:space="preserve">como el índice de adiposidad abdominal y se calcula como la relación entre el pliegue </w:t>
      </w:r>
      <w:proofErr w:type="spellStart"/>
      <w:r w:rsidRPr="00E55D0D">
        <w:rPr>
          <w:rFonts w:cs="Arial"/>
          <w:sz w:val="22"/>
          <w:lang w:eastAsia="es-ES"/>
        </w:rPr>
        <w:t>preperitoneal</w:t>
      </w:r>
      <w:proofErr w:type="spellEnd"/>
      <w:r w:rsidRPr="00E55D0D">
        <w:rPr>
          <w:rFonts w:cs="Arial"/>
          <w:sz w:val="22"/>
          <w:lang w:eastAsia="es-ES"/>
        </w:rPr>
        <w:t xml:space="preserve"> máximo sobre el subcutáneo mínimo (</w:t>
      </w:r>
      <w:proofErr w:type="spellStart"/>
      <w:r w:rsidRPr="00E55D0D">
        <w:rPr>
          <w:rFonts w:cs="Arial"/>
          <w:sz w:val="22"/>
          <w:lang w:eastAsia="es-ES"/>
        </w:rPr>
        <w:t>pmax</w:t>
      </w:r>
      <w:proofErr w:type="spellEnd"/>
      <w:r w:rsidRPr="00E55D0D">
        <w:rPr>
          <w:rFonts w:cs="Arial"/>
          <w:sz w:val="22"/>
          <w:lang w:eastAsia="es-ES"/>
        </w:rPr>
        <w:t xml:space="preserve">/ </w:t>
      </w:r>
      <w:proofErr w:type="spellStart"/>
      <w:r w:rsidRPr="00E55D0D">
        <w:rPr>
          <w:rFonts w:cs="Arial"/>
          <w:sz w:val="22"/>
          <w:lang w:eastAsia="es-ES"/>
        </w:rPr>
        <w:t>smin</w:t>
      </w:r>
      <w:proofErr w:type="spellEnd"/>
      <w:r w:rsidRPr="00E55D0D">
        <w:rPr>
          <w:rFonts w:cs="Arial"/>
          <w:sz w:val="22"/>
          <w:lang w:eastAsia="es-ES"/>
        </w:rPr>
        <w:t>)</w:t>
      </w:r>
      <w:r w:rsidRPr="00E55D0D">
        <w:rPr>
          <w:rFonts w:cs="Arial"/>
          <w:color w:val="231F20"/>
          <w:sz w:val="22"/>
        </w:rPr>
        <w:t xml:space="preserve"> AFI</w:t>
      </w:r>
      <w:r w:rsidRPr="00E55D0D">
        <w:rPr>
          <w:rFonts w:cs="Arial"/>
          <w:sz w:val="22"/>
        </w:rPr>
        <w:t>= GP (</w:t>
      </w:r>
      <w:proofErr w:type="spellStart"/>
      <w:r w:rsidRPr="00E55D0D">
        <w:rPr>
          <w:rFonts w:cs="Arial"/>
          <w:sz w:val="22"/>
        </w:rPr>
        <w:t>max</w:t>
      </w:r>
      <w:proofErr w:type="spellEnd"/>
      <w:r w:rsidRPr="00E55D0D">
        <w:rPr>
          <w:rFonts w:cs="Arial"/>
          <w:sz w:val="22"/>
        </w:rPr>
        <w:t>) / GS (min)</w:t>
      </w:r>
      <w:r w:rsidRPr="00E55D0D">
        <w:rPr>
          <w:rFonts w:cs="Arial"/>
          <w:sz w:val="22"/>
          <w:lang w:eastAsia="es-ES"/>
        </w:rPr>
        <w:t xml:space="preserve">. </w:t>
      </w:r>
      <w:hyperlink w:anchor="_ENREF_66" w:tooltip="Kinoshita T, 2006 #775" w:history="1">
        <w:r w:rsidRPr="00E55D0D">
          <w:rPr>
            <w:rFonts w:cs="Arial"/>
            <w:sz w:val="22"/>
            <w:lang w:eastAsia="es-ES"/>
          </w:rPr>
          <w:fldChar w:fldCharType="begin"/>
        </w:r>
        <w:r w:rsidRPr="00E55D0D">
          <w:rPr>
            <w:rFonts w:cs="Arial"/>
            <w:sz w:val="22"/>
            <w:lang w:eastAsia="es-ES"/>
          </w:rPr>
          <w:instrText xml:space="preserve"> ADDIN EN.CITE &lt;EndNote&gt;&lt;Cite&gt;&lt;Author&gt;Kinoshita T&lt;/Author&gt;&lt;Year&gt;2006&lt;/Year&gt;&lt;RecNum&gt;775&lt;/RecNum&gt;&lt;DisplayText&gt;&lt;style face="superscript"&gt;66&lt;/style&gt;&lt;/DisplayText&gt;&lt;record&gt;&lt;rec-number&gt;775&lt;/rec-number&gt;&lt;foreign-keys&gt;&lt;key app="EN" db-id="0rxrz20zjv2frgep2ecpvzz3dv2ptddpx0ev"&gt;775&lt;/key&gt;&lt;/foreign-keys&gt;&lt;ref-type name="Electronic Article"&gt;43&lt;/ref-type&gt;&lt;contributors&gt;&lt;authors&gt;&lt;author&gt;Kinoshita T, Itoh M. &lt;/author&gt;&lt;/authors&gt;&lt;/contributors&gt;&lt;titles&gt;&lt;title&gt;Longitudinal variance of fat mass deposition during pregnancy evaluated by ultrasonography: the ratio of visceral fatt o subcutaneous fat in the abdomen.&lt;/title&gt;&lt;secondary-title&gt;Gynecol Obstet Invest&lt;/secondary-title&gt;&lt;/titles&gt;&lt;periodical&gt;&lt;full-title&gt;Gynecol Obstet Invest&lt;/full-title&gt;&lt;/periodical&gt;&lt;pages&gt;6&lt;/pages&gt;&lt;volume&gt;61&lt;/volume&gt;&lt;dates&gt;&lt;year&gt;2006&lt;/year&gt;&lt;pub-dates&gt;&lt;date&gt;5 Dic 2019&lt;/date&gt;&lt;/pub-dates&gt;&lt;/dates&gt;&lt;urls&gt;&lt;related-urls&gt;&lt;url&gt;https://www.ncbi.nlm.nih.gov/pubmed/16272815&lt;/url&gt;&lt;/related-urls&gt;&lt;/urls&gt;&lt;custom1&gt;2020 &lt;/custom1&gt;&lt;custom2&gt;12 de ene&lt;/custom2&gt;&lt;/record&gt;&lt;/Cite&gt;&lt;/EndNote&gt;</w:instrText>
        </w:r>
        <w:r w:rsidRPr="00E55D0D">
          <w:rPr>
            <w:rFonts w:cs="Arial"/>
            <w:sz w:val="22"/>
            <w:lang w:eastAsia="es-ES"/>
          </w:rPr>
          <w:fldChar w:fldCharType="separate"/>
        </w:r>
        <w:r w:rsidRPr="00E55D0D">
          <w:rPr>
            <w:rFonts w:cs="Arial"/>
            <w:noProof/>
            <w:sz w:val="22"/>
            <w:vertAlign w:val="superscript"/>
            <w:lang w:eastAsia="es-ES"/>
          </w:rPr>
          <w:t>16</w:t>
        </w:r>
        <w:r w:rsidRPr="00E55D0D">
          <w:rPr>
            <w:rFonts w:cs="Arial"/>
            <w:sz w:val="22"/>
            <w:lang w:eastAsia="es-ES"/>
          </w:rPr>
          <w:fldChar w:fldCharType="end"/>
        </w:r>
      </w:hyperlink>
      <w:r w:rsidRPr="00E55D0D">
        <w:rPr>
          <w:rFonts w:cs="Arial"/>
          <w:sz w:val="22"/>
          <w:lang w:eastAsia="es-ES"/>
        </w:rPr>
        <w:t xml:space="preserve"> </w:t>
      </w:r>
      <w:r w:rsidRPr="00E55D0D">
        <w:rPr>
          <w:rFonts w:cs="Arial"/>
          <w:sz w:val="22"/>
        </w:rPr>
        <w:t xml:space="preserve">Este índice ha sido ratificado por </w:t>
      </w:r>
      <w:proofErr w:type="spellStart"/>
      <w:r w:rsidRPr="00E55D0D">
        <w:rPr>
          <w:rFonts w:cs="Arial"/>
          <w:sz w:val="22"/>
        </w:rPr>
        <w:t>Straughen</w:t>
      </w:r>
      <w:proofErr w:type="spellEnd"/>
      <w:r w:rsidRPr="00E55D0D">
        <w:rPr>
          <w:rFonts w:cs="Arial"/>
          <w:sz w:val="22"/>
        </w:rPr>
        <w:t xml:space="preserve"> y colaboradores en el 2013.</w:t>
      </w:r>
      <w:r w:rsidRPr="00E55D0D">
        <w:rPr>
          <w:sz w:val="22"/>
          <w:vertAlign w:val="superscript"/>
        </w:rPr>
        <w:t>17</w:t>
      </w:r>
      <w:r w:rsidRPr="00E55D0D">
        <w:rPr>
          <w:rFonts w:cs="Arial"/>
          <w:sz w:val="22"/>
        </w:rPr>
        <w:t xml:space="preserve">Las mediciones fueron realizadas por una única profesional dedicada a la actividad por un período superior a los catorce años. </w:t>
      </w:r>
    </w:p>
    <w:p w:rsidR="00E55D0D" w:rsidRPr="00E55D0D" w:rsidRDefault="00E55D0D" w:rsidP="00E55D0D">
      <w:pPr>
        <w:spacing w:line="240" w:lineRule="auto"/>
        <w:jc w:val="both"/>
        <w:rPr>
          <w:rFonts w:cs="Arial"/>
          <w:b/>
          <w:sz w:val="22"/>
          <w:lang w:eastAsia="es-ES"/>
        </w:rPr>
      </w:pPr>
      <w:r w:rsidRPr="00E55D0D">
        <w:rPr>
          <w:rFonts w:cs="Arial"/>
          <w:b/>
          <w:sz w:val="22"/>
          <w:lang w:eastAsia="es-ES"/>
        </w:rPr>
        <w:lastRenderedPageBreak/>
        <w:t xml:space="preserve">Variables </w:t>
      </w:r>
      <w:proofErr w:type="spellStart"/>
      <w:r w:rsidRPr="00E55D0D">
        <w:rPr>
          <w:rFonts w:cs="Arial"/>
          <w:b/>
          <w:sz w:val="22"/>
          <w:lang w:eastAsia="es-ES"/>
        </w:rPr>
        <w:t>ultrasonográficas</w:t>
      </w:r>
      <w:proofErr w:type="spellEnd"/>
      <w:r w:rsidRPr="00E55D0D">
        <w:rPr>
          <w:rFonts w:cs="Arial"/>
          <w:b/>
          <w:sz w:val="22"/>
          <w:lang w:eastAsia="es-ES"/>
        </w:rPr>
        <w:t xml:space="preserve">. </w:t>
      </w:r>
    </w:p>
    <w:p w:rsidR="00E55D0D" w:rsidRPr="00E55D0D" w:rsidRDefault="00E55D0D" w:rsidP="00E55D0D">
      <w:pPr>
        <w:spacing w:line="240" w:lineRule="auto"/>
        <w:jc w:val="both"/>
        <w:rPr>
          <w:rFonts w:cs="Arial"/>
          <w:sz w:val="22"/>
          <w:lang w:eastAsia="es-ES"/>
        </w:rPr>
      </w:pPr>
      <w:r w:rsidRPr="00E55D0D">
        <w:rPr>
          <w:rFonts w:cs="Arial"/>
          <w:sz w:val="22"/>
          <w:lang w:eastAsia="es-ES"/>
        </w:rPr>
        <w:t xml:space="preserve">La ecografía de rutina de la semana 12, se realizó </w:t>
      </w:r>
      <w:r w:rsidRPr="00E55D0D">
        <w:rPr>
          <w:rFonts w:cs="Arial"/>
          <w:color w:val="000000"/>
          <w:sz w:val="22"/>
        </w:rPr>
        <w:t xml:space="preserve">por medio de un equipo (tomógrafo TCT 500-S, Toshiba®); </w:t>
      </w:r>
      <w:r w:rsidRPr="00E55D0D">
        <w:rPr>
          <w:rFonts w:cs="Arial"/>
          <w:sz w:val="22"/>
          <w:lang w:eastAsia="es-ES"/>
        </w:rPr>
        <w:t xml:space="preserve">adicionalmente a lo cual se realizó la medición de las siguientes variables:  </w:t>
      </w:r>
      <w:hyperlink w:anchor="_ENREF_18" w:tooltip="Gur, 2014 #693" w:history="1">
        <w:r w:rsidRPr="00E55D0D">
          <w:rPr>
            <w:rFonts w:cs="Arial"/>
            <w:sz w:val="22"/>
            <w:lang w:eastAsia="es-ES"/>
          </w:rPr>
          <w:fldChar w:fldCharType="begin"/>
        </w:r>
        <w:r w:rsidRPr="00E55D0D">
          <w:rPr>
            <w:rFonts w:cs="Arial"/>
            <w:sz w:val="22"/>
            <w:lang w:eastAsia="es-ES"/>
          </w:rPr>
          <w:instrText xml:space="preserve"> ADDIN EN.CITE &lt;EndNote&gt;&lt;Cite&gt;&lt;Author&gt;Gur&lt;/Author&gt;&lt;Year&gt;2014&lt;/Year&gt;&lt;RecNum&gt;693&lt;/RecNum&gt;&lt;DisplayText&gt;&lt;style face="superscript"&gt;18&lt;/style&gt;&lt;/DisplayText&gt;&lt;record&gt;&lt;rec-number&gt;693&lt;/rec-number&gt;&lt;foreign-keys&gt;&lt;key app="EN" db-id="0rxrz20zjv2frgep2ecpvzz3dv2ptddpx0ev"&gt;693&lt;/key&gt;&lt;/foreign-keys&gt;&lt;ref-type name="Electronic Article"&gt;43&lt;/ref-type&gt;&lt;contributors&gt;&lt;authors&gt;&lt;author&gt;Gur, Esra Bahar&lt;/author&gt;&lt;author&gt;Ince, Ozlem&lt;/author&gt;&lt;author&gt;Turan, Guluzar Arzu&lt;/author&gt;&lt;author&gt;Karadeniz, Muammer&lt;/author&gt;&lt;author&gt;Tatar, Sumeyra&lt;/author&gt;&lt;author&gt;Celik, Esin&lt;/author&gt;&lt;author&gt;Yalcin, Murat&lt;/author&gt;&lt;author&gt;Guclu, Serkan&lt;/author&gt;&lt;/authors&gt;&lt;/contributors&gt;&lt;titles&gt;&lt;title&gt;Ultrasonographic visceral fat thickness in the first trimester can predict metabolic syndrome and gestational diabetes mellitus&lt;/title&gt;&lt;secondary-title&gt;Endocrine&lt;/secondary-title&gt;&lt;/titles&gt;&lt;periodical&gt;&lt;full-title&gt;Endocrine&lt;/full-title&gt;&lt;/periodical&gt;&lt;pages&gt;6&lt;/pages&gt;&lt;volume&gt;47&lt;/volume&gt;&lt;number&gt;2&lt;/number&gt;&lt;dates&gt;&lt;year&gt;2014&lt;/year&gt;&lt;pub-dates&gt;&lt;date&gt;5 Nov 2019&lt;/date&gt;&lt;/pub-dates&gt;&lt;/dates&gt;&lt;isbn&gt;1355-008X&lt;/isbn&gt;&lt;urls&gt;&lt;related-urls&gt;&lt;url&gt;https://link.springer.com/content/pdf/10.1007/s12020-013-0154-1.pdf&lt;/url&gt;&lt;/related-urls&gt;&lt;/urls&gt;&lt;/record&gt;&lt;/Cite&gt;&lt;/EndNote&gt;</w:instrText>
        </w:r>
        <w:r w:rsidRPr="00E55D0D">
          <w:rPr>
            <w:rFonts w:cs="Arial"/>
            <w:sz w:val="22"/>
            <w:lang w:eastAsia="es-ES"/>
          </w:rPr>
          <w:fldChar w:fldCharType="separate"/>
        </w:r>
        <w:r w:rsidRPr="00E55D0D">
          <w:rPr>
            <w:rFonts w:cs="Arial"/>
            <w:noProof/>
            <w:sz w:val="22"/>
            <w:vertAlign w:val="superscript"/>
            <w:lang w:eastAsia="es-ES"/>
          </w:rPr>
          <w:t>18</w:t>
        </w:r>
        <w:r w:rsidRPr="00E55D0D">
          <w:rPr>
            <w:rFonts w:cs="Arial"/>
            <w:sz w:val="22"/>
            <w:lang w:eastAsia="es-ES"/>
          </w:rPr>
          <w:fldChar w:fldCharType="end"/>
        </w:r>
      </w:hyperlink>
    </w:p>
    <w:p w:rsidR="00E55D0D" w:rsidRPr="00E55D0D" w:rsidRDefault="00E55D0D" w:rsidP="00E55D0D">
      <w:pPr>
        <w:spacing w:line="240" w:lineRule="auto"/>
        <w:jc w:val="both"/>
        <w:rPr>
          <w:rFonts w:cs="Arial"/>
          <w:sz w:val="22"/>
          <w:lang w:eastAsia="es-ES"/>
        </w:rPr>
      </w:pPr>
      <w:r w:rsidRPr="00E55D0D">
        <w:rPr>
          <w:rFonts w:cs="Arial"/>
          <w:b/>
          <w:sz w:val="22"/>
          <w:lang w:eastAsia="es-ES"/>
        </w:rPr>
        <w:t>Grasa Subcutánea (</w:t>
      </w:r>
      <w:proofErr w:type="spellStart"/>
      <w:r w:rsidRPr="00E55D0D">
        <w:rPr>
          <w:rFonts w:cs="Arial"/>
          <w:b/>
          <w:sz w:val="22"/>
          <w:lang w:eastAsia="es-ES"/>
        </w:rPr>
        <w:t>GrSCMín</w:t>
      </w:r>
      <w:proofErr w:type="spellEnd"/>
      <w:r w:rsidRPr="00E55D0D">
        <w:rPr>
          <w:rFonts w:cs="Arial"/>
          <w:b/>
          <w:sz w:val="22"/>
          <w:lang w:eastAsia="es-ES"/>
        </w:rPr>
        <w:t>):</w:t>
      </w:r>
      <w:r w:rsidRPr="00E55D0D">
        <w:rPr>
          <w:rFonts w:cs="Arial"/>
          <w:sz w:val="22"/>
          <w:lang w:eastAsia="es-ES"/>
        </w:rPr>
        <w:t xml:space="preserve"> Panículo adiposo de la mitad superior de la pared abdominal anterior por encima del ombligo a nivel de la línea alba (grosor subcutáneo mínimo). Se mide en sentido perpendicular a la superficie entre la piel y línea alba a partir del apéndice xifoideo desplazando el transductor perpendicularmente en dirección al ombligo.</w:t>
      </w:r>
    </w:p>
    <w:p w:rsidR="00E55D0D" w:rsidRPr="00E55D0D" w:rsidRDefault="00E55D0D" w:rsidP="00E55D0D">
      <w:pPr>
        <w:spacing w:line="240" w:lineRule="auto"/>
        <w:jc w:val="both"/>
        <w:rPr>
          <w:rFonts w:cs="Arial"/>
          <w:sz w:val="22"/>
        </w:rPr>
      </w:pPr>
      <w:r w:rsidRPr="00E55D0D">
        <w:rPr>
          <w:rFonts w:cs="Arial"/>
          <w:b/>
          <w:sz w:val="22"/>
        </w:rPr>
        <w:t xml:space="preserve">Grasa </w:t>
      </w:r>
      <w:proofErr w:type="spellStart"/>
      <w:r w:rsidRPr="00E55D0D">
        <w:rPr>
          <w:rFonts w:cs="Arial"/>
          <w:b/>
          <w:sz w:val="22"/>
        </w:rPr>
        <w:t>Preperitoneal</w:t>
      </w:r>
      <w:proofErr w:type="spellEnd"/>
      <w:r w:rsidRPr="00E55D0D">
        <w:rPr>
          <w:rFonts w:cs="Arial"/>
          <w:b/>
          <w:sz w:val="22"/>
        </w:rPr>
        <w:t xml:space="preserve"> (</w:t>
      </w:r>
      <w:proofErr w:type="spellStart"/>
      <w:r w:rsidRPr="00E55D0D">
        <w:rPr>
          <w:rFonts w:cs="Arial"/>
          <w:b/>
          <w:sz w:val="22"/>
        </w:rPr>
        <w:t>GrPPMáx</w:t>
      </w:r>
      <w:proofErr w:type="spellEnd"/>
      <w:r w:rsidRPr="00E55D0D">
        <w:rPr>
          <w:rFonts w:cs="Arial"/>
          <w:b/>
          <w:sz w:val="22"/>
        </w:rPr>
        <w:t xml:space="preserve">): </w:t>
      </w:r>
      <w:r w:rsidRPr="00E55D0D">
        <w:rPr>
          <w:rFonts w:cs="Arial"/>
          <w:sz w:val="22"/>
        </w:rPr>
        <w:t xml:space="preserve">Es la capa de tejido adiposo entre la línea alba y la hoja visceral de peritoneo que reviste la cara diafragmática del hígado. Se mide colocando el transductor perpendicular a la piel y desplazándolo en línea recta en dirección al ombligo, paralelo a la línea alba. Se expresa en </w:t>
      </w:r>
      <w:proofErr w:type="spellStart"/>
      <w:r w:rsidRPr="00E55D0D">
        <w:rPr>
          <w:rFonts w:cs="Arial"/>
          <w:sz w:val="22"/>
        </w:rPr>
        <w:t>mm.</w:t>
      </w:r>
      <w:proofErr w:type="spellEnd"/>
      <w:r w:rsidRPr="00E55D0D">
        <w:rPr>
          <w:rFonts w:cs="Arial"/>
          <w:sz w:val="22"/>
        </w:rPr>
        <w:t xml:space="preserve"> Clasificación: cuantitativa continua.</w:t>
      </w:r>
    </w:p>
    <w:p w:rsidR="00E55D0D" w:rsidRPr="00E55D0D" w:rsidRDefault="00E55D0D" w:rsidP="00E55D0D">
      <w:pPr>
        <w:spacing w:line="240" w:lineRule="auto"/>
        <w:jc w:val="both"/>
        <w:rPr>
          <w:rFonts w:cs="Arial"/>
          <w:sz w:val="22"/>
        </w:rPr>
      </w:pPr>
      <w:r w:rsidRPr="00E55D0D">
        <w:rPr>
          <w:rFonts w:cs="Arial"/>
          <w:sz w:val="22"/>
        </w:rPr>
        <w:t>La grasa subcutánea mínima (</w:t>
      </w:r>
      <w:proofErr w:type="spellStart"/>
      <w:r w:rsidRPr="00E55D0D">
        <w:rPr>
          <w:rFonts w:cs="Arial"/>
          <w:b/>
          <w:sz w:val="22"/>
          <w:lang w:eastAsia="es-ES"/>
        </w:rPr>
        <w:t>GrSubc</w:t>
      </w:r>
      <w:r w:rsidRPr="00E55D0D">
        <w:rPr>
          <w:rFonts w:cs="Arial"/>
          <w:sz w:val="22"/>
        </w:rPr>
        <w:t>min</w:t>
      </w:r>
      <w:proofErr w:type="spellEnd"/>
      <w:r w:rsidRPr="00E55D0D">
        <w:rPr>
          <w:rFonts w:cs="Arial"/>
          <w:sz w:val="22"/>
        </w:rPr>
        <w:t xml:space="preserve">) se midió en el punto en que la grasa subcutánea presentó un diámetro menor y la grasa </w:t>
      </w:r>
      <w:proofErr w:type="spellStart"/>
      <w:r w:rsidRPr="00E55D0D">
        <w:rPr>
          <w:rFonts w:cs="Arial"/>
          <w:sz w:val="22"/>
        </w:rPr>
        <w:t>preperitoneal</w:t>
      </w:r>
      <w:proofErr w:type="spellEnd"/>
      <w:r w:rsidRPr="00E55D0D">
        <w:rPr>
          <w:rFonts w:cs="Arial"/>
          <w:sz w:val="22"/>
        </w:rPr>
        <w:t xml:space="preserve"> máxima (</w:t>
      </w:r>
      <w:proofErr w:type="spellStart"/>
      <w:r w:rsidRPr="00E55D0D">
        <w:rPr>
          <w:rFonts w:cs="Arial"/>
          <w:b/>
          <w:sz w:val="22"/>
        </w:rPr>
        <w:t>GrPP</w:t>
      </w:r>
      <w:r w:rsidRPr="00E55D0D">
        <w:rPr>
          <w:rFonts w:cs="Arial"/>
          <w:sz w:val="22"/>
        </w:rPr>
        <w:t>max</w:t>
      </w:r>
      <w:proofErr w:type="spellEnd"/>
      <w:r w:rsidRPr="00E55D0D">
        <w:rPr>
          <w:rFonts w:cs="Arial"/>
          <w:sz w:val="22"/>
        </w:rPr>
        <w:t>) en el punto en que el diámetro de este panículo adiposo fue mayor. En la determinación de ambas mediciones fue necesario desplazar longitudinalmente el transductor a lo largo de la línea alba desde el ombligo hasta el apéndice xifoides.</w:t>
      </w:r>
    </w:p>
    <w:p w:rsidR="00E55D0D" w:rsidRPr="00E55D0D" w:rsidRDefault="00E55D0D" w:rsidP="00E55D0D">
      <w:pPr>
        <w:spacing w:line="240" w:lineRule="auto"/>
        <w:jc w:val="both"/>
        <w:rPr>
          <w:rFonts w:cs="Arial"/>
          <w:sz w:val="22"/>
        </w:rPr>
      </w:pPr>
      <w:r w:rsidRPr="00E55D0D">
        <w:rPr>
          <w:rFonts w:cs="Arial"/>
          <w:sz w:val="22"/>
        </w:rPr>
        <w:t xml:space="preserve">Todas las mediciones </w:t>
      </w:r>
      <w:proofErr w:type="spellStart"/>
      <w:r w:rsidRPr="00E55D0D">
        <w:rPr>
          <w:rFonts w:cs="Arial"/>
          <w:sz w:val="22"/>
        </w:rPr>
        <w:t>ultrasonográficas</w:t>
      </w:r>
      <w:proofErr w:type="spellEnd"/>
      <w:r w:rsidRPr="00E55D0D">
        <w:rPr>
          <w:rFonts w:cs="Arial"/>
          <w:sz w:val="22"/>
        </w:rPr>
        <w:t xml:space="preserve"> fueron realizadas con la gestante en posición supina después de la inspiración para lograr que la tensión abdominal haya sido eliminada.</w:t>
      </w:r>
    </w:p>
    <w:p w:rsidR="00E55D0D" w:rsidRPr="00E55D0D" w:rsidRDefault="00E55D0D" w:rsidP="00E55D0D">
      <w:pPr>
        <w:spacing w:after="120" w:line="240" w:lineRule="auto"/>
        <w:jc w:val="both"/>
        <w:rPr>
          <w:rFonts w:cs="Arial"/>
          <w:b/>
          <w:sz w:val="22"/>
        </w:rPr>
      </w:pPr>
      <w:r w:rsidRPr="00E55D0D">
        <w:rPr>
          <w:rFonts w:cs="Arial"/>
          <w:b/>
          <w:sz w:val="22"/>
        </w:rPr>
        <w:t>R</w:t>
      </w:r>
      <w:r w:rsidRPr="00E55D0D">
        <w:rPr>
          <w:rFonts w:cs="Arial"/>
          <w:b/>
          <w:sz w:val="22"/>
        </w:rPr>
        <w:t>esultados</w:t>
      </w:r>
      <w:r>
        <w:rPr>
          <w:rFonts w:cs="Arial"/>
          <w:b/>
          <w:sz w:val="22"/>
        </w:rPr>
        <w:t xml:space="preserve"> y discus</w:t>
      </w:r>
      <w:r w:rsidRPr="00E55D0D">
        <w:rPr>
          <w:rFonts w:cs="Arial"/>
          <w:b/>
          <w:sz w:val="22"/>
        </w:rPr>
        <w:t>ión</w:t>
      </w:r>
      <w:r>
        <w:rPr>
          <w:rFonts w:cs="Arial"/>
          <w:b/>
          <w:sz w:val="22"/>
        </w:rPr>
        <w:t>:</w:t>
      </w:r>
    </w:p>
    <w:p w:rsidR="00E55D0D" w:rsidRPr="00E55D0D" w:rsidRDefault="00E55D0D" w:rsidP="00E55D0D">
      <w:pPr>
        <w:tabs>
          <w:tab w:val="center" w:pos="3441"/>
        </w:tabs>
        <w:autoSpaceDE w:val="0"/>
        <w:autoSpaceDN w:val="0"/>
        <w:adjustRightInd w:val="0"/>
        <w:spacing w:line="240" w:lineRule="auto"/>
        <w:jc w:val="both"/>
        <w:rPr>
          <w:rFonts w:cs="Arial"/>
          <w:bCs/>
          <w:color w:val="000000"/>
          <w:sz w:val="22"/>
          <w:lang w:eastAsia="es-ES"/>
        </w:rPr>
      </w:pPr>
      <w:r w:rsidRPr="00E55D0D">
        <w:rPr>
          <w:rFonts w:cs="Arial"/>
          <w:sz w:val="22"/>
        </w:rPr>
        <w:t xml:space="preserve">La tabla 1 </w:t>
      </w:r>
      <w:r w:rsidRPr="00E55D0D">
        <w:rPr>
          <w:rFonts w:cs="Arial"/>
          <w:bCs/>
          <w:color w:val="000000"/>
          <w:sz w:val="22"/>
          <w:lang w:eastAsia="es-ES"/>
        </w:rPr>
        <w:t>presenta la frecuencia de índice cintura/talla respecto al valor de 0,5 Predominaron las gestantes con valores del índice C/T superior a 0,5 (42; 80,8%) y solo 10 gestantes para un 19,2% tuvieron valores inferiores a 0,5 en este índice.</w:t>
      </w:r>
    </w:p>
    <w:p w:rsidR="00E55D0D" w:rsidRPr="00E55D0D" w:rsidRDefault="006A4B51" w:rsidP="00E55D0D">
      <w:pPr>
        <w:tabs>
          <w:tab w:val="center" w:pos="2793"/>
        </w:tabs>
        <w:autoSpaceDE w:val="0"/>
        <w:autoSpaceDN w:val="0"/>
        <w:adjustRightInd w:val="0"/>
        <w:spacing w:line="240" w:lineRule="auto"/>
        <w:jc w:val="both"/>
        <w:rPr>
          <w:rFonts w:cs="Arial"/>
          <w:color w:val="000000"/>
          <w:sz w:val="22"/>
          <w:lang w:eastAsia="es-ES"/>
        </w:rPr>
      </w:pPr>
      <w:r>
        <w:rPr>
          <w:rFonts w:cs="Arial"/>
          <w:color w:val="000000"/>
          <w:sz w:val="22"/>
          <w:lang w:eastAsia="es-ES"/>
        </w:rPr>
        <w:t xml:space="preserve">En la tabla 2 </w:t>
      </w:r>
      <w:r w:rsidR="00E55D0D" w:rsidRPr="00E55D0D">
        <w:rPr>
          <w:rFonts w:cs="Arial"/>
          <w:color w:val="000000"/>
          <w:sz w:val="22"/>
          <w:lang w:eastAsia="es-ES"/>
        </w:rPr>
        <w:t xml:space="preserve">se muestran las comparaciones de AFI entre los trimestres en cada grupo y en cada trimestre entre los grupos según que </w:t>
      </w:r>
      <w:proofErr w:type="gramStart"/>
      <w:r w:rsidR="00E55D0D" w:rsidRPr="00E55D0D">
        <w:rPr>
          <w:rFonts w:cs="Arial"/>
          <w:color w:val="000000"/>
          <w:sz w:val="22"/>
          <w:lang w:eastAsia="es-ES"/>
        </w:rPr>
        <w:t>el índice cintura</w:t>
      </w:r>
      <w:proofErr w:type="gramEnd"/>
      <w:r w:rsidR="00E55D0D" w:rsidRPr="00E55D0D">
        <w:rPr>
          <w:rFonts w:cs="Arial"/>
          <w:color w:val="000000"/>
          <w:sz w:val="22"/>
          <w:lang w:eastAsia="es-ES"/>
        </w:rPr>
        <w:t>/talla sea menor o igual-mayor de 0,5 o al percentil 66.</w:t>
      </w:r>
    </w:p>
    <w:p w:rsidR="00E55D0D" w:rsidRPr="00E55D0D" w:rsidRDefault="00E55D0D" w:rsidP="00E55D0D">
      <w:pPr>
        <w:tabs>
          <w:tab w:val="center" w:pos="2793"/>
        </w:tabs>
        <w:autoSpaceDE w:val="0"/>
        <w:autoSpaceDN w:val="0"/>
        <w:adjustRightInd w:val="0"/>
        <w:spacing w:line="240" w:lineRule="auto"/>
        <w:jc w:val="both"/>
        <w:rPr>
          <w:rFonts w:cs="Arial"/>
          <w:sz w:val="22"/>
        </w:rPr>
      </w:pPr>
      <w:r w:rsidRPr="00E55D0D">
        <w:rPr>
          <w:rFonts w:cs="Arial"/>
          <w:color w:val="000000"/>
          <w:sz w:val="22"/>
          <w:lang w:eastAsia="es-ES"/>
        </w:rPr>
        <w:t>El valor medio de AFI se incrementó del primer al tercer trimestre, con diferencias estadísticas significativas para todas las categorías del IC/T. Tanto las gestantes con IC/T menor al valor 0,5, como las que presentaron IC/T menor al 66 percentil, mostraron valores medios de AFI superiores a la otra categoría en todos los trimestres; aunque solo existieron diferencias estadísticas significativas entre las categorías del IC/T respecto al 66 percentil en el segundo y tercer trimestre.</w:t>
      </w:r>
    </w:p>
    <w:p w:rsidR="00E55D0D" w:rsidRPr="00E55D0D" w:rsidRDefault="00E55D0D" w:rsidP="00E55D0D">
      <w:pPr>
        <w:spacing w:line="240" w:lineRule="auto"/>
        <w:jc w:val="both"/>
        <w:rPr>
          <w:rFonts w:cs="Arial"/>
          <w:color w:val="000000"/>
          <w:sz w:val="22"/>
          <w:lang w:eastAsia="es-ES"/>
        </w:rPr>
      </w:pPr>
      <w:r w:rsidRPr="00E55D0D">
        <w:rPr>
          <w:rFonts w:cs="Arial"/>
          <w:color w:val="000000"/>
          <w:sz w:val="22"/>
          <w:lang w:eastAsia="es-ES"/>
        </w:rPr>
        <w:t xml:space="preserve">El gráfico 1 muestra que la grasa subcutánea mínima desciende a través del embarazo, con valores ligeramente más bajos en las gestantes </w:t>
      </w:r>
      <w:proofErr w:type="gramStart"/>
      <w:r w:rsidRPr="00E55D0D">
        <w:rPr>
          <w:rFonts w:cs="Arial"/>
          <w:color w:val="000000"/>
          <w:sz w:val="22"/>
          <w:lang w:eastAsia="es-ES"/>
        </w:rPr>
        <w:t>cuyo índice cintura</w:t>
      </w:r>
      <w:proofErr w:type="gramEnd"/>
      <w:r w:rsidRPr="00E55D0D">
        <w:rPr>
          <w:rFonts w:cs="Arial"/>
          <w:color w:val="000000"/>
          <w:sz w:val="22"/>
          <w:lang w:eastAsia="es-ES"/>
        </w:rPr>
        <w:t xml:space="preserve">/talla es inferior al valor 0,5, aunque el descenso se produjo al mismo ritmo en ambas categorías del índice cintura/talla. </w:t>
      </w:r>
    </w:p>
    <w:p w:rsidR="00E55D0D" w:rsidRPr="00E55D0D" w:rsidRDefault="00E55D0D" w:rsidP="00E55D0D">
      <w:pPr>
        <w:spacing w:line="240" w:lineRule="auto"/>
        <w:jc w:val="both"/>
        <w:rPr>
          <w:rFonts w:cs="Arial"/>
          <w:color w:val="000000"/>
          <w:sz w:val="22"/>
          <w:lang w:eastAsia="es-ES"/>
        </w:rPr>
      </w:pPr>
      <w:r w:rsidRPr="00E55D0D">
        <w:rPr>
          <w:rFonts w:cs="Arial"/>
          <w:color w:val="000000"/>
          <w:sz w:val="22"/>
          <w:lang w:eastAsia="es-ES"/>
        </w:rPr>
        <w:lastRenderedPageBreak/>
        <w:t xml:space="preserve">La grasa </w:t>
      </w:r>
      <w:proofErr w:type="spellStart"/>
      <w:r w:rsidRPr="00E55D0D">
        <w:rPr>
          <w:rFonts w:cs="Arial"/>
          <w:color w:val="000000"/>
          <w:sz w:val="22"/>
          <w:lang w:eastAsia="es-ES"/>
        </w:rPr>
        <w:t>preperitoneal</w:t>
      </w:r>
      <w:proofErr w:type="spellEnd"/>
      <w:r w:rsidRPr="00E55D0D">
        <w:rPr>
          <w:rFonts w:cs="Arial"/>
          <w:color w:val="000000"/>
          <w:sz w:val="22"/>
          <w:lang w:eastAsia="es-ES"/>
        </w:rPr>
        <w:t xml:space="preserve"> máxima se incrementó a lo largo del embarazo, con niveles muy cercanos en las que estaban por debajo del valor 0,5 y las que estaban a nivel o por encima del mismo.</w:t>
      </w:r>
    </w:p>
    <w:p w:rsidR="00E55D0D" w:rsidRPr="00E55D0D" w:rsidRDefault="00E55D0D" w:rsidP="00E55D0D">
      <w:pPr>
        <w:spacing w:line="240" w:lineRule="auto"/>
        <w:jc w:val="both"/>
        <w:rPr>
          <w:rFonts w:cs="Arial"/>
          <w:b/>
          <w:sz w:val="22"/>
        </w:rPr>
      </w:pPr>
      <w:r w:rsidRPr="00E55D0D">
        <w:rPr>
          <w:rFonts w:cs="Arial"/>
          <w:color w:val="000000"/>
          <w:sz w:val="22"/>
          <w:lang w:eastAsia="es-ES"/>
        </w:rPr>
        <w:t xml:space="preserve">El AFI se incrementó en las gestantes durante el embarazo, pero con un nivel más alto en las gestantes </w:t>
      </w:r>
      <w:proofErr w:type="gramStart"/>
      <w:r w:rsidRPr="00E55D0D">
        <w:rPr>
          <w:rFonts w:cs="Arial"/>
          <w:color w:val="000000"/>
          <w:sz w:val="22"/>
          <w:lang w:eastAsia="es-ES"/>
        </w:rPr>
        <w:t>cuyo índice cintura</w:t>
      </w:r>
      <w:proofErr w:type="gramEnd"/>
      <w:r w:rsidRPr="00E55D0D">
        <w:rPr>
          <w:rFonts w:cs="Arial"/>
          <w:color w:val="000000"/>
          <w:sz w:val="22"/>
          <w:lang w:eastAsia="es-ES"/>
        </w:rPr>
        <w:t>/talla estuvo por debajo del valor 0,5.</w:t>
      </w:r>
    </w:p>
    <w:p w:rsidR="00E55D0D" w:rsidRPr="00E55D0D" w:rsidRDefault="00E55D0D" w:rsidP="00E55D0D">
      <w:pPr>
        <w:spacing w:line="240" w:lineRule="auto"/>
        <w:jc w:val="both"/>
        <w:rPr>
          <w:rFonts w:eastAsiaTheme="minorEastAsia" w:cs="Arial"/>
          <w:sz w:val="22"/>
          <w:highlight w:val="cyan"/>
          <w:lang w:eastAsia="es-ES"/>
        </w:rPr>
      </w:pPr>
      <w:r w:rsidRPr="00E55D0D">
        <w:rPr>
          <w:b/>
          <w:sz w:val="22"/>
        </w:rPr>
        <w:t xml:space="preserve"> </w:t>
      </w:r>
      <w:r w:rsidRPr="00E55D0D">
        <w:rPr>
          <w:rFonts w:eastAsiaTheme="minorEastAsia" w:cs="Arial"/>
          <w:sz w:val="22"/>
          <w:lang w:eastAsia="es-ES"/>
        </w:rPr>
        <w:t>La antropometría es útil tanto para diagnosticar el estado nutricional de poblaciones como la presencia de factores de riesgo cardiovasculares, así como la obesidad o la cantidad de grasa abdominal.</w:t>
      </w:r>
      <w:r w:rsidRPr="00E55D0D">
        <w:rPr>
          <w:sz w:val="22"/>
          <w:vertAlign w:val="superscript"/>
        </w:rPr>
        <w:t>20</w:t>
      </w:r>
      <w:r w:rsidRPr="00E55D0D">
        <w:rPr>
          <w:rFonts w:eastAsiaTheme="minorEastAsia" w:cs="Arial"/>
          <w:sz w:val="22"/>
          <w:highlight w:val="cyan"/>
          <w:lang w:eastAsia="es-ES"/>
        </w:rPr>
        <w:t xml:space="preserve"> </w:t>
      </w:r>
    </w:p>
    <w:p w:rsidR="00E55D0D" w:rsidRPr="00E55D0D" w:rsidRDefault="00E55D0D" w:rsidP="00E55D0D">
      <w:pPr>
        <w:spacing w:line="240" w:lineRule="auto"/>
        <w:jc w:val="both"/>
        <w:rPr>
          <w:rFonts w:cs="Arial"/>
          <w:sz w:val="22"/>
          <w:lang w:eastAsia="es-MX"/>
        </w:rPr>
      </w:pPr>
      <w:r w:rsidRPr="00E55D0D">
        <w:rPr>
          <w:rFonts w:cs="Arial"/>
          <w:sz w:val="22"/>
          <w:lang w:eastAsia="es-MX"/>
        </w:rPr>
        <w:t>A pesar de que el tejido adiposo visceral juega un papel esencial entre la adiposidad y el metabolismo de la glucosa;</w:t>
      </w:r>
      <w:r w:rsidRPr="00E55D0D">
        <w:rPr>
          <w:sz w:val="22"/>
          <w:vertAlign w:val="superscript"/>
        </w:rPr>
        <w:t xml:space="preserve">21 </w:t>
      </w:r>
      <w:r w:rsidRPr="00E55D0D">
        <w:rPr>
          <w:rFonts w:cs="Arial"/>
          <w:sz w:val="22"/>
          <w:lang w:eastAsia="es-MX"/>
        </w:rPr>
        <w:t>las medidas antropométricas tradicionales como el IMC y la CA no son capaces de distinguir entre el tejido adiposo visceral y el subcutáneo.</w:t>
      </w:r>
      <w:r w:rsidRPr="00E55D0D">
        <w:rPr>
          <w:sz w:val="22"/>
          <w:vertAlign w:val="superscript"/>
        </w:rPr>
        <w:t>22</w:t>
      </w:r>
      <w:r w:rsidRPr="00E55D0D">
        <w:rPr>
          <w:rFonts w:cs="Arial"/>
          <w:sz w:val="22"/>
          <w:vertAlign w:val="superscript"/>
          <w:lang w:eastAsia="es-MX"/>
        </w:rPr>
        <w:t xml:space="preserve"> </w:t>
      </w:r>
    </w:p>
    <w:p w:rsidR="00E55D0D" w:rsidRPr="00E55D0D" w:rsidRDefault="00E55D0D" w:rsidP="00E55D0D">
      <w:pPr>
        <w:spacing w:line="240" w:lineRule="auto"/>
        <w:jc w:val="both"/>
        <w:rPr>
          <w:rFonts w:cs="Arial"/>
          <w:sz w:val="22"/>
          <w:highlight w:val="cyan"/>
          <w:lang w:eastAsia="es-MX"/>
        </w:rPr>
      </w:pPr>
      <w:r w:rsidRPr="00E55D0D">
        <w:rPr>
          <w:rFonts w:cs="Arial"/>
          <w:sz w:val="22"/>
          <w:lang w:eastAsia="es-MX"/>
        </w:rPr>
        <w:t xml:space="preserve">Sin embargo, el IC/T ha demostrado una mayor correlación con la CA que con el IMC, lo que demuestra que este índice valora mejor la acumulación central de la grasa que el aumento global del peso corporal. </w:t>
      </w:r>
      <w:r w:rsidRPr="00E55D0D">
        <w:rPr>
          <w:rFonts w:cs="Arial"/>
          <w:bCs/>
          <w:sz w:val="22"/>
          <w:lang w:eastAsia="es-ES"/>
        </w:rPr>
        <w:t xml:space="preserve">Los reportes de </w:t>
      </w:r>
      <w:proofErr w:type="spellStart"/>
      <w:r w:rsidRPr="00E55D0D">
        <w:rPr>
          <w:rFonts w:cs="Arial"/>
          <w:sz w:val="22"/>
          <w:lang w:eastAsia="es-ES"/>
        </w:rPr>
        <w:t>Fattah</w:t>
      </w:r>
      <w:proofErr w:type="spellEnd"/>
      <w:r w:rsidRPr="00E55D0D">
        <w:rPr>
          <w:rFonts w:cs="Arial"/>
          <w:sz w:val="22"/>
          <w:lang w:eastAsia="es-ES"/>
        </w:rPr>
        <w:t xml:space="preserve"> C, </w:t>
      </w:r>
      <w:proofErr w:type="spellStart"/>
      <w:r w:rsidRPr="00E55D0D">
        <w:rPr>
          <w:rFonts w:cs="Arial"/>
          <w:sz w:val="22"/>
          <w:lang w:eastAsia="es-ES"/>
        </w:rPr>
        <w:t>Farah</w:t>
      </w:r>
      <w:proofErr w:type="spellEnd"/>
      <w:r w:rsidRPr="00E55D0D">
        <w:rPr>
          <w:rFonts w:cs="Arial"/>
          <w:sz w:val="22"/>
          <w:lang w:eastAsia="es-ES"/>
        </w:rPr>
        <w:t xml:space="preserve"> N y colaboradores, plantean que en una población joven el 82% presentó valores del índice C/T superior al 0,5; </w:t>
      </w:r>
      <w:r w:rsidRPr="00E55D0D">
        <w:rPr>
          <w:rFonts w:cs="Arial"/>
          <w:sz w:val="22"/>
          <w:lang w:eastAsia="es-MX"/>
        </w:rPr>
        <w:t>porcentaje superior al 26 % considerado «obeso» según IMC.</w:t>
      </w:r>
      <w:r w:rsidRPr="00E55D0D">
        <w:rPr>
          <w:sz w:val="22"/>
          <w:vertAlign w:val="superscript"/>
        </w:rPr>
        <w:t>23</w:t>
      </w:r>
      <w:r w:rsidRPr="00E55D0D">
        <w:rPr>
          <w:rFonts w:cs="Arial"/>
          <w:sz w:val="22"/>
          <w:lang w:eastAsia="es-MX"/>
        </w:rPr>
        <w:t xml:space="preserve"> </w:t>
      </w:r>
      <w:r w:rsidRPr="00E55D0D">
        <w:rPr>
          <w:rFonts w:eastAsiaTheme="minorEastAsia" w:cs="Arial"/>
          <w:sz w:val="22"/>
          <w:lang w:eastAsia="es-ES"/>
        </w:rPr>
        <w:t>Otras investigaciones aseveran el papel del IC/T en la identificación del síndrome metabólico, al encontrarse significativamente más elevado entre los sujetos con este síndrome, lo que significa que es una medida que indica acumulación central de la grasa, aspecto fundamental en su fisiopatología.</w:t>
      </w:r>
      <w:r w:rsidRPr="00E55D0D">
        <w:rPr>
          <w:sz w:val="22"/>
          <w:vertAlign w:val="superscript"/>
        </w:rPr>
        <w:t>24</w:t>
      </w:r>
      <w:r w:rsidRPr="00E55D0D">
        <w:rPr>
          <w:rFonts w:cs="Arial"/>
          <w:sz w:val="22"/>
          <w:highlight w:val="cyan"/>
          <w:vertAlign w:val="superscript"/>
          <w:lang w:eastAsia="es-MX"/>
        </w:rPr>
        <w:t xml:space="preserve"> </w:t>
      </w:r>
    </w:p>
    <w:p w:rsidR="00E55D0D" w:rsidRPr="00E55D0D" w:rsidRDefault="00E55D0D" w:rsidP="00E55D0D">
      <w:pPr>
        <w:tabs>
          <w:tab w:val="center" w:pos="2476"/>
        </w:tabs>
        <w:autoSpaceDE w:val="0"/>
        <w:autoSpaceDN w:val="0"/>
        <w:adjustRightInd w:val="0"/>
        <w:spacing w:line="240" w:lineRule="auto"/>
        <w:jc w:val="both"/>
        <w:rPr>
          <w:rFonts w:cs="Arial"/>
          <w:bCs/>
          <w:sz w:val="22"/>
          <w:lang w:eastAsia="es-ES"/>
        </w:rPr>
      </w:pPr>
      <w:r w:rsidRPr="00E55D0D">
        <w:rPr>
          <w:rFonts w:cs="Arial"/>
          <w:color w:val="000000"/>
          <w:sz w:val="22"/>
          <w:lang w:eastAsia="es-ES"/>
        </w:rPr>
        <w:t>El presente trabajo utiliza el índice C/T como una medida antropométrica de la obesidad central en personas de peso normal.</w:t>
      </w:r>
    </w:p>
    <w:p w:rsidR="00E55D0D" w:rsidRPr="00E55D0D" w:rsidRDefault="00E55D0D" w:rsidP="00E55D0D">
      <w:pPr>
        <w:spacing w:after="0" w:line="240" w:lineRule="auto"/>
        <w:ind w:left="-425"/>
        <w:jc w:val="both"/>
        <w:rPr>
          <w:b/>
          <w:sz w:val="22"/>
        </w:rPr>
      </w:pPr>
    </w:p>
    <w:p w:rsidR="00E55D0D" w:rsidRPr="00E55D0D" w:rsidRDefault="00E55D0D" w:rsidP="00E55D0D">
      <w:pPr>
        <w:spacing w:line="240" w:lineRule="auto"/>
        <w:jc w:val="both"/>
        <w:rPr>
          <w:rFonts w:eastAsiaTheme="minorEastAsia"/>
          <w:color w:val="0563C1" w:themeColor="hyperlink"/>
          <w:sz w:val="22"/>
          <w:u w:val="single"/>
          <w:lang w:eastAsia="es-ES"/>
        </w:rPr>
      </w:pPr>
      <w:r w:rsidRPr="00E55D0D">
        <w:rPr>
          <w:rFonts w:eastAsiaTheme="minorEastAsia" w:cs="Arial"/>
          <w:sz w:val="22"/>
          <w:lang w:eastAsia="es-ES"/>
        </w:rPr>
        <w:t xml:space="preserve">En específico, un valor superior a 0,5 en </w:t>
      </w:r>
      <w:proofErr w:type="gramStart"/>
      <w:r w:rsidRPr="00E55D0D">
        <w:rPr>
          <w:rFonts w:eastAsiaTheme="minorEastAsia" w:cs="Arial"/>
          <w:sz w:val="22"/>
          <w:lang w:eastAsia="es-ES"/>
        </w:rPr>
        <w:t>el índice cintura</w:t>
      </w:r>
      <w:proofErr w:type="gramEnd"/>
      <w:r w:rsidRPr="00E55D0D">
        <w:rPr>
          <w:rFonts w:eastAsiaTheme="minorEastAsia" w:cs="Arial"/>
          <w:sz w:val="22"/>
          <w:lang w:eastAsia="es-ES"/>
        </w:rPr>
        <w:t>/talla es considerado como diagnóstico de certeza de obesidad abdominal, mientras que cifras mayores han mostrado tener una elevada correlación con el porcentaje de grasa corporal, y se reconoce como uno de los predictores de riesgo en pacientes con síndrome metabólico y de utilidad en la pesquisa de personas en riesgo de desarrollar disglucemias.</w:t>
      </w:r>
      <w:r w:rsidRPr="00E55D0D">
        <w:rPr>
          <w:sz w:val="22"/>
          <w:vertAlign w:val="superscript"/>
        </w:rPr>
        <w:t>25</w:t>
      </w:r>
      <w:r w:rsidRPr="00E55D0D">
        <w:rPr>
          <w:rFonts w:eastAsiaTheme="minorEastAsia"/>
          <w:color w:val="0563C1" w:themeColor="hyperlink"/>
          <w:sz w:val="22"/>
          <w:u w:val="single"/>
          <w:lang w:eastAsia="es-ES"/>
        </w:rPr>
        <w:t xml:space="preserve"> </w:t>
      </w:r>
    </w:p>
    <w:p w:rsidR="00E55D0D" w:rsidRPr="00E55D0D" w:rsidRDefault="00E55D0D" w:rsidP="00E55D0D">
      <w:pPr>
        <w:spacing w:line="240" w:lineRule="auto"/>
        <w:jc w:val="both"/>
        <w:rPr>
          <w:rFonts w:eastAsiaTheme="minorEastAsia" w:cs="Arial"/>
          <w:sz w:val="22"/>
          <w:lang w:eastAsia="es-ES"/>
        </w:rPr>
      </w:pPr>
      <w:r w:rsidRPr="00E55D0D">
        <w:rPr>
          <w:rFonts w:eastAsiaTheme="minorEastAsia" w:cs="Arial"/>
          <w:sz w:val="22"/>
          <w:lang w:eastAsia="es-ES"/>
        </w:rPr>
        <w:t xml:space="preserve">En el presente estudio </w:t>
      </w:r>
      <w:proofErr w:type="gramStart"/>
      <w:r w:rsidRPr="00E55D0D">
        <w:rPr>
          <w:rFonts w:eastAsiaTheme="minorEastAsia" w:cs="Arial"/>
          <w:sz w:val="22"/>
          <w:lang w:eastAsia="es-ES"/>
        </w:rPr>
        <w:t>un alto por ciento de gestantes mostraron</w:t>
      </w:r>
      <w:proofErr w:type="gramEnd"/>
      <w:r w:rsidRPr="00E55D0D">
        <w:rPr>
          <w:rFonts w:eastAsiaTheme="minorEastAsia" w:cs="Arial"/>
          <w:sz w:val="22"/>
          <w:lang w:eastAsia="es-ES"/>
        </w:rPr>
        <w:t xml:space="preserve"> cifras del IC/T mayor de 0,5 (80,8%) y el 53,8% ocupó el tercer tertil de la distribución </w:t>
      </w:r>
      <w:proofErr w:type="spellStart"/>
      <w:r w:rsidRPr="00E55D0D">
        <w:rPr>
          <w:rFonts w:eastAsiaTheme="minorEastAsia" w:cs="Arial"/>
          <w:sz w:val="22"/>
          <w:lang w:eastAsia="es-ES"/>
        </w:rPr>
        <w:t>percentilar</w:t>
      </w:r>
      <w:proofErr w:type="spellEnd"/>
      <w:r w:rsidRPr="00E55D0D">
        <w:rPr>
          <w:rFonts w:eastAsiaTheme="minorEastAsia" w:cs="Arial"/>
          <w:sz w:val="22"/>
          <w:lang w:eastAsia="es-ES"/>
        </w:rPr>
        <w:t xml:space="preserve"> del índice cintura/talla (gráfico 1.A y 1.B), lo que es indicativo de valores altos de la circunferencia de la cintura como reflejo de la adiposidad central (abdominal).</w:t>
      </w:r>
    </w:p>
    <w:p w:rsidR="00E55D0D" w:rsidRPr="00E55D0D" w:rsidRDefault="00E55D0D" w:rsidP="00E55D0D">
      <w:pPr>
        <w:spacing w:line="240" w:lineRule="auto"/>
        <w:jc w:val="both"/>
        <w:rPr>
          <w:rFonts w:eastAsiaTheme="minorEastAsia" w:cs="Arial"/>
          <w:sz w:val="22"/>
          <w:lang w:eastAsia="es-ES"/>
        </w:rPr>
      </w:pPr>
      <w:r w:rsidRPr="00E55D0D">
        <w:rPr>
          <w:rFonts w:eastAsiaTheme="minorEastAsia" w:cs="Arial"/>
          <w:sz w:val="22"/>
          <w:lang w:eastAsia="es-ES"/>
        </w:rPr>
        <w:t xml:space="preserve">Los resultados anteriores hacen sospechar a la autora que se encuentra ante una población de alta vulnerabilidad al riesgo </w:t>
      </w:r>
      <w:proofErr w:type="spellStart"/>
      <w:r w:rsidRPr="00E55D0D">
        <w:rPr>
          <w:rFonts w:eastAsiaTheme="minorEastAsia" w:cs="Arial"/>
          <w:sz w:val="22"/>
          <w:lang w:eastAsia="es-ES"/>
        </w:rPr>
        <w:t>cardiometabólico</w:t>
      </w:r>
      <w:proofErr w:type="spellEnd"/>
      <w:r w:rsidRPr="00E55D0D">
        <w:rPr>
          <w:rFonts w:eastAsiaTheme="minorEastAsia" w:cs="Arial"/>
          <w:sz w:val="22"/>
          <w:lang w:eastAsia="es-ES"/>
        </w:rPr>
        <w:t xml:space="preserve"> por adiposidad visceral, situación que debiera ser comprobada por otros indicadores antropométricos y por métodos </w:t>
      </w:r>
      <w:proofErr w:type="spellStart"/>
      <w:r w:rsidRPr="00E55D0D">
        <w:rPr>
          <w:rFonts w:eastAsiaTheme="minorEastAsia" w:cs="Arial"/>
          <w:sz w:val="22"/>
          <w:lang w:eastAsia="es-ES"/>
        </w:rPr>
        <w:t>ultrasonográficos</w:t>
      </w:r>
      <w:proofErr w:type="spellEnd"/>
      <w:r w:rsidRPr="00E55D0D">
        <w:rPr>
          <w:rFonts w:eastAsiaTheme="minorEastAsia" w:cs="Arial"/>
          <w:sz w:val="22"/>
          <w:lang w:eastAsia="es-ES"/>
        </w:rPr>
        <w:t>.</w:t>
      </w:r>
    </w:p>
    <w:p w:rsidR="00E07C4A" w:rsidRDefault="00E07C4A" w:rsidP="00E07C4A">
      <w:pPr>
        <w:spacing w:after="0" w:line="360" w:lineRule="auto"/>
        <w:ind w:left="-425"/>
        <w:jc w:val="both"/>
        <w:rPr>
          <w:b/>
          <w:sz w:val="22"/>
        </w:rPr>
      </w:pPr>
      <w:r w:rsidRPr="00E35467">
        <w:rPr>
          <w:b/>
          <w:sz w:val="22"/>
        </w:rPr>
        <w:t>Conclusiones:</w:t>
      </w:r>
    </w:p>
    <w:p w:rsidR="00147E5A" w:rsidRPr="00147E5A" w:rsidRDefault="00147E5A" w:rsidP="00147E5A">
      <w:pPr>
        <w:spacing w:line="240" w:lineRule="auto"/>
        <w:contextualSpacing/>
        <w:jc w:val="both"/>
        <w:rPr>
          <w:rFonts w:cs="Arial"/>
          <w:color w:val="000000"/>
          <w:sz w:val="22"/>
        </w:rPr>
      </w:pPr>
      <w:r w:rsidRPr="00147E5A">
        <w:rPr>
          <w:rFonts w:cs="Arial"/>
          <w:sz w:val="22"/>
        </w:rPr>
        <w:lastRenderedPageBreak/>
        <w:t xml:space="preserve">A la captación del embarazo </w:t>
      </w:r>
      <w:r w:rsidRPr="00147E5A">
        <w:rPr>
          <w:rFonts w:cs="Arial"/>
          <w:bCs/>
          <w:color w:val="000000"/>
          <w:sz w:val="22"/>
        </w:rPr>
        <w:t xml:space="preserve">predominaron las gestantes </w:t>
      </w:r>
      <w:r w:rsidRPr="00147E5A">
        <w:rPr>
          <w:rFonts w:cs="Arial"/>
          <w:sz w:val="22"/>
        </w:rPr>
        <w:t>vulnerables por adiposidad central,</w:t>
      </w:r>
      <w:r w:rsidRPr="00147E5A">
        <w:rPr>
          <w:rFonts w:cs="Arial"/>
          <w:bCs/>
          <w:color w:val="000000"/>
          <w:sz w:val="22"/>
        </w:rPr>
        <w:t xml:space="preserve"> con valores del índice cintura/</w:t>
      </w:r>
      <w:proofErr w:type="gramStart"/>
      <w:r w:rsidRPr="00147E5A">
        <w:rPr>
          <w:rFonts w:cs="Arial"/>
          <w:bCs/>
          <w:color w:val="000000"/>
          <w:sz w:val="22"/>
        </w:rPr>
        <w:t>talla superiores</w:t>
      </w:r>
      <w:proofErr w:type="gramEnd"/>
      <w:r w:rsidRPr="00147E5A">
        <w:rPr>
          <w:rFonts w:cs="Arial"/>
          <w:bCs/>
          <w:color w:val="000000"/>
          <w:sz w:val="22"/>
        </w:rPr>
        <w:t xml:space="preserve"> a 0,5.</w:t>
      </w:r>
      <w:r w:rsidRPr="00147E5A">
        <w:rPr>
          <w:rFonts w:cs="Arial"/>
          <w:color w:val="000000"/>
          <w:sz w:val="22"/>
        </w:rPr>
        <w:t xml:space="preserve"> </w:t>
      </w:r>
    </w:p>
    <w:p w:rsidR="00147E5A" w:rsidRPr="00147E5A" w:rsidRDefault="00147E5A" w:rsidP="00147E5A">
      <w:pPr>
        <w:spacing w:line="240" w:lineRule="auto"/>
        <w:contextualSpacing/>
        <w:jc w:val="both"/>
        <w:rPr>
          <w:rFonts w:cs="Arial"/>
          <w:color w:val="000000"/>
          <w:sz w:val="22"/>
        </w:rPr>
      </w:pPr>
      <w:r w:rsidRPr="00147E5A">
        <w:rPr>
          <w:rFonts w:cs="Arial"/>
          <w:color w:val="000000"/>
          <w:sz w:val="22"/>
        </w:rPr>
        <w:t xml:space="preserve">La grasa abdominal subcutánea desciende durante el embarazo a un ritmo semejante, pero en valores notablemente más bajos, en las gestantes cuyo índice C/T es inferior al percentil 66, en cambio la grasa </w:t>
      </w:r>
      <w:proofErr w:type="spellStart"/>
      <w:r w:rsidRPr="00147E5A">
        <w:rPr>
          <w:rFonts w:cs="Arial"/>
          <w:color w:val="000000"/>
          <w:sz w:val="22"/>
        </w:rPr>
        <w:t>preperitoneal</w:t>
      </w:r>
      <w:proofErr w:type="spellEnd"/>
      <w:r w:rsidRPr="00147E5A">
        <w:rPr>
          <w:rFonts w:cs="Arial"/>
          <w:color w:val="000000"/>
          <w:sz w:val="22"/>
        </w:rPr>
        <w:t xml:space="preserve"> se incrementa a través del embarazo en niveles muy cercanos para las diferentes categorías del índice C/T.</w:t>
      </w:r>
    </w:p>
    <w:p w:rsidR="00147E5A" w:rsidRPr="00147E5A" w:rsidRDefault="00147E5A" w:rsidP="00147E5A">
      <w:pPr>
        <w:spacing w:line="240" w:lineRule="auto"/>
        <w:contextualSpacing/>
        <w:jc w:val="both"/>
        <w:rPr>
          <w:rFonts w:cs="Arial"/>
          <w:color w:val="000000"/>
          <w:sz w:val="22"/>
        </w:rPr>
      </w:pPr>
      <w:r w:rsidRPr="00147E5A">
        <w:rPr>
          <w:rFonts w:cs="Arial"/>
          <w:color w:val="000000"/>
          <w:sz w:val="22"/>
        </w:rPr>
        <w:t>La trayectoria del índice de grasa acumulativo durante el embarazo es inversa a la del índice de adiposidad abdominal, en ambos con valores notablemente inferiores o superiores en las gestantes con valores de IC/T menores al 66 percentil.</w:t>
      </w:r>
    </w:p>
    <w:p w:rsidR="00147E5A" w:rsidRDefault="00147E5A" w:rsidP="00E07C4A">
      <w:pPr>
        <w:spacing w:after="0" w:line="360" w:lineRule="auto"/>
        <w:ind w:left="-425"/>
        <w:jc w:val="both"/>
        <w:rPr>
          <w:b/>
          <w:sz w:val="22"/>
        </w:rPr>
      </w:pPr>
    </w:p>
    <w:p w:rsidR="00E07C4A" w:rsidRDefault="00E07C4A" w:rsidP="00E07C4A">
      <w:pPr>
        <w:spacing w:after="0" w:line="360" w:lineRule="auto"/>
        <w:ind w:left="-425"/>
        <w:jc w:val="both"/>
        <w:rPr>
          <w:b/>
          <w:sz w:val="22"/>
        </w:rPr>
      </w:pPr>
      <w:r w:rsidRPr="00E35467">
        <w:rPr>
          <w:b/>
          <w:sz w:val="22"/>
        </w:rPr>
        <w:t>Bibliografía:</w:t>
      </w:r>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r w:rsidRPr="00EF3662">
        <w:rPr>
          <w:rFonts w:ascii="Verdana" w:hAnsi="Verdana" w:cs="Calibri"/>
          <w:noProof/>
          <w:lang w:val="en-US"/>
        </w:rPr>
        <w:t>Worl Health Organization. Obesity and overweight. .</w:t>
      </w:r>
      <w:r w:rsidRPr="00EF3662">
        <w:rPr>
          <w:rFonts w:ascii="Verdana" w:hAnsi="Verdana" w:cs="Calibri"/>
          <w:noProof/>
          <w:lang w:val="es-ES_tradnl"/>
        </w:rPr>
        <w:t xml:space="preserve">2018; p.]. Disponible en: </w:t>
      </w:r>
      <w:hyperlink r:id="rId13" w:history="1">
        <w:r w:rsidRPr="00EF3662">
          <w:rPr>
            <w:rFonts w:ascii="Verdana" w:hAnsi="Verdana" w:cs="Calibri"/>
            <w:noProof/>
            <w:color w:val="0563C1" w:themeColor="hyperlink"/>
            <w:u w:val="single"/>
            <w:lang w:val="es-ES_tradnl"/>
          </w:rPr>
          <w:t>http://www.who.int/mediacentre/factsheets/fs311/en/</w:t>
        </w:r>
      </w:hyperlink>
      <w:r w:rsidRPr="00EF3662">
        <w:rPr>
          <w:rFonts w:ascii="Verdana" w:hAnsi="Verdana" w:cs="Calibri"/>
          <w:noProof/>
          <w:lang w:val="es-ES_tradnl"/>
        </w:rPr>
        <w:t xml:space="preserve"> </w:t>
      </w:r>
    </w:p>
    <w:p w:rsidR="00147E5A" w:rsidRPr="00EF3662" w:rsidRDefault="00147E5A" w:rsidP="00147E5A">
      <w:pPr>
        <w:pStyle w:val="Prrafodelista"/>
        <w:numPr>
          <w:ilvl w:val="0"/>
          <w:numId w:val="8"/>
        </w:numPr>
        <w:spacing w:line="240" w:lineRule="auto"/>
        <w:jc w:val="both"/>
        <w:rPr>
          <w:rFonts w:ascii="Verdana" w:hAnsi="Verdana" w:cs="Calibri"/>
          <w:noProof/>
          <w:lang w:val="en-US"/>
        </w:rPr>
      </w:pPr>
      <w:r w:rsidRPr="00EF3662">
        <w:rPr>
          <w:rFonts w:ascii="Verdana" w:hAnsi="Verdana" w:cs="Calibri"/>
          <w:noProof/>
          <w:lang w:val="es-ES_tradnl"/>
        </w:rPr>
        <w:t xml:space="preserve">Pérez-Morales ME, Bacardi-Gascon M, Jimenez-Cruz A. Asociación de ganancia de peso excesiva durante el embarazo con indicadores de adiposidad y enfermedades metabólicas de sus descendientes: revisión sistemática. </w:t>
      </w:r>
      <w:r w:rsidRPr="00EF3662">
        <w:rPr>
          <w:rFonts w:ascii="Verdana" w:hAnsi="Verdana" w:cs="Calibri"/>
          <w:noProof/>
          <w:lang w:val="en-US"/>
        </w:rPr>
        <w:t xml:space="preserve">Nutr Hospit [Internet]. 2015; 31(4):[aprox. 5 p.]. Disponible en: </w:t>
      </w:r>
      <w:hyperlink r:id="rId14" w:history="1">
        <w:r w:rsidRPr="00EF3662">
          <w:rPr>
            <w:rFonts w:ascii="Verdana" w:hAnsi="Verdana" w:cs="Calibri"/>
            <w:noProof/>
            <w:color w:val="0563C1" w:themeColor="hyperlink"/>
            <w:u w:val="single"/>
            <w:lang w:val="en-US"/>
          </w:rPr>
          <w:t>http://scielo.isciii.es/pdf/nh/v31n4/03revision03.pdf</w:t>
        </w:r>
      </w:hyperlink>
      <w:r w:rsidRPr="00EF3662">
        <w:rPr>
          <w:rFonts w:ascii="Verdana" w:hAnsi="Verdana" w:cs="Calibri"/>
          <w:noProof/>
          <w:lang w:val="en-US"/>
        </w:rPr>
        <w:t>.</w:t>
      </w:r>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r w:rsidRPr="00EF3662">
        <w:rPr>
          <w:rFonts w:ascii="Verdana" w:hAnsi="Verdana" w:cs="Calibri"/>
          <w:noProof/>
          <w:lang w:val="es-ES_tradnl"/>
        </w:rPr>
        <w:t xml:space="preserve">Minjarez-Corral M, Rincón-Gómez I, Morales-Chomina YA, Espinosa-Velasco MdJ, Zárate A, Hernández-Valencia M. Ganancia de peso gestacional como factor de riesgo para desarrollar complicaciones obstétricas. Perinatol Reprod Hum [Internet]. 2014 [citado 5 Nov 2019]; 28(3):[aprox. 7 p.]. Disponible en: </w:t>
      </w:r>
      <w:hyperlink r:id="rId15" w:history="1">
        <w:r w:rsidRPr="00EF3662">
          <w:rPr>
            <w:rFonts w:ascii="Verdana" w:hAnsi="Verdana" w:cs="Calibri"/>
            <w:noProof/>
            <w:color w:val="0563C1" w:themeColor="hyperlink"/>
            <w:u w:val="single"/>
            <w:lang w:val="es-ES_tradnl"/>
          </w:rPr>
          <w:t>http://www.scielo.org.mx/pdf/prh/v28n3/v28n3a7.pdf</w:t>
        </w:r>
      </w:hyperlink>
      <w:r w:rsidRPr="00EF3662">
        <w:rPr>
          <w:rFonts w:ascii="Verdana" w:hAnsi="Verdana" w:cs="Calibri"/>
          <w:noProof/>
          <w:lang w:val="es-ES_tradnl"/>
        </w:rPr>
        <w:t>.</w:t>
      </w:r>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r w:rsidRPr="00EF3662">
        <w:rPr>
          <w:rFonts w:ascii="Verdana" w:hAnsi="Verdana" w:cs="Calibri"/>
          <w:noProof/>
          <w:lang w:val="es-ES_tradnl"/>
        </w:rPr>
        <w:t>Costa Gil JE, Spinedi E. La tormentosa relación entre las grasas y el desarrollo de la diabetes mellitus de tipo 2: actualizado. Parte 1. Rev Arg Endocrinol Metabol [Internet]. 2017 [citado 12]; 54(3):[aprox. 7 p.]. Disponible en: https://reader.elsevier.com/reader/sd/pii/S0326461017300311?token=1115F2688B53FCFFED1B88E486446723E19A19787391DF7237091B3CAB61B7DD9DAAF51AD4DB679F6C25C04BF02D9F14.</w:t>
      </w:r>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r w:rsidRPr="00EF3662">
        <w:rPr>
          <w:rFonts w:ascii="Verdana" w:hAnsi="Verdana" w:cs="Calibri"/>
          <w:noProof/>
          <w:lang w:val="en-US"/>
        </w:rPr>
        <w:t xml:space="preserve">Mony PK, Swaminathan S, Gajendran JK, Vaz M. Quality Assurance for Accuracy of Anthropometric Measurements in Clinical and Epidemiological Studies:[Errare humanum est= to err is human]. </w:t>
      </w:r>
      <w:r w:rsidRPr="00EF3662">
        <w:rPr>
          <w:rFonts w:ascii="Verdana" w:hAnsi="Verdana" w:cs="Calibri"/>
          <w:noProof/>
          <w:lang w:val="es-ES_tradnl"/>
        </w:rPr>
        <w:t>Indian J Com Med [Internet]. 2016 [citado 4 Nov 2019]; 41(2):[aprox. 98 p.]. Disponible en: https://</w:t>
      </w:r>
      <w:hyperlink r:id="rId16" w:history="1">
        <w:r w:rsidRPr="00EF3662">
          <w:rPr>
            <w:rFonts w:ascii="Verdana" w:hAnsi="Verdana" w:cs="Calibri"/>
            <w:noProof/>
            <w:color w:val="0563C1" w:themeColor="hyperlink"/>
            <w:u w:val="single"/>
            <w:lang w:val="es-ES_tradnl"/>
          </w:rPr>
          <w:t>www.ncbi.nlm.nih.gov/pmc/articles/PMC4799648/</w:t>
        </w:r>
      </w:hyperlink>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r w:rsidRPr="00EF3662">
        <w:rPr>
          <w:rFonts w:ascii="Verdana" w:hAnsi="Verdana" w:cs="Calibri"/>
          <w:noProof/>
          <w:lang w:val="en-US"/>
        </w:rPr>
        <w:t>Ren Y, Luo X, Wang C, Yin L, Pang C, Feng T, et al. Prevalence of hypertriglyceridemic waist and association with risk of type 2 diabetes mellitus: a meta</w:t>
      </w:r>
      <w:r w:rsidRPr="00EF3662">
        <w:rPr>
          <w:rFonts w:ascii="Cambria Math" w:hAnsi="Cambria Math" w:cs="Cambria Math"/>
          <w:noProof/>
          <w:lang w:val="en-US"/>
        </w:rPr>
        <w:t>‐</w:t>
      </w:r>
      <w:r w:rsidRPr="00EF3662">
        <w:rPr>
          <w:rFonts w:ascii="Verdana" w:hAnsi="Verdana" w:cs="Calibri"/>
          <w:noProof/>
          <w:lang w:val="en-US"/>
        </w:rPr>
        <w:t xml:space="preserve">analysis. </w:t>
      </w:r>
      <w:r w:rsidRPr="00EF3662">
        <w:rPr>
          <w:rFonts w:ascii="Verdana" w:hAnsi="Verdana" w:cs="Calibri"/>
          <w:noProof/>
          <w:lang w:val="es-ES_tradnl"/>
        </w:rPr>
        <w:t>Diab Metabol Res Rev [Internet]. 2016 [citado 4 Nov 2019]; 32(4):[aprox. 6 p.]. Disponible en: https://onlinelibrary.wiley.com/doi/epdf/10.1002/dmrr.2725.</w:t>
      </w:r>
    </w:p>
    <w:p w:rsidR="00147E5A" w:rsidRPr="00EF3662" w:rsidRDefault="00147E5A" w:rsidP="00147E5A">
      <w:pPr>
        <w:pStyle w:val="Prrafodelista"/>
        <w:numPr>
          <w:ilvl w:val="0"/>
          <w:numId w:val="8"/>
        </w:numPr>
        <w:spacing w:line="240" w:lineRule="auto"/>
        <w:jc w:val="both"/>
        <w:rPr>
          <w:rFonts w:ascii="Verdana" w:hAnsi="Verdana" w:cs="Calibri"/>
          <w:noProof/>
          <w:lang w:val="en-US"/>
        </w:rPr>
      </w:pPr>
      <w:bookmarkStart w:id="0" w:name="_ENREF_16"/>
      <w:r w:rsidRPr="00EF3662">
        <w:rPr>
          <w:rFonts w:ascii="Verdana" w:hAnsi="Verdana" w:cs="Calibri"/>
          <w:noProof/>
          <w:lang w:val="es-ES_tradnl"/>
        </w:rPr>
        <w:t xml:space="preserve">Wall-Medrano A, Ramos-Jiménez A, Hernandez-Torres RP, Villalobos-Molina R, Tapia-Pancardo DC, Jiménez-Flores JR, et al. </w:t>
      </w:r>
      <w:r w:rsidRPr="00EF3662">
        <w:rPr>
          <w:rFonts w:ascii="Verdana" w:hAnsi="Verdana" w:cs="Calibri"/>
          <w:noProof/>
          <w:lang w:val="en-US"/>
        </w:rPr>
        <w:t>Cardiometabolic risk in young adults from northern Mexico: Revisiting body mass index and waist-circumference as predictors. BMC Public Health [Internet]. 2016 [citado 10 Nov 2019]; 16(1):[aprox. 236 p.]. Disponible en: https://link.springer.com/article/10.1186/s12889-016-2896-1.</w:t>
      </w:r>
      <w:bookmarkEnd w:id="0"/>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bookmarkStart w:id="1" w:name="_ENREF_17"/>
      <w:r w:rsidRPr="00EF3662">
        <w:rPr>
          <w:rFonts w:ascii="Verdana" w:hAnsi="Verdana" w:cs="Calibri"/>
          <w:noProof/>
          <w:lang w:val="es-ES_tradnl"/>
        </w:rPr>
        <w:lastRenderedPageBreak/>
        <w:t>dos Prazeres Almeida E, Sabino Pinho CP, Dornelas Leão AP, Galvão Rodrigues I, da Silva Diniz A, Grande de Arruda IK. Razón entre grasa visceral y subcutánea como predictor de alteraciones cardiometabólicas. Rev Chil Nutr [Internet]. 2018 [citado 5 Jun 2019]; 45(1):[aprox. 8 p.]. Disponible en: https://scielo.conicyt.cl/pdf/rchnut/v45n1/0716-1549-rchnut-45-01-0028.pdf.</w:t>
      </w:r>
      <w:bookmarkEnd w:id="1"/>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bookmarkStart w:id="2" w:name="_ENREF_18"/>
      <w:r w:rsidRPr="00EF3662">
        <w:rPr>
          <w:rFonts w:ascii="Verdana" w:hAnsi="Verdana" w:cs="Calibri"/>
          <w:noProof/>
          <w:lang w:val="es-ES_tradnl"/>
        </w:rPr>
        <w:t xml:space="preserve">EB, Ince O, Turan GA, Karadeniz M, Tatar S, Celik E, et al. </w:t>
      </w:r>
      <w:r w:rsidRPr="00EF3662">
        <w:rPr>
          <w:rFonts w:ascii="Verdana" w:hAnsi="Verdana" w:cs="Calibri"/>
          <w:noProof/>
          <w:lang w:val="en-US"/>
        </w:rPr>
        <w:t xml:space="preserve">Ultrasonographic visceral fat thickness in the first trimester can predict metabolic syndrome and gestational diabetes mellitus. Endocrine [Internet]. </w:t>
      </w:r>
      <w:r w:rsidRPr="00EF3662">
        <w:rPr>
          <w:rFonts w:ascii="Verdana" w:hAnsi="Verdana" w:cs="Calibri"/>
          <w:noProof/>
          <w:lang w:val="es-ES_tradnl"/>
        </w:rPr>
        <w:t>2014 [citado 5 Nov 2019]; 47(2):[aprox. 6 p.]. Disponible en: https://link.springer.com/content/pdf/10.1007/s12020-013-0154-1.pdf.</w:t>
      </w:r>
      <w:bookmarkEnd w:id="2"/>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r w:rsidRPr="00EF3662">
        <w:rPr>
          <w:rFonts w:ascii="Verdana" w:hAnsi="Verdana" w:cs="Calibri"/>
          <w:noProof/>
          <w:lang w:val="es-ES_tradnl"/>
        </w:rPr>
        <w:t xml:space="preserve">Amato MC, Giordano C, Galia M, Criscimanna A, Vitabile S, Midiri M, et al. </w:t>
      </w:r>
      <w:r w:rsidRPr="00EF3662">
        <w:rPr>
          <w:rFonts w:ascii="Verdana" w:hAnsi="Verdana" w:cs="Calibri"/>
          <w:noProof/>
          <w:lang w:val="en-US"/>
        </w:rPr>
        <w:t xml:space="preserve">Visceral Adiposity Index: a reliable indicator of visceral fat function associated with cardiometabolic risk. </w:t>
      </w:r>
      <w:r w:rsidRPr="00EF3662">
        <w:rPr>
          <w:rFonts w:ascii="Verdana" w:hAnsi="Verdana" w:cs="Calibri"/>
          <w:noProof/>
          <w:lang w:val="es-ES_tradnl"/>
        </w:rPr>
        <w:t>Diabetes care [Internet]. 2010 [citado 4 Jun 2019]; 33(4):[aprox. 4 p.]. Disponible en: https://care.diabetesjournals.org/content/33/4/920.full-text.pdf.</w:t>
      </w:r>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r w:rsidRPr="00EF3662">
        <w:rPr>
          <w:rFonts w:ascii="Verdana" w:hAnsi="Verdana" w:cs="Calibri"/>
          <w:noProof/>
          <w:lang w:val="en-US"/>
        </w:rPr>
        <w:t xml:space="preserve">Wakabayashi I, Daimon T. A strong association between lipid accumulation product and diabetesmellitusinJapanesewomen and men. </w:t>
      </w:r>
      <w:r w:rsidRPr="00EF3662">
        <w:rPr>
          <w:rFonts w:ascii="Verdana" w:hAnsi="Verdana" w:cs="Calibri"/>
          <w:noProof/>
          <w:lang w:val="es-ES_tradnl"/>
        </w:rPr>
        <w:t xml:space="preserve">J AtherosclerThromb [Internet]. 2014 [citado 11 Nov 2019]; 21(3):[aprox. 6 p.]. Disponible en: https://doi.org/ 10.5551/jat.20628 </w:t>
      </w:r>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bookmarkStart w:id="3" w:name="_ENREF_21"/>
      <w:r w:rsidRPr="00EF3662">
        <w:rPr>
          <w:rFonts w:ascii="Verdana" w:hAnsi="Verdana" w:cs="Calibri"/>
          <w:noProof/>
          <w:lang w:val="en-US"/>
        </w:rPr>
        <w:t xml:space="preserve">Du T, Yuan G, Zhang M, Zhou X, Sun X, Yu X. Clinical usefulness of lipid ratios, visceral adiposity indicators, and the triglycerides and glucose index as risk markers of insulin resistance. </w:t>
      </w:r>
      <w:r w:rsidRPr="00EF3662">
        <w:rPr>
          <w:rFonts w:ascii="Verdana" w:hAnsi="Verdana" w:cs="Calibri"/>
          <w:noProof/>
          <w:lang w:val="es-ES_tradnl"/>
        </w:rPr>
        <w:t>Cardiovascular Diabetology [Internet]. 2014 [citado 6 Nov 2019]; 13(1):[aprox. 3 p.]. Disponible en: https://cardiab.biomedcentral.com/articles/10.1186/s12933-014-0146-3.</w:t>
      </w:r>
      <w:bookmarkEnd w:id="3"/>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bookmarkStart w:id="4" w:name="_ENREF_22"/>
      <w:r w:rsidRPr="00EF3662">
        <w:rPr>
          <w:rFonts w:ascii="Verdana" w:hAnsi="Verdana" w:cs="Calibri"/>
          <w:noProof/>
          <w:lang w:val="es-ES_tradnl"/>
        </w:rPr>
        <w:t xml:space="preserve"> </w:t>
      </w:r>
      <w:r w:rsidRPr="00EF3662">
        <w:rPr>
          <w:rFonts w:ascii="Verdana" w:hAnsi="Verdana" w:cs="Calibri"/>
          <w:noProof/>
          <w:lang w:val="en-US"/>
        </w:rPr>
        <w:t xml:space="preserve">Pipe NJ, Smith T, Halliday D, Edmonds C, Williams C, Coltart TM. Changes in fat, fat-free mass and bodywater in human normal pregnancy. </w:t>
      </w:r>
      <w:r w:rsidRPr="00EF3662">
        <w:rPr>
          <w:rFonts w:ascii="Verdana" w:hAnsi="Verdana" w:cs="Calibri"/>
          <w:noProof/>
          <w:lang w:val="es-ES_tradnl"/>
        </w:rPr>
        <w:t>Br J Obstet Gynaecol [Internet]. 1979 [citado 3 Oct 2019]; 86:[aprox. 14 p.]. Disponible en: https://obgyn.onlinelibrary.wiley.com/doi/epdf/10.1111/j.1471-0528.1979.tb11240.x.</w:t>
      </w:r>
      <w:bookmarkEnd w:id="4"/>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r w:rsidRPr="00EF3662">
        <w:rPr>
          <w:rFonts w:ascii="Verdana" w:hAnsi="Verdana" w:cs="Calibri"/>
          <w:noProof/>
          <w:lang w:val="es-ES_tradnl"/>
        </w:rPr>
        <w:t xml:space="preserve">Valenzuela K, Bustos P. Índice cintura estatura como predictor de riesgo de hipertensión arterial en población adulta joven: ¿Es mejor indicador que la circunferencia de cintura? Arch Lat Nutr [Internet]. 2012 [citado 1 Dic 2019]; 62(3):[aprox. 5 p.]. Disponible en: </w:t>
      </w:r>
      <w:hyperlink r:id="rId17" w:history="1">
        <w:r w:rsidRPr="00EF3662">
          <w:rPr>
            <w:rFonts w:ascii="Verdana" w:hAnsi="Verdana" w:cs="Calibri"/>
            <w:noProof/>
            <w:color w:val="0563C1" w:themeColor="hyperlink"/>
            <w:u w:val="single"/>
            <w:lang w:val="es-ES_tradnl"/>
          </w:rPr>
          <w:t>http://repositorio.uchile.cl/bitstream/handle/2250/165966/Indice-cintura-estatura.pdf?sequence=1&amp;isAllowed=y</w:t>
        </w:r>
      </w:hyperlink>
      <w:r w:rsidRPr="00EF3662">
        <w:rPr>
          <w:rFonts w:ascii="Verdana" w:hAnsi="Verdana" w:cs="Calibri"/>
          <w:noProof/>
          <w:lang w:val="es-ES_tradnl"/>
        </w:rPr>
        <w:t>.</w:t>
      </w:r>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r w:rsidRPr="00EF3662">
        <w:rPr>
          <w:rFonts w:ascii="Verdana" w:hAnsi="Verdana" w:cs="Calibri"/>
          <w:noProof/>
          <w:lang w:val="en-US"/>
        </w:rPr>
        <w:t xml:space="preserve">Straughen J, Trudeau S, Misra V. Changes in adipose tissue distribution during pregnancy in overweight and obese compared with normal weight women. </w:t>
      </w:r>
      <w:r w:rsidRPr="00EF3662">
        <w:rPr>
          <w:rFonts w:ascii="Verdana" w:hAnsi="Verdana" w:cs="Calibri"/>
          <w:noProof/>
          <w:lang w:val="es-ES_tradnl"/>
        </w:rPr>
        <w:t>Nutrition &amp; diabetes [Internet]. 2013 [citado 4 Nov 2019]; 3(8):[aprox. 3 p.]. Disponible en: https://</w:t>
      </w:r>
      <w:hyperlink r:id="rId18" w:history="1">
        <w:r w:rsidRPr="00EF3662">
          <w:rPr>
            <w:rFonts w:ascii="Verdana" w:hAnsi="Verdana" w:cs="Calibri"/>
            <w:noProof/>
            <w:color w:val="0563C1" w:themeColor="hyperlink"/>
            <w:u w:val="single"/>
            <w:lang w:val="es-ES_tradnl"/>
          </w:rPr>
          <w:t>www.nature.com/articles/nutd201325</w:t>
        </w:r>
      </w:hyperlink>
      <w:r w:rsidRPr="00EF3662">
        <w:rPr>
          <w:rFonts w:ascii="Verdana" w:hAnsi="Verdana" w:cs="Calibri"/>
          <w:noProof/>
          <w:lang w:val="es-ES_tradnl"/>
        </w:rPr>
        <w:t>.</w:t>
      </w:r>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r w:rsidRPr="00EF3662">
        <w:rPr>
          <w:rFonts w:ascii="Verdana" w:hAnsi="Verdana" w:cs="Calibri"/>
          <w:noProof/>
          <w:lang w:val="en-US"/>
        </w:rPr>
        <w:t xml:space="preserve">Kinoshita T IM. Longitudinal variance of fat mass deposition during pregnancy evaluated by ultrasonography: the ratio of visceral fatt o subcutaneous fat in the abdomen. </w:t>
      </w:r>
      <w:r w:rsidRPr="00EF3662">
        <w:rPr>
          <w:rFonts w:ascii="Verdana" w:hAnsi="Verdana" w:cs="Calibri"/>
          <w:noProof/>
          <w:lang w:val="es-ES_tradnl"/>
        </w:rPr>
        <w:t>Gynecol Obstet Invest [Internet]. 2006 [citado 5 Dic 2019]; 61:[aprox. 6 p.]. Disponible en: https://</w:t>
      </w:r>
      <w:hyperlink r:id="rId19" w:history="1">
        <w:r w:rsidRPr="00EF3662">
          <w:rPr>
            <w:rFonts w:ascii="Verdana" w:hAnsi="Verdana" w:cs="Calibri"/>
            <w:noProof/>
            <w:color w:val="0563C1" w:themeColor="hyperlink"/>
            <w:u w:val="single"/>
            <w:lang w:val="es-ES_tradnl"/>
          </w:rPr>
          <w:t>www.ncbi.nlm.nih.gov/pubmed/16272815</w:t>
        </w:r>
      </w:hyperlink>
      <w:r w:rsidRPr="00EF3662">
        <w:rPr>
          <w:rFonts w:ascii="Verdana" w:hAnsi="Verdana" w:cs="Calibri"/>
          <w:noProof/>
          <w:lang w:val="es-ES_tradnl"/>
        </w:rPr>
        <w:t>.</w:t>
      </w:r>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r w:rsidRPr="00EF3662">
        <w:rPr>
          <w:rFonts w:ascii="Verdana" w:hAnsi="Verdana" w:cs="Calibri"/>
          <w:noProof/>
          <w:lang w:val="en-US"/>
        </w:rPr>
        <w:t xml:space="preserve">Straughen J, Trudeau S, Misra V. Changes in adipose tissue distribution during pregnancy in overweight and obese compared with normal weight women. </w:t>
      </w:r>
      <w:r w:rsidRPr="00EF3662">
        <w:rPr>
          <w:rFonts w:ascii="Verdana" w:hAnsi="Verdana" w:cs="Calibri"/>
          <w:noProof/>
          <w:lang w:val="es-ES_tradnl"/>
        </w:rPr>
        <w:lastRenderedPageBreak/>
        <w:t>Nutrition &amp; diabetes [Internet]. 2013 [citado 4 Nov 2019]; 3(8):[aprox. 3 p.]. Disponible en: https://</w:t>
      </w:r>
      <w:hyperlink r:id="rId20" w:history="1">
        <w:r w:rsidRPr="00EF3662">
          <w:rPr>
            <w:rFonts w:ascii="Verdana" w:hAnsi="Verdana" w:cs="Calibri"/>
            <w:noProof/>
            <w:color w:val="0563C1" w:themeColor="hyperlink"/>
            <w:u w:val="single"/>
            <w:lang w:val="es-ES_tradnl"/>
          </w:rPr>
          <w:t>www.nature.com/articles/nutd201325</w:t>
        </w:r>
      </w:hyperlink>
      <w:r w:rsidRPr="00EF3662">
        <w:rPr>
          <w:rFonts w:ascii="Verdana" w:hAnsi="Verdana" w:cs="Calibri"/>
          <w:noProof/>
          <w:lang w:val="es-ES_tradnl"/>
        </w:rPr>
        <w:t>.</w:t>
      </w:r>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r w:rsidRPr="00EF3662">
        <w:rPr>
          <w:rFonts w:ascii="Verdana" w:hAnsi="Verdana" w:cs="Calibri"/>
          <w:noProof/>
          <w:lang w:val="es-ES_tradnl"/>
        </w:rPr>
        <w:t xml:space="preserve">Gur EB, Ince O, Turan GA, Karadeniz M, Tatar S, Celik E, et al. </w:t>
      </w:r>
      <w:r w:rsidRPr="00EF3662">
        <w:rPr>
          <w:rFonts w:ascii="Verdana" w:hAnsi="Verdana" w:cs="Calibri"/>
          <w:noProof/>
          <w:lang w:val="en-US"/>
        </w:rPr>
        <w:t xml:space="preserve">Ultrasonographic visceral fat thickness in the first trimester can predict metabolic syndrome and gestational diabetes mellitus. </w:t>
      </w:r>
      <w:r w:rsidRPr="00EF3662">
        <w:rPr>
          <w:rFonts w:ascii="Verdana" w:hAnsi="Verdana" w:cs="Calibri"/>
          <w:noProof/>
          <w:lang w:val="es-ES_tradnl"/>
        </w:rPr>
        <w:t>Endocrine [Internet]. 2014 [citado 5 Nov 2019]; 47(2):[aprox. 6 p.]. Disponible en: https://link.springer.com/content/pdf/10.1007/s12020-013-0154-1.pdf.</w:t>
      </w:r>
    </w:p>
    <w:p w:rsidR="00147E5A" w:rsidRPr="00EF3662" w:rsidRDefault="00147E5A" w:rsidP="00147E5A">
      <w:pPr>
        <w:pStyle w:val="Prrafodelista"/>
        <w:numPr>
          <w:ilvl w:val="0"/>
          <w:numId w:val="8"/>
        </w:numPr>
        <w:spacing w:line="240" w:lineRule="auto"/>
        <w:jc w:val="both"/>
        <w:rPr>
          <w:rFonts w:ascii="Verdana" w:hAnsi="Verdana" w:cs="Calibri"/>
          <w:noProof/>
          <w:lang w:val="en-US"/>
        </w:rPr>
      </w:pPr>
      <w:r w:rsidRPr="00EF3662">
        <w:rPr>
          <w:rFonts w:ascii="Verdana" w:hAnsi="Verdana" w:cs="Calibri"/>
          <w:noProof/>
          <w:lang w:val="es-ES_tradnl"/>
        </w:rPr>
        <w:t xml:space="preserve">Costa Moreira O, Rodrigues de Oliveira R, Patrocínio Oliveira C, Doimo L, dos Santos Amorim P, Camaroti Laterza M. Risk factors for cardiovascular disease in professors from a public university. </w:t>
      </w:r>
      <w:r w:rsidRPr="00EF3662">
        <w:rPr>
          <w:rFonts w:ascii="Verdana" w:hAnsi="Verdana" w:cs="Calibri"/>
          <w:noProof/>
          <w:lang w:val="en-US"/>
        </w:rPr>
        <w:t>Invest Educ Enferm [Internet]. 2014 [citado 2 Feb 2020]; 32(2):[aprox. 11 p.].</w:t>
      </w:r>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r w:rsidRPr="00EF3662">
        <w:rPr>
          <w:rFonts w:ascii="Verdana" w:hAnsi="Verdana" w:cs="Calibri"/>
          <w:noProof/>
          <w:lang w:val="en-US"/>
        </w:rPr>
        <w:t xml:space="preserve"> Margerison Zilko C, Rehkopf D, B A. Association of maternal gestational weight gain with short- and long-term maternal and child health outcomes. </w:t>
      </w:r>
      <w:r w:rsidRPr="00EF3662">
        <w:rPr>
          <w:rFonts w:ascii="Verdana" w:hAnsi="Verdana" w:cs="Calibri"/>
          <w:noProof/>
          <w:lang w:val="es-ES_tradnl"/>
        </w:rPr>
        <w:t>Am J Obstet Gynecol [Internet]. 2010 [citado 2 Nov 2019]; 202:[aprox. 2           p.]. Disponible en: https://</w:t>
      </w:r>
      <w:hyperlink r:id="rId21" w:history="1">
        <w:r w:rsidRPr="00EF3662">
          <w:rPr>
            <w:rFonts w:ascii="Verdana" w:hAnsi="Verdana" w:cs="Calibri"/>
            <w:noProof/>
            <w:color w:val="0563C1" w:themeColor="hyperlink"/>
            <w:u w:val="single"/>
            <w:lang w:val="es-ES_tradnl"/>
          </w:rPr>
          <w:t>www.sciencedirect.com/science/article/abs/pii/S0002937809022509</w:t>
        </w:r>
      </w:hyperlink>
      <w:r w:rsidRPr="00EF3662">
        <w:rPr>
          <w:rFonts w:ascii="Verdana" w:hAnsi="Verdana" w:cs="Calibri"/>
          <w:noProof/>
          <w:lang w:val="es-ES_tradnl"/>
        </w:rPr>
        <w:t>.</w:t>
      </w:r>
    </w:p>
    <w:p w:rsidR="00147E5A" w:rsidRPr="00EF3662" w:rsidRDefault="00147E5A" w:rsidP="00147E5A">
      <w:pPr>
        <w:pStyle w:val="Prrafodelista"/>
        <w:numPr>
          <w:ilvl w:val="0"/>
          <w:numId w:val="8"/>
        </w:numPr>
        <w:spacing w:line="240" w:lineRule="auto"/>
        <w:jc w:val="both"/>
        <w:rPr>
          <w:rFonts w:ascii="Verdana" w:hAnsi="Verdana" w:cs="Calibri"/>
          <w:noProof/>
          <w:lang w:val="en-US"/>
        </w:rPr>
      </w:pPr>
      <w:r w:rsidRPr="00EF3662">
        <w:rPr>
          <w:rFonts w:ascii="Verdana" w:hAnsi="Verdana" w:cs="Calibri"/>
          <w:noProof/>
          <w:lang w:val="en-US"/>
        </w:rPr>
        <w:t>Brahimaj A, Rivadeneira F, Muka T, Sijbrands EJ, Franco OH, Dehghan A. Novel metabolic indicesand   incident type 2 diabetes among women and men. Rotterdam Study Diabetologia [Internet]. 2015 [citado 12 Ene 2020]:[aprox. 4 p.].</w:t>
      </w:r>
    </w:p>
    <w:p w:rsidR="00147E5A" w:rsidRPr="00EF3662" w:rsidRDefault="00147E5A" w:rsidP="00147E5A">
      <w:pPr>
        <w:pStyle w:val="Prrafodelista"/>
        <w:numPr>
          <w:ilvl w:val="0"/>
          <w:numId w:val="8"/>
        </w:numPr>
        <w:spacing w:line="240" w:lineRule="auto"/>
        <w:jc w:val="both"/>
        <w:rPr>
          <w:rFonts w:ascii="Verdana" w:hAnsi="Verdana" w:cs="Calibri"/>
          <w:noProof/>
          <w:lang w:val="en-US"/>
        </w:rPr>
      </w:pPr>
      <w:r w:rsidRPr="00EF3662">
        <w:rPr>
          <w:rFonts w:ascii="Verdana" w:hAnsi="Verdana" w:cs="Calibri"/>
          <w:noProof/>
          <w:lang w:val="en-US"/>
        </w:rPr>
        <w:t>Camhi S, Bray G, Bouchard C. The relationship of waist circumference and BMI to visceral, subcutaneous, and total body fat: sex and race differences Obesity [Internet]. 2011 [citado 11 Abr 2019]; 19(2):[aprox. 6 p.].</w:t>
      </w:r>
    </w:p>
    <w:p w:rsidR="00147E5A" w:rsidRPr="00EF3662" w:rsidRDefault="00147E5A" w:rsidP="00147E5A">
      <w:pPr>
        <w:pStyle w:val="Prrafodelista"/>
        <w:numPr>
          <w:ilvl w:val="0"/>
          <w:numId w:val="8"/>
        </w:numPr>
        <w:spacing w:line="240" w:lineRule="auto"/>
        <w:jc w:val="both"/>
        <w:rPr>
          <w:rFonts w:ascii="Verdana" w:hAnsi="Verdana" w:cs="Calibri"/>
          <w:noProof/>
          <w:lang w:val="en-US"/>
        </w:rPr>
      </w:pPr>
      <w:r w:rsidRPr="00EF3662">
        <w:rPr>
          <w:rFonts w:ascii="Verdana" w:hAnsi="Verdana" w:cs="Calibri"/>
          <w:noProof/>
          <w:lang w:val="en-US"/>
        </w:rPr>
        <w:t>Fattah C FN, Barry SC, O'Connor N, Stuart B, Turner MJ. Maternal weight and body composition in the first trimester of pregnancy. Acta Obstet Gynecol Scand [Internet]. 2010; 89:[aprox. 952–5 p.].</w:t>
      </w:r>
    </w:p>
    <w:p w:rsidR="00147E5A" w:rsidRPr="00EF3662" w:rsidRDefault="00147E5A" w:rsidP="00147E5A">
      <w:pPr>
        <w:pStyle w:val="Prrafodelista"/>
        <w:numPr>
          <w:ilvl w:val="0"/>
          <w:numId w:val="8"/>
        </w:numPr>
        <w:spacing w:line="240" w:lineRule="auto"/>
        <w:jc w:val="both"/>
        <w:rPr>
          <w:rFonts w:ascii="Verdana" w:hAnsi="Verdana" w:cs="Calibri"/>
          <w:noProof/>
          <w:lang w:val="en-US"/>
        </w:rPr>
      </w:pPr>
      <w:r w:rsidRPr="00EF3662">
        <w:rPr>
          <w:rFonts w:ascii="Verdana" w:hAnsi="Verdana" w:cs="Calibri"/>
          <w:noProof/>
          <w:lang w:val="es-ES_tradnl"/>
        </w:rPr>
        <w:t xml:space="preserve">Liu Y TG, Tong W. . </w:t>
      </w:r>
      <w:r w:rsidRPr="00EF3662">
        <w:rPr>
          <w:rFonts w:ascii="Verdana" w:hAnsi="Verdana" w:cs="Calibri"/>
          <w:noProof/>
          <w:lang w:val="en-US"/>
        </w:rPr>
        <w:t xml:space="preserve">Can body mass index, waist circumference, waist-hip ratio and waist-height ratio predict the presence of multiple metabolic risk factors in Chinese subjects? BMC Public Health [Internet]. 2011; 11:[aprox. 35 p.]. Disponible en: </w:t>
      </w:r>
      <w:hyperlink r:id="rId22" w:history="1">
        <w:r w:rsidRPr="00EF3662">
          <w:rPr>
            <w:rFonts w:ascii="Verdana" w:hAnsi="Verdana" w:cs="Calibri"/>
            <w:noProof/>
            <w:color w:val="0563C1" w:themeColor="hyperlink"/>
            <w:u w:val="single"/>
            <w:lang w:val="en-US"/>
          </w:rPr>
          <w:t>http://www.biomedcentral.com/1471-2458/11/35</w:t>
        </w:r>
      </w:hyperlink>
      <w:r w:rsidRPr="00EF3662">
        <w:rPr>
          <w:rFonts w:ascii="Verdana" w:hAnsi="Verdana" w:cs="Calibri"/>
          <w:noProof/>
          <w:lang w:val="en-US"/>
        </w:rPr>
        <w:t>.</w:t>
      </w:r>
    </w:p>
    <w:p w:rsidR="00147E5A" w:rsidRPr="00EF3662" w:rsidRDefault="00147E5A" w:rsidP="00147E5A">
      <w:pPr>
        <w:pStyle w:val="Prrafodelista"/>
        <w:numPr>
          <w:ilvl w:val="0"/>
          <w:numId w:val="8"/>
        </w:numPr>
        <w:spacing w:line="240" w:lineRule="auto"/>
        <w:jc w:val="both"/>
        <w:rPr>
          <w:rFonts w:ascii="Verdana" w:hAnsi="Verdana" w:cs="Calibri"/>
          <w:noProof/>
          <w:lang w:val="es-ES_tradnl"/>
        </w:rPr>
      </w:pPr>
      <w:r w:rsidRPr="00EF3662">
        <w:rPr>
          <w:rFonts w:ascii="Verdana" w:hAnsi="Verdana" w:cs="Calibri"/>
          <w:noProof/>
          <w:lang w:val="es-ES_tradnl"/>
        </w:rPr>
        <w:t xml:space="preserve">Aschner P. La importancia de estimar la obesidad abdominal. Acta Médica Colombiana [Internet]. 2013 [citado 11 Abr 2020]; 38(3):[aprox. 2 p.]. Disponible en: </w:t>
      </w:r>
      <w:hyperlink r:id="rId23" w:history="1">
        <w:r w:rsidRPr="00EF3662">
          <w:rPr>
            <w:rFonts w:ascii="Verdana" w:hAnsi="Verdana" w:cs="Calibri"/>
            <w:noProof/>
            <w:color w:val="0563C1" w:themeColor="hyperlink"/>
            <w:u w:val="single"/>
            <w:lang w:val="es-ES_tradnl"/>
          </w:rPr>
          <w:t>http://www.actamedicacolombiana.com/ojs/index.php/actamed/article/download/298/69</w:t>
        </w:r>
      </w:hyperlink>
      <w:r w:rsidRPr="00EF3662">
        <w:rPr>
          <w:rFonts w:ascii="Verdana" w:hAnsi="Verdana" w:cs="Calibri"/>
          <w:noProof/>
          <w:lang w:val="es-ES_tradnl"/>
        </w:rPr>
        <w:t>.</w:t>
      </w:r>
    </w:p>
    <w:p w:rsidR="00147E5A" w:rsidRPr="00EF3662" w:rsidRDefault="00147E5A" w:rsidP="00EF3662">
      <w:pPr>
        <w:pStyle w:val="Prrafodelista"/>
        <w:spacing w:line="240" w:lineRule="auto"/>
        <w:jc w:val="both"/>
        <w:rPr>
          <w:rFonts w:ascii="Verdana" w:hAnsi="Verdana" w:cs="Calibri"/>
          <w:noProof/>
          <w:lang w:val="es-ES_tradnl"/>
        </w:rPr>
      </w:pPr>
    </w:p>
    <w:p w:rsidR="00EF3662" w:rsidRPr="00EF3662" w:rsidRDefault="00EF3662" w:rsidP="00147E5A">
      <w:pPr>
        <w:pStyle w:val="Prrafodelista"/>
        <w:spacing w:after="0" w:line="240" w:lineRule="auto"/>
        <w:jc w:val="both"/>
        <w:rPr>
          <w:rFonts w:ascii="Verdana" w:hAnsi="Verdana"/>
          <w:b/>
        </w:rPr>
      </w:pPr>
    </w:p>
    <w:p w:rsidR="00147E5A" w:rsidRPr="00EF3662" w:rsidRDefault="00EF3662" w:rsidP="00147E5A">
      <w:pPr>
        <w:spacing w:after="120" w:line="240" w:lineRule="auto"/>
        <w:jc w:val="both"/>
        <w:rPr>
          <w:rFonts w:cs="Arial"/>
          <w:b/>
          <w:sz w:val="22"/>
        </w:rPr>
      </w:pPr>
      <w:r w:rsidRPr="00EF3662">
        <w:rPr>
          <w:rFonts w:cs="Arial"/>
          <w:b/>
          <w:sz w:val="22"/>
        </w:rPr>
        <w:t>A</w:t>
      </w:r>
      <w:r w:rsidR="00147E5A" w:rsidRPr="00EF3662">
        <w:rPr>
          <w:rFonts w:cs="Arial"/>
          <w:b/>
          <w:sz w:val="22"/>
        </w:rPr>
        <w:t>NEXOS</w:t>
      </w:r>
    </w:p>
    <w:p w:rsidR="00147E5A" w:rsidRPr="00EF3662" w:rsidRDefault="00147E5A" w:rsidP="00147E5A">
      <w:pPr>
        <w:spacing w:line="240" w:lineRule="auto"/>
        <w:jc w:val="both"/>
        <w:rPr>
          <w:rFonts w:eastAsiaTheme="minorEastAsia" w:cs="Arial"/>
          <w:b/>
          <w:sz w:val="22"/>
          <w:lang w:eastAsia="es-ES"/>
        </w:rPr>
      </w:pPr>
      <w:r w:rsidRPr="00EF3662">
        <w:rPr>
          <w:rFonts w:eastAsiaTheme="minorEastAsia" w:cs="Arial"/>
          <w:b/>
          <w:sz w:val="22"/>
          <w:lang w:eastAsia="es-ES"/>
        </w:rPr>
        <w:t>Tabla 1. Distribución de las gestantes según clasificación del IC/T por el valor 0,5.</w:t>
      </w:r>
    </w:p>
    <w:tbl>
      <w:tblPr>
        <w:tblStyle w:val="Tablaconcuadrcula"/>
        <w:tblW w:w="0" w:type="auto"/>
        <w:tblLook w:val="04A0" w:firstRow="1" w:lastRow="0" w:firstColumn="1" w:lastColumn="0" w:noHBand="0" w:noVBand="1"/>
      </w:tblPr>
      <w:tblGrid>
        <w:gridCol w:w="3085"/>
        <w:gridCol w:w="1403"/>
        <w:gridCol w:w="1290"/>
      </w:tblGrid>
      <w:tr w:rsidR="00147E5A" w:rsidRPr="00EF3662" w:rsidTr="0081759E">
        <w:tc>
          <w:tcPr>
            <w:tcW w:w="3085" w:type="dxa"/>
            <w:tcBorders>
              <w:top w:val="single" w:sz="4" w:space="0" w:color="auto"/>
              <w:left w:val="single" w:sz="4" w:space="0" w:color="auto"/>
              <w:bottom w:val="single" w:sz="4" w:space="0" w:color="auto"/>
              <w:right w:val="single" w:sz="4" w:space="0" w:color="auto"/>
            </w:tcBorders>
            <w:vAlign w:val="center"/>
            <w:hideMark/>
          </w:tcPr>
          <w:p w:rsidR="00147E5A" w:rsidRPr="00EF3662" w:rsidRDefault="00147E5A" w:rsidP="0081759E">
            <w:pPr>
              <w:jc w:val="both"/>
              <w:rPr>
                <w:rFonts w:cs="Arial"/>
                <w:b/>
                <w:sz w:val="22"/>
                <w:lang w:val="es-ES"/>
              </w:rPr>
            </w:pPr>
            <w:r w:rsidRPr="00EF3662">
              <w:rPr>
                <w:rFonts w:cs="Arial"/>
                <w:b/>
                <w:sz w:val="22"/>
                <w:lang w:val="es-ES"/>
              </w:rPr>
              <w:t>IC/T</w:t>
            </w:r>
          </w:p>
        </w:tc>
        <w:tc>
          <w:tcPr>
            <w:tcW w:w="1403" w:type="dxa"/>
            <w:tcBorders>
              <w:top w:val="single" w:sz="4" w:space="0" w:color="auto"/>
              <w:left w:val="single" w:sz="4" w:space="0" w:color="auto"/>
              <w:bottom w:val="single" w:sz="4" w:space="0" w:color="auto"/>
              <w:right w:val="single" w:sz="4" w:space="0" w:color="auto"/>
            </w:tcBorders>
            <w:vAlign w:val="center"/>
            <w:hideMark/>
          </w:tcPr>
          <w:p w:rsidR="00147E5A" w:rsidRPr="00EF3662" w:rsidRDefault="00147E5A" w:rsidP="0081759E">
            <w:pPr>
              <w:jc w:val="both"/>
              <w:rPr>
                <w:rFonts w:cs="Arial"/>
                <w:b/>
                <w:sz w:val="22"/>
                <w:lang w:val="es-ES"/>
              </w:rPr>
            </w:pPr>
            <w:r w:rsidRPr="00EF3662">
              <w:rPr>
                <w:rFonts w:cs="Arial"/>
                <w:b/>
                <w:sz w:val="22"/>
                <w:lang w:val="es-ES"/>
              </w:rPr>
              <w:t>Nro.</w:t>
            </w:r>
          </w:p>
        </w:tc>
        <w:tc>
          <w:tcPr>
            <w:tcW w:w="1290" w:type="dxa"/>
            <w:tcBorders>
              <w:top w:val="single" w:sz="4" w:space="0" w:color="auto"/>
              <w:left w:val="single" w:sz="4" w:space="0" w:color="auto"/>
              <w:bottom w:val="single" w:sz="4" w:space="0" w:color="auto"/>
              <w:right w:val="single" w:sz="4" w:space="0" w:color="auto"/>
            </w:tcBorders>
            <w:vAlign w:val="center"/>
            <w:hideMark/>
          </w:tcPr>
          <w:p w:rsidR="00147E5A" w:rsidRPr="00EF3662" w:rsidRDefault="00147E5A" w:rsidP="0081759E">
            <w:pPr>
              <w:jc w:val="both"/>
              <w:rPr>
                <w:rFonts w:cs="Arial"/>
                <w:b/>
                <w:sz w:val="22"/>
                <w:lang w:val="es-ES"/>
              </w:rPr>
            </w:pPr>
            <w:r w:rsidRPr="00EF3662">
              <w:rPr>
                <w:rFonts w:cs="Arial"/>
                <w:b/>
                <w:sz w:val="22"/>
                <w:lang w:val="es-ES"/>
              </w:rPr>
              <w:t>%</w:t>
            </w:r>
          </w:p>
        </w:tc>
      </w:tr>
      <w:tr w:rsidR="00147E5A" w:rsidRPr="00EF3662" w:rsidTr="0081759E">
        <w:tc>
          <w:tcPr>
            <w:tcW w:w="3085" w:type="dxa"/>
            <w:tcBorders>
              <w:top w:val="single" w:sz="4" w:space="0" w:color="auto"/>
              <w:left w:val="single" w:sz="4" w:space="0" w:color="auto"/>
              <w:bottom w:val="single" w:sz="4" w:space="0" w:color="auto"/>
              <w:right w:val="single" w:sz="4" w:space="0" w:color="auto"/>
            </w:tcBorders>
            <w:hideMark/>
          </w:tcPr>
          <w:p w:rsidR="00147E5A" w:rsidRPr="00EF3662" w:rsidRDefault="00147E5A" w:rsidP="0081759E">
            <w:pPr>
              <w:jc w:val="both"/>
              <w:rPr>
                <w:rFonts w:cs="Arial"/>
                <w:b/>
                <w:sz w:val="22"/>
                <w:lang w:val="es-ES"/>
              </w:rPr>
            </w:pPr>
            <w:r w:rsidRPr="00EF3662">
              <w:rPr>
                <w:rFonts w:cs="Arial"/>
                <w:b/>
                <w:sz w:val="22"/>
                <w:lang w:val="es-ES"/>
              </w:rPr>
              <w:t>Menor de 0,5</w:t>
            </w:r>
          </w:p>
        </w:tc>
        <w:tc>
          <w:tcPr>
            <w:tcW w:w="1403" w:type="dxa"/>
            <w:tcBorders>
              <w:top w:val="single" w:sz="4" w:space="0" w:color="auto"/>
              <w:left w:val="single" w:sz="4" w:space="0" w:color="auto"/>
              <w:bottom w:val="single" w:sz="4" w:space="0" w:color="auto"/>
              <w:right w:val="single" w:sz="4" w:space="0" w:color="auto"/>
            </w:tcBorders>
            <w:hideMark/>
          </w:tcPr>
          <w:p w:rsidR="00147E5A" w:rsidRPr="00EF3662" w:rsidRDefault="00147E5A" w:rsidP="0081759E">
            <w:pPr>
              <w:jc w:val="both"/>
              <w:rPr>
                <w:rFonts w:cs="Arial"/>
                <w:sz w:val="22"/>
                <w:lang w:val="es-ES"/>
              </w:rPr>
            </w:pPr>
            <w:r w:rsidRPr="00EF3662">
              <w:rPr>
                <w:rFonts w:cs="Arial"/>
                <w:sz w:val="22"/>
                <w:lang w:val="es-ES"/>
              </w:rPr>
              <w:t>10</w:t>
            </w:r>
          </w:p>
        </w:tc>
        <w:tc>
          <w:tcPr>
            <w:tcW w:w="1290" w:type="dxa"/>
            <w:tcBorders>
              <w:top w:val="single" w:sz="4" w:space="0" w:color="auto"/>
              <w:left w:val="single" w:sz="4" w:space="0" w:color="auto"/>
              <w:bottom w:val="single" w:sz="4" w:space="0" w:color="auto"/>
              <w:right w:val="single" w:sz="4" w:space="0" w:color="auto"/>
            </w:tcBorders>
            <w:hideMark/>
          </w:tcPr>
          <w:p w:rsidR="00147E5A" w:rsidRPr="00EF3662" w:rsidRDefault="00147E5A" w:rsidP="0081759E">
            <w:pPr>
              <w:jc w:val="both"/>
              <w:rPr>
                <w:rFonts w:cs="Arial"/>
                <w:sz w:val="22"/>
                <w:lang w:val="es-ES"/>
              </w:rPr>
            </w:pPr>
            <w:r w:rsidRPr="00EF3662">
              <w:rPr>
                <w:rFonts w:cs="Arial"/>
                <w:sz w:val="22"/>
                <w:lang w:val="es-ES"/>
              </w:rPr>
              <w:t>19,2</w:t>
            </w:r>
          </w:p>
        </w:tc>
      </w:tr>
      <w:tr w:rsidR="00147E5A" w:rsidRPr="00EF3662" w:rsidTr="0081759E">
        <w:tc>
          <w:tcPr>
            <w:tcW w:w="3085" w:type="dxa"/>
            <w:tcBorders>
              <w:top w:val="single" w:sz="4" w:space="0" w:color="auto"/>
              <w:left w:val="single" w:sz="4" w:space="0" w:color="auto"/>
              <w:bottom w:val="single" w:sz="4" w:space="0" w:color="auto"/>
              <w:right w:val="single" w:sz="4" w:space="0" w:color="auto"/>
            </w:tcBorders>
            <w:hideMark/>
          </w:tcPr>
          <w:p w:rsidR="00147E5A" w:rsidRPr="00EF3662" w:rsidRDefault="00147E5A" w:rsidP="0081759E">
            <w:pPr>
              <w:jc w:val="both"/>
              <w:rPr>
                <w:rFonts w:cs="Arial"/>
                <w:b/>
                <w:sz w:val="22"/>
                <w:lang w:val="es-ES"/>
              </w:rPr>
            </w:pPr>
            <w:r w:rsidRPr="00EF3662">
              <w:rPr>
                <w:rFonts w:cs="Arial"/>
                <w:b/>
                <w:sz w:val="22"/>
                <w:lang w:val="es-ES"/>
              </w:rPr>
              <w:t>Igual o mayor a 0,5</w:t>
            </w:r>
          </w:p>
        </w:tc>
        <w:tc>
          <w:tcPr>
            <w:tcW w:w="1403" w:type="dxa"/>
            <w:tcBorders>
              <w:top w:val="single" w:sz="4" w:space="0" w:color="auto"/>
              <w:left w:val="single" w:sz="4" w:space="0" w:color="auto"/>
              <w:bottom w:val="single" w:sz="4" w:space="0" w:color="auto"/>
              <w:right w:val="single" w:sz="4" w:space="0" w:color="auto"/>
            </w:tcBorders>
            <w:hideMark/>
          </w:tcPr>
          <w:p w:rsidR="00147E5A" w:rsidRPr="00EF3662" w:rsidRDefault="00147E5A" w:rsidP="0081759E">
            <w:pPr>
              <w:jc w:val="both"/>
              <w:rPr>
                <w:rFonts w:cs="Arial"/>
                <w:sz w:val="22"/>
                <w:lang w:val="es-ES"/>
              </w:rPr>
            </w:pPr>
            <w:r w:rsidRPr="00EF3662">
              <w:rPr>
                <w:rFonts w:cs="Arial"/>
                <w:sz w:val="22"/>
                <w:lang w:val="es-ES"/>
              </w:rPr>
              <w:t>42</w:t>
            </w:r>
          </w:p>
        </w:tc>
        <w:tc>
          <w:tcPr>
            <w:tcW w:w="1290" w:type="dxa"/>
            <w:tcBorders>
              <w:top w:val="single" w:sz="4" w:space="0" w:color="auto"/>
              <w:left w:val="single" w:sz="4" w:space="0" w:color="auto"/>
              <w:bottom w:val="single" w:sz="4" w:space="0" w:color="auto"/>
              <w:right w:val="single" w:sz="4" w:space="0" w:color="auto"/>
            </w:tcBorders>
            <w:hideMark/>
          </w:tcPr>
          <w:p w:rsidR="00147E5A" w:rsidRPr="00EF3662" w:rsidRDefault="00147E5A" w:rsidP="0081759E">
            <w:pPr>
              <w:jc w:val="both"/>
              <w:rPr>
                <w:rFonts w:cs="Arial"/>
                <w:sz w:val="22"/>
                <w:lang w:val="es-ES"/>
              </w:rPr>
            </w:pPr>
            <w:r w:rsidRPr="00EF3662">
              <w:rPr>
                <w:rFonts w:cs="Arial"/>
                <w:sz w:val="22"/>
                <w:lang w:val="es-ES"/>
              </w:rPr>
              <w:t>80,8</w:t>
            </w:r>
          </w:p>
        </w:tc>
      </w:tr>
      <w:tr w:rsidR="00147E5A" w:rsidRPr="00EF3662" w:rsidTr="0081759E">
        <w:tc>
          <w:tcPr>
            <w:tcW w:w="3085" w:type="dxa"/>
            <w:tcBorders>
              <w:top w:val="single" w:sz="4" w:space="0" w:color="auto"/>
              <w:left w:val="single" w:sz="4" w:space="0" w:color="auto"/>
              <w:bottom w:val="single" w:sz="4" w:space="0" w:color="auto"/>
              <w:right w:val="single" w:sz="4" w:space="0" w:color="auto"/>
            </w:tcBorders>
            <w:hideMark/>
          </w:tcPr>
          <w:p w:rsidR="00147E5A" w:rsidRPr="00EF3662" w:rsidRDefault="00147E5A" w:rsidP="0081759E">
            <w:pPr>
              <w:jc w:val="both"/>
              <w:rPr>
                <w:rFonts w:cs="Arial"/>
                <w:b/>
                <w:sz w:val="22"/>
                <w:lang w:val="es-ES"/>
              </w:rPr>
            </w:pPr>
            <w:r w:rsidRPr="00EF3662">
              <w:rPr>
                <w:rFonts w:cs="Arial"/>
                <w:b/>
                <w:sz w:val="22"/>
                <w:lang w:val="es-ES"/>
              </w:rPr>
              <w:lastRenderedPageBreak/>
              <w:t>Total</w:t>
            </w:r>
          </w:p>
        </w:tc>
        <w:tc>
          <w:tcPr>
            <w:tcW w:w="1403" w:type="dxa"/>
            <w:tcBorders>
              <w:top w:val="single" w:sz="4" w:space="0" w:color="auto"/>
              <w:left w:val="single" w:sz="4" w:space="0" w:color="auto"/>
              <w:bottom w:val="single" w:sz="4" w:space="0" w:color="auto"/>
              <w:right w:val="single" w:sz="4" w:space="0" w:color="auto"/>
            </w:tcBorders>
            <w:hideMark/>
          </w:tcPr>
          <w:p w:rsidR="00147E5A" w:rsidRPr="00EF3662" w:rsidRDefault="00147E5A" w:rsidP="0081759E">
            <w:pPr>
              <w:jc w:val="both"/>
              <w:rPr>
                <w:rFonts w:cs="Arial"/>
                <w:sz w:val="22"/>
                <w:lang w:val="es-ES"/>
              </w:rPr>
            </w:pPr>
            <w:r w:rsidRPr="00EF3662">
              <w:rPr>
                <w:rFonts w:cs="Arial"/>
                <w:sz w:val="22"/>
                <w:lang w:val="es-ES"/>
              </w:rPr>
              <w:t>52</w:t>
            </w:r>
          </w:p>
        </w:tc>
        <w:tc>
          <w:tcPr>
            <w:tcW w:w="1290" w:type="dxa"/>
            <w:tcBorders>
              <w:top w:val="single" w:sz="4" w:space="0" w:color="auto"/>
              <w:left w:val="single" w:sz="4" w:space="0" w:color="auto"/>
              <w:bottom w:val="single" w:sz="4" w:space="0" w:color="auto"/>
              <w:right w:val="single" w:sz="4" w:space="0" w:color="auto"/>
            </w:tcBorders>
            <w:hideMark/>
          </w:tcPr>
          <w:p w:rsidR="00147E5A" w:rsidRPr="00EF3662" w:rsidRDefault="00147E5A" w:rsidP="0081759E">
            <w:pPr>
              <w:jc w:val="both"/>
              <w:rPr>
                <w:rFonts w:cs="Arial"/>
                <w:sz w:val="22"/>
                <w:lang w:val="es-ES"/>
              </w:rPr>
            </w:pPr>
            <w:r w:rsidRPr="00EF3662">
              <w:rPr>
                <w:rFonts w:cs="Arial"/>
                <w:sz w:val="22"/>
                <w:lang w:val="es-ES"/>
              </w:rPr>
              <w:t>100</w:t>
            </w:r>
          </w:p>
        </w:tc>
      </w:tr>
    </w:tbl>
    <w:p w:rsidR="00147E5A" w:rsidRPr="00EF3662" w:rsidRDefault="00147E5A" w:rsidP="00147E5A">
      <w:pPr>
        <w:spacing w:line="240" w:lineRule="auto"/>
        <w:jc w:val="both"/>
        <w:rPr>
          <w:rFonts w:eastAsiaTheme="minorEastAsia" w:cs="Arial"/>
          <w:b/>
          <w:sz w:val="22"/>
          <w:lang w:eastAsia="es-ES"/>
        </w:rPr>
      </w:pPr>
    </w:p>
    <w:p w:rsidR="00147E5A" w:rsidRPr="00EF3662" w:rsidRDefault="00147E5A" w:rsidP="00147E5A">
      <w:pPr>
        <w:tabs>
          <w:tab w:val="center" w:pos="3441"/>
        </w:tabs>
        <w:autoSpaceDE w:val="0"/>
        <w:autoSpaceDN w:val="0"/>
        <w:adjustRightInd w:val="0"/>
        <w:spacing w:line="240" w:lineRule="auto"/>
        <w:jc w:val="both"/>
        <w:rPr>
          <w:rFonts w:cs="Arial"/>
          <w:bCs/>
          <w:color w:val="000000"/>
          <w:sz w:val="22"/>
          <w:lang w:eastAsia="es-ES"/>
        </w:rPr>
      </w:pPr>
    </w:p>
    <w:p w:rsidR="00147E5A" w:rsidRPr="00EF3662" w:rsidRDefault="00147E5A" w:rsidP="00147E5A">
      <w:pPr>
        <w:tabs>
          <w:tab w:val="center" w:pos="3441"/>
        </w:tabs>
        <w:autoSpaceDE w:val="0"/>
        <w:autoSpaceDN w:val="0"/>
        <w:adjustRightInd w:val="0"/>
        <w:spacing w:line="240" w:lineRule="auto"/>
        <w:jc w:val="both"/>
        <w:rPr>
          <w:rFonts w:cs="Arial"/>
          <w:bCs/>
          <w:color w:val="000000"/>
          <w:sz w:val="22"/>
          <w:lang w:eastAsia="es-ES"/>
        </w:rPr>
      </w:pPr>
    </w:p>
    <w:p w:rsidR="00147E5A" w:rsidRPr="00EF3662" w:rsidRDefault="00147E5A" w:rsidP="00147E5A">
      <w:pPr>
        <w:tabs>
          <w:tab w:val="center" w:pos="3441"/>
        </w:tabs>
        <w:autoSpaceDE w:val="0"/>
        <w:autoSpaceDN w:val="0"/>
        <w:adjustRightInd w:val="0"/>
        <w:spacing w:line="240" w:lineRule="auto"/>
        <w:jc w:val="both"/>
        <w:rPr>
          <w:rFonts w:cs="Arial"/>
          <w:bCs/>
          <w:color w:val="000000"/>
          <w:sz w:val="22"/>
          <w:lang w:eastAsia="es-ES"/>
        </w:rPr>
      </w:pPr>
    </w:p>
    <w:p w:rsidR="00147E5A" w:rsidRPr="00EF3662" w:rsidRDefault="00147E5A" w:rsidP="00147E5A">
      <w:pPr>
        <w:tabs>
          <w:tab w:val="center" w:pos="3441"/>
        </w:tabs>
        <w:autoSpaceDE w:val="0"/>
        <w:autoSpaceDN w:val="0"/>
        <w:adjustRightInd w:val="0"/>
        <w:spacing w:line="240" w:lineRule="auto"/>
        <w:jc w:val="both"/>
        <w:rPr>
          <w:rFonts w:cs="Arial"/>
          <w:bCs/>
          <w:color w:val="000000"/>
          <w:sz w:val="22"/>
          <w:lang w:eastAsia="es-ES"/>
        </w:rPr>
      </w:pPr>
      <w:r w:rsidRPr="00EF3662">
        <w:rPr>
          <w:rFonts w:cs="Arial"/>
          <w:b/>
          <w:bCs/>
          <w:color w:val="000000"/>
          <w:sz w:val="22"/>
          <w:lang w:eastAsia="es-ES"/>
        </w:rPr>
        <w:t>Tabla 2. Comparación del índice de grasa abdominal (AFI) entre los trimestres y en cada trimestre según clasificación del índice cintura /talla</w:t>
      </w:r>
    </w:p>
    <w:tbl>
      <w:tblPr>
        <w:tblW w:w="88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6"/>
        <w:gridCol w:w="1691"/>
        <w:gridCol w:w="1952"/>
        <w:gridCol w:w="1778"/>
        <w:gridCol w:w="1390"/>
      </w:tblGrid>
      <w:tr w:rsidR="00147E5A" w:rsidRPr="00EF3662" w:rsidTr="0081759E">
        <w:trPr>
          <w:trHeight w:val="365"/>
        </w:trPr>
        <w:tc>
          <w:tcPr>
            <w:tcW w:w="2076" w:type="dxa"/>
            <w:vMerge w:val="restart"/>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b/>
                <w:color w:val="000000"/>
                <w:sz w:val="22"/>
                <w:lang w:eastAsia="es-ES"/>
              </w:rPr>
            </w:pPr>
            <w:r w:rsidRPr="00EF3662">
              <w:rPr>
                <w:rFonts w:cs="Arial"/>
                <w:b/>
                <w:color w:val="000000"/>
                <w:sz w:val="22"/>
                <w:lang w:eastAsia="es-ES"/>
              </w:rPr>
              <w:t>Índice cintura talla</w:t>
            </w:r>
          </w:p>
        </w:tc>
        <w:tc>
          <w:tcPr>
            <w:tcW w:w="5421" w:type="dxa"/>
            <w:gridSpan w:val="3"/>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b/>
                <w:color w:val="000000"/>
                <w:sz w:val="22"/>
                <w:lang w:eastAsia="es-ES"/>
              </w:rPr>
            </w:pPr>
            <w:r w:rsidRPr="00EF3662">
              <w:rPr>
                <w:rFonts w:cs="Arial"/>
                <w:b/>
                <w:color w:val="000000"/>
                <w:sz w:val="22"/>
                <w:lang w:eastAsia="es-ES"/>
              </w:rPr>
              <w:t>AFI</w:t>
            </w:r>
          </w:p>
        </w:tc>
        <w:tc>
          <w:tcPr>
            <w:tcW w:w="1390" w:type="dxa"/>
            <w:vMerge w:val="restart"/>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b/>
                <w:color w:val="000000"/>
                <w:sz w:val="22"/>
                <w:lang w:eastAsia="es-ES"/>
              </w:rPr>
            </w:pPr>
            <w:r w:rsidRPr="00EF3662">
              <w:rPr>
                <w:rFonts w:cs="Arial"/>
                <w:b/>
                <w:color w:val="000000"/>
                <w:sz w:val="22"/>
                <w:lang w:eastAsia="es-ES"/>
              </w:rPr>
              <w:t>p**</w:t>
            </w:r>
          </w:p>
        </w:tc>
      </w:tr>
      <w:tr w:rsidR="00147E5A" w:rsidRPr="00EF3662" w:rsidTr="0081759E">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E5A" w:rsidRPr="00EF3662" w:rsidRDefault="00147E5A" w:rsidP="0081759E">
            <w:pPr>
              <w:spacing w:line="240" w:lineRule="auto"/>
              <w:jc w:val="both"/>
              <w:rPr>
                <w:rFonts w:cs="Arial"/>
                <w:b/>
                <w:color w:val="000000"/>
                <w:sz w:val="22"/>
                <w:lang w:eastAsia="es-ES"/>
              </w:rPr>
            </w:pPr>
          </w:p>
        </w:tc>
        <w:tc>
          <w:tcPr>
            <w:tcW w:w="1691"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b/>
                <w:color w:val="000000"/>
                <w:sz w:val="22"/>
                <w:lang w:eastAsia="es-ES"/>
              </w:rPr>
            </w:pPr>
            <w:r w:rsidRPr="00EF3662">
              <w:rPr>
                <w:rFonts w:cs="Arial"/>
                <w:b/>
                <w:color w:val="000000"/>
                <w:sz w:val="22"/>
                <w:lang w:eastAsia="es-ES"/>
              </w:rPr>
              <w:t>1er trimestre</w:t>
            </w:r>
          </w:p>
        </w:tc>
        <w:tc>
          <w:tcPr>
            <w:tcW w:w="1952"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b/>
                <w:color w:val="000000"/>
                <w:sz w:val="22"/>
                <w:lang w:eastAsia="es-ES"/>
              </w:rPr>
            </w:pPr>
            <w:r w:rsidRPr="00EF3662">
              <w:rPr>
                <w:rFonts w:cs="Arial"/>
                <w:b/>
                <w:color w:val="000000"/>
                <w:sz w:val="22"/>
                <w:lang w:eastAsia="es-ES"/>
              </w:rPr>
              <w:t>2do trimestre</w:t>
            </w:r>
          </w:p>
        </w:tc>
        <w:tc>
          <w:tcPr>
            <w:tcW w:w="1778"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b/>
                <w:color w:val="000000"/>
                <w:sz w:val="22"/>
                <w:lang w:eastAsia="es-ES"/>
              </w:rPr>
            </w:pPr>
            <w:r w:rsidRPr="00EF3662">
              <w:rPr>
                <w:rFonts w:cs="Arial"/>
                <w:b/>
                <w:color w:val="000000"/>
                <w:sz w:val="22"/>
                <w:lang w:eastAsia="es-ES"/>
              </w:rPr>
              <w:t>3er trimestre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7E5A" w:rsidRPr="00EF3662" w:rsidRDefault="00147E5A" w:rsidP="0081759E">
            <w:pPr>
              <w:spacing w:line="240" w:lineRule="auto"/>
              <w:jc w:val="both"/>
              <w:rPr>
                <w:rFonts w:cs="Arial"/>
                <w:color w:val="000000"/>
                <w:sz w:val="22"/>
                <w:lang w:eastAsia="es-ES"/>
              </w:rPr>
            </w:pPr>
          </w:p>
        </w:tc>
      </w:tr>
      <w:tr w:rsidR="00147E5A" w:rsidRPr="00EF3662" w:rsidTr="0081759E">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7E5A" w:rsidRPr="00EF3662" w:rsidRDefault="00147E5A" w:rsidP="0081759E">
            <w:pPr>
              <w:spacing w:line="240" w:lineRule="auto"/>
              <w:jc w:val="both"/>
              <w:rPr>
                <w:rFonts w:cs="Arial"/>
                <w:b/>
                <w:color w:val="000000"/>
                <w:sz w:val="22"/>
                <w:lang w:eastAsia="es-ES"/>
              </w:rPr>
            </w:pPr>
          </w:p>
        </w:tc>
        <w:tc>
          <w:tcPr>
            <w:tcW w:w="5421" w:type="dxa"/>
            <w:gridSpan w:val="3"/>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b/>
                <w:color w:val="000000"/>
                <w:sz w:val="22"/>
                <w:lang w:eastAsia="es-ES"/>
              </w:rPr>
            </w:pPr>
            <w:r w:rsidRPr="00EF3662">
              <w:rPr>
                <w:rFonts w:cs="Arial"/>
                <w:b/>
                <w:color w:val="000000"/>
                <w:sz w:val="22"/>
                <w:lang w:eastAsia="es-ES"/>
              </w:rPr>
              <w:t>Media (SD)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7E5A" w:rsidRPr="00EF3662" w:rsidRDefault="00147E5A" w:rsidP="0081759E">
            <w:pPr>
              <w:spacing w:line="240" w:lineRule="auto"/>
              <w:jc w:val="both"/>
              <w:rPr>
                <w:rFonts w:cs="Arial"/>
                <w:color w:val="000000"/>
                <w:sz w:val="22"/>
                <w:lang w:eastAsia="es-ES"/>
              </w:rPr>
            </w:pPr>
          </w:p>
        </w:tc>
      </w:tr>
      <w:tr w:rsidR="00147E5A" w:rsidRPr="00EF3662" w:rsidTr="0081759E">
        <w:trPr>
          <w:trHeight w:val="540"/>
        </w:trPr>
        <w:tc>
          <w:tcPr>
            <w:tcW w:w="2076"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color w:val="000000"/>
                <w:sz w:val="22"/>
                <w:lang w:eastAsia="es-ES"/>
              </w:rPr>
            </w:pPr>
            <w:r w:rsidRPr="00EF3662">
              <w:rPr>
                <w:rFonts w:cs="Arial"/>
                <w:color w:val="000000"/>
                <w:sz w:val="22"/>
                <w:lang w:eastAsia="es-ES"/>
              </w:rPr>
              <w:t>Menor de 0,5</w:t>
            </w:r>
          </w:p>
        </w:tc>
        <w:tc>
          <w:tcPr>
            <w:tcW w:w="1691"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color w:val="000000"/>
                <w:sz w:val="22"/>
                <w:lang w:eastAsia="es-ES"/>
              </w:rPr>
            </w:pPr>
            <w:r w:rsidRPr="00EF3662">
              <w:rPr>
                <w:rFonts w:cs="Arial"/>
                <w:color w:val="000000"/>
                <w:sz w:val="22"/>
                <w:lang w:eastAsia="es-ES"/>
              </w:rPr>
              <w:t>1,17 (0,44)</w:t>
            </w:r>
          </w:p>
        </w:tc>
        <w:tc>
          <w:tcPr>
            <w:tcW w:w="1952"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color w:val="000000"/>
                <w:sz w:val="22"/>
                <w:lang w:eastAsia="es-ES"/>
              </w:rPr>
            </w:pPr>
            <w:r w:rsidRPr="00EF3662">
              <w:rPr>
                <w:rFonts w:cs="Arial"/>
                <w:color w:val="000000"/>
                <w:sz w:val="22"/>
                <w:lang w:eastAsia="es-ES"/>
              </w:rPr>
              <w:t>1,19 (0,34)</w:t>
            </w:r>
          </w:p>
        </w:tc>
        <w:tc>
          <w:tcPr>
            <w:tcW w:w="1778"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color w:val="000000"/>
                <w:sz w:val="22"/>
                <w:lang w:eastAsia="es-ES"/>
              </w:rPr>
            </w:pPr>
            <w:r w:rsidRPr="00EF3662">
              <w:rPr>
                <w:rFonts w:cs="Arial"/>
                <w:color w:val="000000"/>
                <w:sz w:val="22"/>
                <w:lang w:eastAsia="es-ES"/>
              </w:rPr>
              <w:t>1,61 (0,44) *</w:t>
            </w:r>
          </w:p>
        </w:tc>
        <w:tc>
          <w:tcPr>
            <w:tcW w:w="1390" w:type="dxa"/>
            <w:tcBorders>
              <w:top w:val="single" w:sz="4" w:space="0" w:color="auto"/>
              <w:left w:val="single" w:sz="4" w:space="0" w:color="auto"/>
              <w:bottom w:val="single" w:sz="4" w:space="0" w:color="auto"/>
              <w:right w:val="single" w:sz="4" w:space="0" w:color="auto"/>
            </w:tcBorders>
            <w:noWrap/>
            <w:vAlign w:val="bottom"/>
            <w:hideMark/>
          </w:tcPr>
          <w:p w:rsidR="00147E5A" w:rsidRPr="00EF3662" w:rsidRDefault="00147E5A" w:rsidP="0081759E">
            <w:pPr>
              <w:spacing w:line="240" w:lineRule="auto"/>
              <w:jc w:val="both"/>
              <w:rPr>
                <w:rFonts w:cs="Arial"/>
                <w:color w:val="000000"/>
                <w:sz w:val="22"/>
                <w:lang w:eastAsia="es-ES"/>
              </w:rPr>
            </w:pPr>
            <w:r w:rsidRPr="00EF3662">
              <w:rPr>
                <w:rFonts w:cs="Arial"/>
                <w:color w:val="000000"/>
                <w:sz w:val="22"/>
                <w:lang w:eastAsia="es-ES"/>
              </w:rPr>
              <w:t>0,008</w:t>
            </w:r>
          </w:p>
        </w:tc>
      </w:tr>
      <w:tr w:rsidR="00147E5A" w:rsidRPr="00EF3662" w:rsidTr="0081759E">
        <w:trPr>
          <w:trHeight w:val="587"/>
        </w:trPr>
        <w:tc>
          <w:tcPr>
            <w:tcW w:w="2076"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color w:val="000000"/>
                <w:sz w:val="22"/>
                <w:lang w:eastAsia="es-ES"/>
              </w:rPr>
            </w:pPr>
            <w:r w:rsidRPr="00EF3662">
              <w:rPr>
                <w:rFonts w:cs="Arial"/>
                <w:color w:val="000000"/>
                <w:sz w:val="22"/>
                <w:lang w:eastAsia="es-ES"/>
              </w:rPr>
              <w:t>Igual o mayor a 0,5</w:t>
            </w:r>
          </w:p>
        </w:tc>
        <w:tc>
          <w:tcPr>
            <w:tcW w:w="1691"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color w:val="000000"/>
                <w:sz w:val="22"/>
                <w:lang w:eastAsia="es-ES"/>
              </w:rPr>
            </w:pPr>
            <w:r w:rsidRPr="00EF3662">
              <w:rPr>
                <w:rFonts w:cs="Arial"/>
                <w:color w:val="000000"/>
                <w:sz w:val="22"/>
                <w:lang w:eastAsia="es-ES"/>
              </w:rPr>
              <w:t>0,97 (0,39)</w:t>
            </w:r>
          </w:p>
        </w:tc>
        <w:tc>
          <w:tcPr>
            <w:tcW w:w="1952"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color w:val="000000"/>
                <w:sz w:val="22"/>
                <w:lang w:eastAsia="es-ES"/>
              </w:rPr>
            </w:pPr>
            <w:r w:rsidRPr="00EF3662">
              <w:rPr>
                <w:rFonts w:cs="Arial"/>
                <w:color w:val="000000"/>
                <w:sz w:val="22"/>
                <w:lang w:eastAsia="es-ES"/>
              </w:rPr>
              <w:t>1,16 (0,50)</w:t>
            </w:r>
          </w:p>
        </w:tc>
        <w:tc>
          <w:tcPr>
            <w:tcW w:w="1778"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color w:val="000000"/>
                <w:sz w:val="22"/>
                <w:lang w:eastAsia="es-ES"/>
              </w:rPr>
            </w:pPr>
            <w:r w:rsidRPr="00EF3662">
              <w:rPr>
                <w:rFonts w:cs="Arial"/>
                <w:color w:val="000000"/>
                <w:sz w:val="22"/>
                <w:lang w:eastAsia="es-ES"/>
              </w:rPr>
              <w:t>1,35 (0,41) *</w:t>
            </w:r>
          </w:p>
        </w:tc>
        <w:tc>
          <w:tcPr>
            <w:tcW w:w="1390" w:type="dxa"/>
            <w:tcBorders>
              <w:top w:val="single" w:sz="4" w:space="0" w:color="auto"/>
              <w:left w:val="single" w:sz="4" w:space="0" w:color="auto"/>
              <w:bottom w:val="single" w:sz="4" w:space="0" w:color="auto"/>
              <w:right w:val="single" w:sz="4" w:space="0" w:color="auto"/>
            </w:tcBorders>
            <w:noWrap/>
            <w:vAlign w:val="bottom"/>
            <w:hideMark/>
          </w:tcPr>
          <w:p w:rsidR="00147E5A" w:rsidRPr="00EF3662" w:rsidRDefault="00147E5A" w:rsidP="0081759E">
            <w:pPr>
              <w:spacing w:line="240" w:lineRule="auto"/>
              <w:jc w:val="both"/>
              <w:rPr>
                <w:rFonts w:cs="Arial"/>
                <w:color w:val="000000"/>
                <w:sz w:val="22"/>
                <w:lang w:eastAsia="es-ES"/>
              </w:rPr>
            </w:pPr>
            <w:r w:rsidRPr="00EF3662">
              <w:rPr>
                <w:rFonts w:cs="Arial"/>
                <w:color w:val="000000"/>
                <w:sz w:val="22"/>
                <w:lang w:eastAsia="es-ES"/>
              </w:rPr>
              <w:t>0,001</w:t>
            </w:r>
          </w:p>
        </w:tc>
      </w:tr>
      <w:tr w:rsidR="00147E5A" w:rsidRPr="00EF3662" w:rsidTr="0081759E">
        <w:trPr>
          <w:trHeight w:val="365"/>
        </w:trPr>
        <w:tc>
          <w:tcPr>
            <w:tcW w:w="2076"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sz w:val="22"/>
                <w:lang w:eastAsia="es-ES"/>
              </w:rPr>
            </w:pPr>
            <w:r w:rsidRPr="00EF3662">
              <w:rPr>
                <w:rFonts w:cs="Arial"/>
                <w:sz w:val="22"/>
                <w:lang w:eastAsia="es-ES"/>
              </w:rPr>
              <w:t>Menor del 66 percentil</w:t>
            </w:r>
          </w:p>
        </w:tc>
        <w:tc>
          <w:tcPr>
            <w:tcW w:w="1691"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sz w:val="22"/>
                <w:lang w:eastAsia="es-ES"/>
              </w:rPr>
            </w:pPr>
            <w:r w:rsidRPr="00EF3662">
              <w:rPr>
                <w:rFonts w:cs="Arial"/>
                <w:sz w:val="22"/>
                <w:lang w:eastAsia="es-ES"/>
              </w:rPr>
              <w:t>1,11 (0,47)</w:t>
            </w:r>
          </w:p>
        </w:tc>
        <w:tc>
          <w:tcPr>
            <w:tcW w:w="1952"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sz w:val="22"/>
                <w:lang w:eastAsia="es-ES"/>
              </w:rPr>
            </w:pPr>
            <w:r w:rsidRPr="00EF3662">
              <w:rPr>
                <w:rFonts w:cs="Arial"/>
                <w:sz w:val="22"/>
                <w:lang w:eastAsia="es-ES"/>
              </w:rPr>
              <w:t>1,29 (0,56) **</w:t>
            </w:r>
          </w:p>
        </w:tc>
        <w:tc>
          <w:tcPr>
            <w:tcW w:w="1778"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sz w:val="22"/>
                <w:lang w:eastAsia="es-ES"/>
              </w:rPr>
            </w:pPr>
            <w:r w:rsidRPr="00EF3662">
              <w:rPr>
                <w:rFonts w:cs="Arial"/>
                <w:sz w:val="22"/>
                <w:lang w:eastAsia="es-ES"/>
              </w:rPr>
              <w:t>1,54 (0,45) **</w:t>
            </w:r>
          </w:p>
        </w:tc>
        <w:tc>
          <w:tcPr>
            <w:tcW w:w="1390"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sz w:val="22"/>
                <w:lang w:eastAsia="es-ES"/>
              </w:rPr>
            </w:pPr>
            <w:r w:rsidRPr="00EF3662">
              <w:rPr>
                <w:rFonts w:cs="Arial"/>
                <w:sz w:val="22"/>
                <w:lang w:eastAsia="es-ES"/>
              </w:rPr>
              <w:t>0,022</w:t>
            </w:r>
          </w:p>
        </w:tc>
      </w:tr>
      <w:tr w:rsidR="00147E5A" w:rsidRPr="00EF3662" w:rsidTr="0081759E">
        <w:trPr>
          <w:trHeight w:val="365"/>
        </w:trPr>
        <w:tc>
          <w:tcPr>
            <w:tcW w:w="2076"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sz w:val="22"/>
                <w:lang w:eastAsia="es-ES"/>
              </w:rPr>
            </w:pPr>
            <w:r w:rsidRPr="00EF3662">
              <w:rPr>
                <w:rFonts w:cs="Arial"/>
                <w:color w:val="000000"/>
                <w:sz w:val="22"/>
                <w:lang w:eastAsia="es-ES"/>
              </w:rPr>
              <w:t xml:space="preserve">Igual o mayor al </w:t>
            </w:r>
            <w:r w:rsidRPr="00EF3662">
              <w:rPr>
                <w:rFonts w:cs="Arial"/>
                <w:sz w:val="22"/>
                <w:lang w:eastAsia="es-ES"/>
              </w:rPr>
              <w:t>66 percentil</w:t>
            </w:r>
          </w:p>
        </w:tc>
        <w:tc>
          <w:tcPr>
            <w:tcW w:w="1691"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sz w:val="22"/>
                <w:lang w:eastAsia="es-ES"/>
              </w:rPr>
            </w:pPr>
            <w:r w:rsidRPr="00EF3662">
              <w:rPr>
                <w:rFonts w:cs="Arial"/>
                <w:sz w:val="22"/>
                <w:lang w:eastAsia="es-ES"/>
              </w:rPr>
              <w:t>0,87 (0,26)</w:t>
            </w:r>
          </w:p>
        </w:tc>
        <w:tc>
          <w:tcPr>
            <w:tcW w:w="1952"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sz w:val="22"/>
                <w:lang w:eastAsia="es-ES"/>
              </w:rPr>
            </w:pPr>
            <w:r w:rsidRPr="00EF3662">
              <w:rPr>
                <w:rFonts w:cs="Arial"/>
                <w:sz w:val="22"/>
                <w:lang w:eastAsia="es-ES"/>
              </w:rPr>
              <w:t>1,03 (0,28) **</w:t>
            </w:r>
          </w:p>
        </w:tc>
        <w:tc>
          <w:tcPr>
            <w:tcW w:w="1778"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sz w:val="22"/>
                <w:lang w:eastAsia="es-ES"/>
              </w:rPr>
            </w:pPr>
            <w:r w:rsidRPr="00EF3662">
              <w:rPr>
                <w:rFonts w:cs="Arial"/>
                <w:sz w:val="22"/>
                <w:lang w:eastAsia="es-ES"/>
              </w:rPr>
              <w:t>1,23 (0,31) **</w:t>
            </w:r>
          </w:p>
        </w:tc>
        <w:tc>
          <w:tcPr>
            <w:tcW w:w="1390" w:type="dxa"/>
            <w:tcBorders>
              <w:top w:val="single" w:sz="4" w:space="0" w:color="auto"/>
              <w:left w:val="single" w:sz="4" w:space="0" w:color="auto"/>
              <w:bottom w:val="single" w:sz="4" w:space="0" w:color="auto"/>
              <w:right w:val="single" w:sz="4" w:space="0" w:color="auto"/>
            </w:tcBorders>
            <w:noWrap/>
            <w:vAlign w:val="center"/>
            <w:hideMark/>
          </w:tcPr>
          <w:p w:rsidR="00147E5A" w:rsidRPr="00EF3662" w:rsidRDefault="00147E5A" w:rsidP="0081759E">
            <w:pPr>
              <w:spacing w:line="240" w:lineRule="auto"/>
              <w:jc w:val="both"/>
              <w:rPr>
                <w:rFonts w:cs="Arial"/>
                <w:sz w:val="22"/>
                <w:lang w:eastAsia="es-ES"/>
              </w:rPr>
            </w:pPr>
            <w:r w:rsidRPr="00EF3662">
              <w:rPr>
                <w:rFonts w:cs="Arial"/>
                <w:sz w:val="22"/>
                <w:lang w:eastAsia="es-ES"/>
              </w:rPr>
              <w:t>0,002</w:t>
            </w:r>
          </w:p>
        </w:tc>
      </w:tr>
    </w:tbl>
    <w:p w:rsidR="00147E5A" w:rsidRPr="00EF3662" w:rsidRDefault="00147E5A" w:rsidP="00147E5A">
      <w:pPr>
        <w:tabs>
          <w:tab w:val="center" w:pos="3441"/>
        </w:tabs>
        <w:autoSpaceDE w:val="0"/>
        <w:autoSpaceDN w:val="0"/>
        <w:adjustRightInd w:val="0"/>
        <w:spacing w:line="240" w:lineRule="auto"/>
        <w:jc w:val="both"/>
        <w:rPr>
          <w:rFonts w:cs="Arial"/>
          <w:color w:val="000000"/>
          <w:sz w:val="22"/>
          <w:lang w:eastAsia="es-ES"/>
        </w:rPr>
      </w:pPr>
      <w:r w:rsidRPr="00EF3662">
        <w:rPr>
          <w:rFonts w:cs="Arial"/>
          <w:color w:val="000000"/>
          <w:sz w:val="22"/>
          <w:lang w:eastAsia="es-ES"/>
        </w:rPr>
        <w:t>* prueba U de Mann-Whitney para muestras independientes (91; p=0,006)</w:t>
      </w:r>
    </w:p>
    <w:p w:rsidR="00147E5A" w:rsidRPr="00EF3662" w:rsidRDefault="00147E5A" w:rsidP="00147E5A">
      <w:pPr>
        <w:tabs>
          <w:tab w:val="center" w:pos="3441"/>
        </w:tabs>
        <w:autoSpaceDE w:val="0"/>
        <w:autoSpaceDN w:val="0"/>
        <w:adjustRightInd w:val="0"/>
        <w:spacing w:line="240" w:lineRule="auto"/>
        <w:jc w:val="both"/>
        <w:rPr>
          <w:rFonts w:cs="Arial"/>
          <w:color w:val="000000"/>
          <w:sz w:val="22"/>
          <w:lang w:eastAsia="es-ES"/>
        </w:rPr>
      </w:pPr>
      <w:r w:rsidRPr="00EF3662">
        <w:rPr>
          <w:rFonts w:cs="Arial"/>
          <w:color w:val="000000"/>
          <w:sz w:val="22"/>
          <w:lang w:eastAsia="es-ES"/>
        </w:rPr>
        <w:t>**prueba U de Mann-Whitney para muestras independientes (Segundo trimestre; 212; p=0,023 y tercer Trimestre 164; p=0,002)</w:t>
      </w:r>
    </w:p>
    <w:p w:rsidR="00147E5A" w:rsidRPr="00EF3662" w:rsidRDefault="00147E5A" w:rsidP="00147E5A">
      <w:pPr>
        <w:tabs>
          <w:tab w:val="center" w:pos="3441"/>
        </w:tabs>
        <w:autoSpaceDE w:val="0"/>
        <w:autoSpaceDN w:val="0"/>
        <w:adjustRightInd w:val="0"/>
        <w:spacing w:line="240" w:lineRule="auto"/>
        <w:jc w:val="both"/>
        <w:rPr>
          <w:rFonts w:cs="Arial"/>
          <w:b/>
          <w:bCs/>
          <w:color w:val="000000"/>
          <w:sz w:val="22"/>
          <w:lang w:eastAsia="es-ES"/>
        </w:rPr>
      </w:pPr>
      <w:r w:rsidRPr="00EF3662">
        <w:rPr>
          <w:rFonts w:cs="Arial"/>
          <w:color w:val="000000"/>
          <w:sz w:val="22"/>
          <w:lang w:eastAsia="es-ES"/>
        </w:rPr>
        <w:t>**significación de la Prueba de Friedman para muestras relacionadas</w:t>
      </w:r>
    </w:p>
    <w:p w:rsidR="00147E5A" w:rsidRPr="00EF3662" w:rsidRDefault="00615CF0" w:rsidP="00147E5A">
      <w:pPr>
        <w:tabs>
          <w:tab w:val="center" w:pos="2793"/>
        </w:tabs>
        <w:autoSpaceDE w:val="0"/>
        <w:autoSpaceDN w:val="0"/>
        <w:adjustRightInd w:val="0"/>
        <w:spacing w:line="240" w:lineRule="auto"/>
        <w:jc w:val="both"/>
        <w:rPr>
          <w:rFonts w:cs="Arial"/>
          <w:color w:val="000000"/>
          <w:sz w:val="22"/>
          <w:lang w:eastAsia="es-ES"/>
        </w:rPr>
      </w:pPr>
      <w:r w:rsidRPr="00EF3662">
        <w:rPr>
          <w:rFonts w:cs="Arial"/>
          <w:b/>
          <w:color w:val="000000"/>
          <w:sz w:val="22"/>
          <w:lang w:eastAsia="es-ES"/>
        </w:rPr>
        <w:lastRenderedPageBreak/>
        <w:t xml:space="preserve">Gráfico 1. Trayectoria acumulativa de las grasas subcutánea y </w:t>
      </w:r>
      <w:proofErr w:type="spellStart"/>
      <w:r w:rsidRPr="00EF3662">
        <w:rPr>
          <w:rFonts w:cs="Arial"/>
          <w:b/>
          <w:color w:val="000000"/>
          <w:sz w:val="22"/>
          <w:lang w:eastAsia="es-ES"/>
        </w:rPr>
        <w:t>preperitoneal</w:t>
      </w:r>
      <w:proofErr w:type="spellEnd"/>
      <w:r w:rsidRPr="00EF3662">
        <w:rPr>
          <w:rFonts w:cs="Arial"/>
          <w:b/>
          <w:color w:val="000000"/>
          <w:sz w:val="22"/>
          <w:lang w:eastAsia="es-ES"/>
        </w:rPr>
        <w:t xml:space="preserve">, AFI e IGA durante el embarazo según clasificación del índice cintura/ talla </w:t>
      </w:r>
      <w:r w:rsidR="005741B9" w:rsidRPr="00EF3662">
        <w:rPr>
          <w:rFonts w:cs="Arial"/>
          <w:b/>
          <w:noProof/>
          <w:color w:val="000000"/>
          <w:sz w:val="22"/>
          <w:lang w:val="en-US"/>
        </w:rPr>
        <w:drawing>
          <wp:inline distT="0" distB="0" distL="0" distR="0" wp14:anchorId="6F0AC831" wp14:editId="0BAEE508">
            <wp:extent cx="5400040" cy="3595370"/>
            <wp:effectExtent l="0" t="0" r="0" b="508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13526" t="21355" r="28477" b="13209"/>
                    <a:stretch/>
                  </pic:blipFill>
                  <pic:spPr bwMode="auto">
                    <a:xfrm>
                      <a:off x="0" y="0"/>
                      <a:ext cx="5400040" cy="3595370"/>
                    </a:xfrm>
                    <a:prstGeom prst="rect">
                      <a:avLst/>
                    </a:prstGeom>
                    <a:ln>
                      <a:noFill/>
                    </a:ln>
                    <a:extLst>
                      <a:ext uri="{53640926-AAD7-44D8-BBD7-CCE9431645EC}">
                        <a14:shadowObscured xmlns:a14="http://schemas.microsoft.com/office/drawing/2010/main"/>
                      </a:ext>
                    </a:extLst>
                  </pic:spPr>
                </pic:pic>
              </a:graphicData>
            </a:graphic>
          </wp:inline>
        </w:drawing>
      </w:r>
    </w:p>
    <w:p w:rsidR="00147E5A" w:rsidRPr="00EF3662" w:rsidRDefault="00147E5A" w:rsidP="00147E5A">
      <w:pPr>
        <w:tabs>
          <w:tab w:val="center" w:pos="3441"/>
        </w:tabs>
        <w:autoSpaceDE w:val="0"/>
        <w:autoSpaceDN w:val="0"/>
        <w:adjustRightInd w:val="0"/>
        <w:spacing w:line="240" w:lineRule="auto"/>
        <w:jc w:val="both"/>
        <w:rPr>
          <w:b/>
          <w:sz w:val="22"/>
        </w:rPr>
      </w:pPr>
      <w:bookmarkStart w:id="5" w:name="_GoBack"/>
      <w:bookmarkEnd w:id="5"/>
    </w:p>
    <w:sectPr w:rsidR="00147E5A" w:rsidRPr="00EF3662" w:rsidSect="00B945E4">
      <w:footerReference w:type="default" r:id="rId25"/>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36D" w:rsidRDefault="0026636D" w:rsidP="00147E5A">
      <w:pPr>
        <w:spacing w:after="0" w:line="240" w:lineRule="auto"/>
      </w:pPr>
      <w:r>
        <w:separator/>
      </w:r>
    </w:p>
  </w:endnote>
  <w:endnote w:type="continuationSeparator" w:id="0">
    <w:p w:rsidR="0026636D" w:rsidRDefault="0026636D" w:rsidP="00147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662223"/>
      <w:docPartObj>
        <w:docPartGallery w:val="Page Numbers (Bottom of Page)"/>
        <w:docPartUnique/>
      </w:docPartObj>
    </w:sdtPr>
    <w:sdtContent>
      <w:p w:rsidR="00147E5A" w:rsidRDefault="00147E5A">
        <w:pPr>
          <w:pStyle w:val="Piedepgina"/>
          <w:jc w:val="right"/>
        </w:pPr>
        <w:r>
          <w:fldChar w:fldCharType="begin"/>
        </w:r>
        <w:r>
          <w:instrText>PAGE   \* MERGEFORMAT</w:instrText>
        </w:r>
        <w:r>
          <w:fldChar w:fldCharType="separate"/>
        </w:r>
        <w:r w:rsidR="007C30DF" w:rsidRPr="007C30DF">
          <w:rPr>
            <w:noProof/>
            <w:lang w:val="es-ES"/>
          </w:rPr>
          <w:t>12</w:t>
        </w:r>
        <w:r>
          <w:fldChar w:fldCharType="end"/>
        </w:r>
      </w:p>
    </w:sdtContent>
  </w:sdt>
  <w:p w:rsidR="0023723F" w:rsidRDefault="0026636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36D" w:rsidRDefault="0026636D" w:rsidP="00147E5A">
      <w:pPr>
        <w:spacing w:after="0" w:line="240" w:lineRule="auto"/>
      </w:pPr>
      <w:r>
        <w:separator/>
      </w:r>
    </w:p>
  </w:footnote>
  <w:footnote w:type="continuationSeparator" w:id="0">
    <w:p w:rsidR="0026636D" w:rsidRDefault="0026636D" w:rsidP="00147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07733"/>
    <w:multiLevelType w:val="hybridMultilevel"/>
    <w:tmpl w:val="A85C766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45A74F0"/>
    <w:multiLevelType w:val="hybridMultilevel"/>
    <w:tmpl w:val="DBD062DE"/>
    <w:lvl w:ilvl="0" w:tplc="0F00E110">
      <w:start w:val="1"/>
      <w:numFmt w:val="decimal"/>
      <w:lvlText w:val="%1."/>
      <w:lvlJc w:val="left"/>
      <w:pPr>
        <w:ind w:left="502" w:hanging="360"/>
      </w:pPr>
    </w:lvl>
    <w:lvl w:ilvl="1" w:tplc="080A0019">
      <w:start w:val="1"/>
      <w:numFmt w:val="lowerLetter"/>
      <w:lvlText w:val="%2."/>
      <w:lvlJc w:val="left"/>
      <w:pPr>
        <w:ind w:left="1624" w:hanging="360"/>
      </w:pPr>
    </w:lvl>
    <w:lvl w:ilvl="2" w:tplc="080A001B">
      <w:start w:val="1"/>
      <w:numFmt w:val="lowerRoman"/>
      <w:lvlText w:val="%3."/>
      <w:lvlJc w:val="right"/>
      <w:pPr>
        <w:ind w:left="2344" w:hanging="180"/>
      </w:pPr>
    </w:lvl>
    <w:lvl w:ilvl="3" w:tplc="080A000F">
      <w:start w:val="1"/>
      <w:numFmt w:val="decimal"/>
      <w:lvlText w:val="%4."/>
      <w:lvlJc w:val="left"/>
      <w:pPr>
        <w:ind w:left="3064" w:hanging="360"/>
      </w:pPr>
    </w:lvl>
    <w:lvl w:ilvl="4" w:tplc="080A0019">
      <w:start w:val="1"/>
      <w:numFmt w:val="lowerLetter"/>
      <w:lvlText w:val="%5."/>
      <w:lvlJc w:val="left"/>
      <w:pPr>
        <w:ind w:left="3784" w:hanging="360"/>
      </w:pPr>
    </w:lvl>
    <w:lvl w:ilvl="5" w:tplc="080A001B">
      <w:start w:val="1"/>
      <w:numFmt w:val="lowerRoman"/>
      <w:lvlText w:val="%6."/>
      <w:lvlJc w:val="right"/>
      <w:pPr>
        <w:ind w:left="4504" w:hanging="180"/>
      </w:pPr>
    </w:lvl>
    <w:lvl w:ilvl="6" w:tplc="080A000F">
      <w:start w:val="1"/>
      <w:numFmt w:val="decimal"/>
      <w:lvlText w:val="%7."/>
      <w:lvlJc w:val="left"/>
      <w:pPr>
        <w:ind w:left="5224" w:hanging="360"/>
      </w:pPr>
    </w:lvl>
    <w:lvl w:ilvl="7" w:tplc="080A0019">
      <w:start w:val="1"/>
      <w:numFmt w:val="lowerLetter"/>
      <w:lvlText w:val="%8."/>
      <w:lvlJc w:val="left"/>
      <w:pPr>
        <w:ind w:left="5944" w:hanging="360"/>
      </w:pPr>
    </w:lvl>
    <w:lvl w:ilvl="8" w:tplc="080A001B">
      <w:start w:val="1"/>
      <w:numFmt w:val="lowerRoman"/>
      <w:lvlText w:val="%9."/>
      <w:lvlJc w:val="right"/>
      <w:pPr>
        <w:ind w:left="6664" w:hanging="180"/>
      </w:pPr>
    </w:lvl>
  </w:abstractNum>
  <w:abstractNum w:abstractNumId="2" w15:restartNumberingAfterBreak="0">
    <w:nsid w:val="1CC6070D"/>
    <w:multiLevelType w:val="hybridMultilevel"/>
    <w:tmpl w:val="E48090BA"/>
    <w:lvl w:ilvl="0" w:tplc="CEE48EB6">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DFB5596"/>
    <w:multiLevelType w:val="hybridMultilevel"/>
    <w:tmpl w:val="21B205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6BF39C4"/>
    <w:multiLevelType w:val="hybridMultilevel"/>
    <w:tmpl w:val="5AE8E440"/>
    <w:lvl w:ilvl="0" w:tplc="244E39B0">
      <w:start w:val="1"/>
      <w:numFmt w:val="decimal"/>
      <w:lvlText w:val="%1."/>
      <w:lvlJc w:val="left"/>
      <w:pPr>
        <w:ind w:left="360" w:hanging="360"/>
      </w:pPr>
      <w:rPr>
        <w:rFonts w:ascii="Arial" w:hAnsi="Arial" w:cs="Arial" w:hint="default"/>
        <w:b w:val="0"/>
        <w:color w:val="auto"/>
        <w:sz w:val="24"/>
        <w:szCs w:val="24"/>
      </w:rPr>
    </w:lvl>
    <w:lvl w:ilvl="1" w:tplc="0C0A0019">
      <w:start w:val="1"/>
      <w:numFmt w:val="lowerLetter"/>
      <w:lvlText w:val="%2."/>
      <w:lvlJc w:val="left"/>
      <w:pPr>
        <w:ind w:left="1156" w:hanging="360"/>
      </w:pPr>
    </w:lvl>
    <w:lvl w:ilvl="2" w:tplc="0C0A001B">
      <w:start w:val="1"/>
      <w:numFmt w:val="lowerRoman"/>
      <w:lvlText w:val="%3."/>
      <w:lvlJc w:val="right"/>
      <w:pPr>
        <w:ind w:left="1876" w:hanging="180"/>
      </w:pPr>
    </w:lvl>
    <w:lvl w:ilvl="3" w:tplc="0C0A000F">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5" w15:restartNumberingAfterBreak="0">
    <w:nsid w:val="2FC84D64"/>
    <w:multiLevelType w:val="hybridMultilevel"/>
    <w:tmpl w:val="748C9D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6E16957"/>
    <w:multiLevelType w:val="hybridMultilevel"/>
    <w:tmpl w:val="FD16E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D61E8"/>
    <w:multiLevelType w:val="hybridMultilevel"/>
    <w:tmpl w:val="A00C725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4A"/>
    <w:rsid w:val="00072BDC"/>
    <w:rsid w:val="00147E5A"/>
    <w:rsid w:val="001B429D"/>
    <w:rsid w:val="0026636D"/>
    <w:rsid w:val="0027649F"/>
    <w:rsid w:val="003E2533"/>
    <w:rsid w:val="004831E0"/>
    <w:rsid w:val="004E2421"/>
    <w:rsid w:val="005741B9"/>
    <w:rsid w:val="005D376A"/>
    <w:rsid w:val="00615CF0"/>
    <w:rsid w:val="006A4B51"/>
    <w:rsid w:val="00757A40"/>
    <w:rsid w:val="007C30DF"/>
    <w:rsid w:val="007F5C70"/>
    <w:rsid w:val="0094667A"/>
    <w:rsid w:val="009D2DE3"/>
    <w:rsid w:val="00A72CA9"/>
    <w:rsid w:val="00B86221"/>
    <w:rsid w:val="00C31FE1"/>
    <w:rsid w:val="00CA3680"/>
    <w:rsid w:val="00CE7FF5"/>
    <w:rsid w:val="00E07C4A"/>
    <w:rsid w:val="00E55D0D"/>
    <w:rsid w:val="00EF2590"/>
    <w:rsid w:val="00EF3662"/>
    <w:rsid w:val="00F4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7E29"/>
  <w15:chartTrackingRefBased/>
  <w15:docId w15:val="{378D7E44-A79B-4DDB-97AE-F6118034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C4A"/>
    <w:pPr>
      <w:spacing w:after="200" w:line="276" w:lineRule="auto"/>
    </w:pPr>
    <w:rPr>
      <w:rFonts w:ascii="Verdana" w:eastAsia="Calibri" w:hAnsi="Verdana" w:cs="Times New Roman"/>
      <w:sz w:val="20"/>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07C4A"/>
    <w:pPr>
      <w:tabs>
        <w:tab w:val="center" w:pos="4419"/>
        <w:tab w:val="right" w:pos="8838"/>
      </w:tabs>
    </w:pPr>
  </w:style>
  <w:style w:type="character" w:customStyle="1" w:styleId="PiedepginaCar">
    <w:name w:val="Pie de página Car"/>
    <w:basedOn w:val="Fuentedeprrafopredeter"/>
    <w:link w:val="Piedepgina"/>
    <w:uiPriority w:val="99"/>
    <w:rsid w:val="00E07C4A"/>
    <w:rPr>
      <w:rFonts w:ascii="Verdana" w:eastAsia="Calibri" w:hAnsi="Verdana" w:cs="Times New Roman"/>
      <w:sz w:val="20"/>
      <w:lang w:val="es-MX"/>
    </w:rPr>
  </w:style>
  <w:style w:type="character" w:styleId="Hipervnculo">
    <w:name w:val="Hyperlink"/>
    <w:uiPriority w:val="99"/>
    <w:unhideWhenUsed/>
    <w:rsid w:val="00E07C4A"/>
    <w:rPr>
      <w:color w:val="0000FF"/>
      <w:u w:val="single"/>
    </w:rPr>
  </w:style>
  <w:style w:type="paragraph" w:customStyle="1" w:styleId="Default">
    <w:name w:val="Default"/>
    <w:rsid w:val="00E07C4A"/>
    <w:pPr>
      <w:autoSpaceDE w:val="0"/>
      <w:autoSpaceDN w:val="0"/>
      <w:adjustRightInd w:val="0"/>
      <w:spacing w:after="0" w:line="240" w:lineRule="auto"/>
    </w:pPr>
    <w:rPr>
      <w:rFonts w:ascii="Arial" w:eastAsia="Calibri" w:hAnsi="Arial" w:cs="Arial"/>
      <w:color w:val="000000"/>
      <w:sz w:val="24"/>
      <w:szCs w:val="24"/>
      <w:lang w:val="es-ES"/>
    </w:rPr>
  </w:style>
  <w:style w:type="paragraph" w:styleId="Prrafodelista">
    <w:name w:val="List Paragraph"/>
    <w:basedOn w:val="Normal"/>
    <w:uiPriority w:val="34"/>
    <w:qFormat/>
    <w:rsid w:val="00E07C4A"/>
    <w:pPr>
      <w:spacing w:after="160" w:line="259" w:lineRule="auto"/>
      <w:ind w:left="720"/>
      <w:contextualSpacing/>
    </w:pPr>
    <w:rPr>
      <w:rFonts w:ascii="Calibri" w:hAnsi="Calibri"/>
      <w:sz w:val="22"/>
      <w:lang w:val="es-ES"/>
    </w:rPr>
  </w:style>
  <w:style w:type="table" w:styleId="Tablaconcuadrcula">
    <w:name w:val="Table Grid"/>
    <w:basedOn w:val="Tablanormal"/>
    <w:uiPriority w:val="39"/>
    <w:rsid w:val="00147E5A"/>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7E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7E5A"/>
    <w:rPr>
      <w:rFonts w:ascii="Verdana" w:eastAsia="Calibri" w:hAnsi="Verdana" w:cs="Times New Roman"/>
      <w:sz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dyrondoncespedes@gmail.com" TargetMode="External"/><Relationship Id="rId13" Type="http://schemas.openxmlformats.org/officeDocument/2006/relationships/hyperlink" Target="http://www.who.int/mediacentre/factsheets/fs311/en/" TargetMode="External"/><Relationship Id="rId18" Type="http://schemas.openxmlformats.org/officeDocument/2006/relationships/hyperlink" Target="http://www.nature.com/articles/nutd20132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ciencedirect.com/science/article/abs/pii/S0002937809022509" TargetMode="External"/><Relationship Id="rId7" Type="http://schemas.openxmlformats.org/officeDocument/2006/relationships/hyperlink" Target="mailto:leidyrondoncespedes@gmail.com" TargetMode="External"/><Relationship Id="rId12" Type="http://schemas.openxmlformats.org/officeDocument/2006/relationships/hyperlink" Target="mailto:olgamtmkb@gmail.com" TargetMode="External"/><Relationship Id="rId17" Type="http://schemas.openxmlformats.org/officeDocument/2006/relationships/hyperlink" Target="http://repositorio.uchile.cl/bitstream/handle/2250/165966/Indice-cintura-estatura.pdf?sequence=1&amp;isAllowed=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cbi.nlm.nih.gov/pmc/articles/PMC4799648/" TargetMode="External"/><Relationship Id="rId20" Type="http://schemas.openxmlformats.org/officeDocument/2006/relationships/hyperlink" Target="http://www.nature.com/articles/nutd2013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istpm@infomed.sld.cu"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scielo.org.mx/pdf/prh/v28n3/v28n3a7.pdf" TargetMode="External"/><Relationship Id="rId23" Type="http://schemas.openxmlformats.org/officeDocument/2006/relationships/hyperlink" Target="http://www.actamedicacolombiana.com/ojs/index.php/actamed/article/download/298/69" TargetMode="External"/><Relationship Id="rId10" Type="http://schemas.openxmlformats.org/officeDocument/2006/relationships/hyperlink" Target="mailto:cerebelo@ucm.vcl.sld.cu" TargetMode="External"/><Relationship Id="rId19" Type="http://schemas.openxmlformats.org/officeDocument/2006/relationships/hyperlink" Target="http://www.ncbi.nlm.nih.gov/pubmed/16272815" TargetMode="External"/><Relationship Id="rId4" Type="http://schemas.openxmlformats.org/officeDocument/2006/relationships/webSettings" Target="webSettings.xml"/><Relationship Id="rId9" Type="http://schemas.openxmlformats.org/officeDocument/2006/relationships/hyperlink" Target="mailto:bmachadodiaz95@gmail.com" TargetMode="External"/><Relationship Id="rId14" Type="http://schemas.openxmlformats.org/officeDocument/2006/relationships/hyperlink" Target="http://scielo.isciii.es/pdf/nh/v31n4/03revision03.pdf" TargetMode="External"/><Relationship Id="rId22" Type="http://schemas.openxmlformats.org/officeDocument/2006/relationships/hyperlink" Target="http://www.biomedcentral.com/1471-2458/11/35"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4491</Words>
  <Characters>25600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2022-03-28T04:55:00Z</dcterms:created>
  <dcterms:modified xsi:type="dcterms:W3CDTF">2022-03-28T05:59:00Z</dcterms:modified>
</cp:coreProperties>
</file>