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692" w:rsidRDefault="00736692" w:rsidP="00BD555E">
      <w:pPr>
        <w:jc w:val="both"/>
        <w:rPr>
          <w:rFonts w:ascii="Arial" w:hAnsi="Arial" w:cs="Arial"/>
          <w:sz w:val="24"/>
          <w:szCs w:val="24"/>
          <w:lang w:val="es-US"/>
        </w:rPr>
      </w:pPr>
      <w:r>
        <w:rPr>
          <w:rFonts w:ascii="Arial" w:hAnsi="Arial" w:cs="Arial"/>
          <w:b/>
          <w:sz w:val="24"/>
          <w:szCs w:val="24"/>
          <w:lang w:val="es-US"/>
        </w:rPr>
        <w:t>VI Convención Internacional de Ciencias Morfológicas. MORFOVIRTUAL 2022</w:t>
      </w:r>
    </w:p>
    <w:p w:rsidR="00BD555E" w:rsidRPr="00F776B6" w:rsidRDefault="00BD555E" w:rsidP="00BD555E">
      <w:pPr>
        <w:jc w:val="both"/>
        <w:rPr>
          <w:rFonts w:ascii="Arial" w:hAnsi="Arial" w:cs="Arial"/>
          <w:sz w:val="24"/>
          <w:szCs w:val="24"/>
          <w:lang w:val="es-US"/>
        </w:rPr>
      </w:pPr>
      <w:r w:rsidRPr="00BD555E">
        <w:rPr>
          <w:rFonts w:ascii="Arial" w:hAnsi="Arial" w:cs="Arial"/>
          <w:sz w:val="24"/>
          <w:szCs w:val="24"/>
          <w:lang w:val="es-US"/>
        </w:rPr>
        <w:t xml:space="preserve">Ascitis quilosa posterior a resección de quiste mesentérico. </w:t>
      </w:r>
      <w:r w:rsidRPr="00F776B6">
        <w:rPr>
          <w:rFonts w:ascii="Arial" w:hAnsi="Arial" w:cs="Arial"/>
          <w:sz w:val="24"/>
          <w:szCs w:val="24"/>
          <w:lang w:val="es-US"/>
        </w:rPr>
        <w:t>Informe de caso</w:t>
      </w:r>
      <w:r w:rsidR="00F776B6" w:rsidRPr="00F776B6">
        <w:rPr>
          <w:rFonts w:ascii="Arial" w:hAnsi="Arial" w:cs="Arial"/>
          <w:sz w:val="24"/>
          <w:szCs w:val="24"/>
          <w:lang w:val="es-US"/>
        </w:rPr>
        <w:t xml:space="preserve"> y revisión de la </w:t>
      </w:r>
      <w:r w:rsidR="003D7719">
        <w:rPr>
          <w:rFonts w:ascii="Arial" w:hAnsi="Arial" w:cs="Arial"/>
          <w:sz w:val="24"/>
          <w:szCs w:val="24"/>
          <w:lang w:val="es-US"/>
        </w:rPr>
        <w:t>literatura.</w:t>
      </w:r>
    </w:p>
    <w:p w:rsidR="00BD555E" w:rsidRPr="00BD555E" w:rsidRDefault="00BD555E" w:rsidP="00BD555E">
      <w:pPr>
        <w:jc w:val="both"/>
        <w:rPr>
          <w:rFonts w:ascii="Arial" w:hAnsi="Arial" w:cs="Arial"/>
          <w:sz w:val="24"/>
          <w:szCs w:val="24"/>
        </w:rPr>
      </w:pPr>
      <w:proofErr w:type="gramStart"/>
      <w:r w:rsidRPr="00BD555E">
        <w:rPr>
          <w:rFonts w:ascii="Arial" w:hAnsi="Arial" w:cs="Arial"/>
          <w:sz w:val="24"/>
          <w:szCs w:val="24"/>
        </w:rPr>
        <w:t>Chylous ascites after</w:t>
      </w:r>
      <w:r w:rsidR="00E8639D" w:rsidRPr="00E8639D">
        <w:rPr>
          <w:rFonts w:ascii="Arial" w:hAnsi="Arial" w:cs="Arial"/>
          <w:sz w:val="24"/>
          <w:szCs w:val="24"/>
        </w:rPr>
        <w:t xml:space="preserve"> resection</w:t>
      </w:r>
      <w:r w:rsidR="00E8639D">
        <w:rPr>
          <w:rFonts w:ascii="Arial" w:hAnsi="Arial" w:cs="Arial"/>
          <w:sz w:val="24"/>
          <w:szCs w:val="24"/>
        </w:rPr>
        <w:t xml:space="preserve"> of a</w:t>
      </w:r>
      <w:r w:rsidRPr="00BD555E">
        <w:rPr>
          <w:rFonts w:ascii="Arial" w:hAnsi="Arial" w:cs="Arial"/>
          <w:sz w:val="24"/>
          <w:szCs w:val="24"/>
        </w:rPr>
        <w:t xml:space="preserve"> mesenteric cyst.</w:t>
      </w:r>
      <w:proofErr w:type="gramEnd"/>
      <w:r w:rsidRPr="00BD555E">
        <w:rPr>
          <w:rFonts w:ascii="Arial" w:hAnsi="Arial" w:cs="Arial"/>
          <w:sz w:val="24"/>
          <w:szCs w:val="24"/>
        </w:rPr>
        <w:t xml:space="preserve"> </w:t>
      </w:r>
      <w:proofErr w:type="gramStart"/>
      <w:r w:rsidRPr="00BD555E">
        <w:rPr>
          <w:rFonts w:ascii="Arial" w:hAnsi="Arial" w:cs="Arial"/>
          <w:sz w:val="24"/>
          <w:szCs w:val="24"/>
        </w:rPr>
        <w:t>Case report</w:t>
      </w:r>
      <w:r w:rsidR="00E8639D">
        <w:rPr>
          <w:rFonts w:ascii="Arial" w:hAnsi="Arial" w:cs="Arial"/>
          <w:sz w:val="24"/>
          <w:szCs w:val="24"/>
        </w:rPr>
        <w:t xml:space="preserve"> and review of the literature.</w:t>
      </w:r>
      <w:proofErr w:type="gramEnd"/>
    </w:p>
    <w:p w:rsidR="00BD555E" w:rsidRPr="00BD555E" w:rsidRDefault="00BD555E" w:rsidP="00BD555E">
      <w:pPr>
        <w:jc w:val="both"/>
        <w:rPr>
          <w:rFonts w:ascii="Arial" w:hAnsi="Arial" w:cs="Arial"/>
          <w:sz w:val="24"/>
          <w:szCs w:val="24"/>
          <w:lang w:val="es-US"/>
        </w:rPr>
      </w:pPr>
      <w:r w:rsidRPr="00BD555E">
        <w:rPr>
          <w:rFonts w:ascii="Arial" w:hAnsi="Arial" w:cs="Arial"/>
          <w:sz w:val="24"/>
          <w:szCs w:val="24"/>
          <w:lang w:val="es-US"/>
        </w:rPr>
        <w:t>Alberto Antonio Sosa Osorio.</w:t>
      </w:r>
      <w:r w:rsidRPr="00BD555E">
        <w:rPr>
          <w:rFonts w:ascii="Arial" w:hAnsi="Arial" w:cs="Arial"/>
          <w:sz w:val="24"/>
          <w:szCs w:val="24"/>
          <w:vertAlign w:val="superscript"/>
          <w:lang w:val="es-US"/>
        </w:rPr>
        <w:t>1</w:t>
      </w:r>
      <w:r w:rsidRPr="00BD555E">
        <w:rPr>
          <w:rFonts w:ascii="Arial" w:hAnsi="Arial" w:cs="Arial"/>
          <w:sz w:val="24"/>
          <w:szCs w:val="24"/>
          <w:lang w:val="es-US"/>
        </w:rPr>
        <w:t xml:space="preserve">  </w:t>
      </w:r>
      <w:hyperlink r:id="rId5" w:history="1">
        <w:r w:rsidRPr="00BD555E">
          <w:rPr>
            <w:rStyle w:val="Hipervnculo"/>
            <w:rFonts w:ascii="Arial" w:hAnsi="Arial" w:cs="Arial"/>
            <w:sz w:val="24"/>
            <w:szCs w:val="24"/>
            <w:lang w:val="es-US"/>
          </w:rPr>
          <w:t>http://orcid.org/0000-0001-8111-6942</w:t>
        </w:r>
      </w:hyperlink>
      <w:r w:rsidRPr="00BD555E">
        <w:rPr>
          <w:rFonts w:ascii="Arial" w:hAnsi="Arial" w:cs="Arial"/>
          <w:sz w:val="24"/>
          <w:szCs w:val="24"/>
          <w:lang w:val="es-US"/>
        </w:rPr>
        <w:t xml:space="preserve">. </w:t>
      </w:r>
    </w:p>
    <w:p w:rsidR="00BD555E" w:rsidRPr="00BD555E" w:rsidRDefault="00BD555E" w:rsidP="00BD555E">
      <w:pPr>
        <w:jc w:val="both"/>
        <w:rPr>
          <w:rFonts w:ascii="Arial" w:hAnsi="Arial" w:cs="Arial"/>
          <w:sz w:val="24"/>
          <w:szCs w:val="24"/>
          <w:lang w:val="es-US"/>
        </w:rPr>
      </w:pPr>
      <w:r w:rsidRPr="00BD555E">
        <w:rPr>
          <w:rFonts w:ascii="Arial" w:hAnsi="Arial" w:cs="Arial"/>
          <w:sz w:val="24"/>
          <w:szCs w:val="24"/>
          <w:lang w:val="es-US"/>
        </w:rPr>
        <w:t>Mercedes Ortega Sánchez.</w:t>
      </w:r>
      <w:r w:rsidRPr="00BD555E">
        <w:rPr>
          <w:rFonts w:ascii="Arial" w:hAnsi="Arial" w:cs="Arial"/>
          <w:sz w:val="24"/>
          <w:szCs w:val="24"/>
          <w:vertAlign w:val="superscript"/>
          <w:lang w:val="es-US"/>
        </w:rPr>
        <w:t>1</w:t>
      </w:r>
      <w:r w:rsidRPr="00BD555E">
        <w:rPr>
          <w:rFonts w:ascii="Arial" w:hAnsi="Arial" w:cs="Arial"/>
          <w:sz w:val="24"/>
          <w:szCs w:val="24"/>
          <w:lang w:val="es-US"/>
        </w:rPr>
        <w:t xml:space="preserve"> </w:t>
      </w:r>
      <w:hyperlink r:id="rId6" w:history="1">
        <w:r w:rsidRPr="00BD555E">
          <w:rPr>
            <w:rStyle w:val="Hipervnculo"/>
            <w:rFonts w:ascii="Arial" w:hAnsi="Arial" w:cs="Arial"/>
            <w:sz w:val="24"/>
            <w:szCs w:val="24"/>
            <w:lang w:val="es-US"/>
          </w:rPr>
          <w:t>http://orcid.org/0000-0001-7009-1858</w:t>
        </w:r>
      </w:hyperlink>
      <w:r w:rsidRPr="00BD555E">
        <w:rPr>
          <w:rFonts w:ascii="Arial" w:hAnsi="Arial" w:cs="Arial"/>
          <w:sz w:val="24"/>
          <w:szCs w:val="24"/>
          <w:lang w:val="es-US"/>
        </w:rPr>
        <w:t xml:space="preserve">. </w:t>
      </w:r>
    </w:p>
    <w:p w:rsidR="00BD555E" w:rsidRPr="00BD555E" w:rsidRDefault="00BD555E" w:rsidP="00BD555E">
      <w:pPr>
        <w:jc w:val="both"/>
        <w:rPr>
          <w:rFonts w:ascii="Arial" w:hAnsi="Arial" w:cs="Arial"/>
          <w:sz w:val="24"/>
          <w:szCs w:val="24"/>
          <w:lang w:val="es-US"/>
        </w:rPr>
      </w:pPr>
      <w:r w:rsidRPr="00BD555E">
        <w:rPr>
          <w:rFonts w:ascii="Arial" w:hAnsi="Arial" w:cs="Arial"/>
          <w:sz w:val="24"/>
          <w:szCs w:val="24"/>
          <w:lang w:val="es-US"/>
        </w:rPr>
        <w:t>Yanelka Bouza Jiménez.</w:t>
      </w:r>
      <w:r w:rsidRPr="00BD555E">
        <w:rPr>
          <w:rFonts w:ascii="Arial" w:hAnsi="Arial" w:cs="Arial"/>
          <w:sz w:val="24"/>
          <w:szCs w:val="24"/>
          <w:vertAlign w:val="superscript"/>
          <w:lang w:val="es-US"/>
        </w:rPr>
        <w:t>2</w:t>
      </w:r>
      <w:r w:rsidRPr="00BD555E">
        <w:rPr>
          <w:rFonts w:ascii="Arial" w:hAnsi="Arial" w:cs="Arial"/>
          <w:sz w:val="24"/>
          <w:szCs w:val="24"/>
          <w:lang w:val="es-US"/>
        </w:rPr>
        <w:t xml:space="preserve"> </w:t>
      </w:r>
      <w:hyperlink r:id="rId7" w:history="1">
        <w:r w:rsidRPr="00BD555E">
          <w:rPr>
            <w:rStyle w:val="Hipervnculo"/>
            <w:rFonts w:ascii="Arial" w:hAnsi="Arial" w:cs="Arial"/>
            <w:sz w:val="24"/>
            <w:szCs w:val="24"/>
            <w:lang w:val="es-US"/>
          </w:rPr>
          <w:t>http://orcid.org/0000-0002-2495-8016</w:t>
        </w:r>
      </w:hyperlink>
      <w:r w:rsidRPr="00BD555E">
        <w:rPr>
          <w:rFonts w:ascii="Arial" w:hAnsi="Arial" w:cs="Arial"/>
          <w:sz w:val="24"/>
          <w:szCs w:val="24"/>
          <w:lang w:val="es-US"/>
        </w:rPr>
        <w:t xml:space="preserve">.  </w:t>
      </w:r>
    </w:p>
    <w:p w:rsidR="00BD555E" w:rsidRPr="00BD555E" w:rsidRDefault="00BD555E" w:rsidP="00BD555E">
      <w:pPr>
        <w:jc w:val="both"/>
        <w:rPr>
          <w:rFonts w:ascii="Arial" w:hAnsi="Arial" w:cs="Arial"/>
          <w:sz w:val="24"/>
          <w:szCs w:val="24"/>
          <w:lang w:val="es-US"/>
        </w:rPr>
      </w:pPr>
      <w:r w:rsidRPr="00BD555E">
        <w:rPr>
          <w:rFonts w:ascii="Arial" w:hAnsi="Arial" w:cs="Arial"/>
          <w:sz w:val="24"/>
          <w:szCs w:val="24"/>
          <w:vertAlign w:val="superscript"/>
          <w:lang w:val="es-US"/>
        </w:rPr>
        <w:t>1</w:t>
      </w:r>
      <w:r w:rsidRPr="00BD555E">
        <w:rPr>
          <w:rFonts w:ascii="Arial" w:hAnsi="Arial" w:cs="Arial"/>
          <w:sz w:val="24"/>
          <w:szCs w:val="24"/>
          <w:lang w:val="es-US"/>
        </w:rPr>
        <w:t xml:space="preserve"> Universidad de Ciencias Médicas de Cienfuegos. Facultad de Ciencias Médicas Dr. Raúl Dorticós Torrado, Cienfuegos, Cuba. </w:t>
      </w:r>
    </w:p>
    <w:p w:rsidR="00BD555E" w:rsidRPr="00BD555E" w:rsidRDefault="00BD555E" w:rsidP="00BD555E">
      <w:pPr>
        <w:jc w:val="both"/>
        <w:rPr>
          <w:rFonts w:ascii="Arial" w:hAnsi="Arial" w:cs="Arial"/>
          <w:sz w:val="24"/>
          <w:szCs w:val="24"/>
          <w:lang w:val="es-US"/>
        </w:rPr>
      </w:pPr>
      <w:r w:rsidRPr="00BD555E">
        <w:rPr>
          <w:rFonts w:ascii="Arial" w:hAnsi="Arial" w:cs="Arial"/>
          <w:sz w:val="24"/>
          <w:szCs w:val="24"/>
          <w:vertAlign w:val="superscript"/>
          <w:lang w:val="es-US"/>
        </w:rPr>
        <w:t>2</w:t>
      </w:r>
      <w:r w:rsidRPr="00BD555E">
        <w:rPr>
          <w:rFonts w:ascii="Arial" w:hAnsi="Arial" w:cs="Arial"/>
          <w:sz w:val="24"/>
          <w:szCs w:val="24"/>
          <w:lang w:val="es-US"/>
        </w:rPr>
        <w:t xml:space="preserve"> Hospital General Universitario Dr. Gustavo Aldereguía Lima, Cienfuegos, Cuba.</w:t>
      </w:r>
    </w:p>
    <w:p w:rsidR="00BD555E" w:rsidRDefault="00BD555E" w:rsidP="005D6CF3">
      <w:pPr>
        <w:jc w:val="both"/>
        <w:rPr>
          <w:rFonts w:ascii="Arial" w:hAnsi="Arial" w:cs="Arial"/>
          <w:b/>
          <w:sz w:val="24"/>
          <w:szCs w:val="24"/>
          <w:lang w:val="es-US"/>
        </w:rPr>
      </w:pPr>
      <w:r w:rsidRPr="00BD555E">
        <w:rPr>
          <w:rFonts w:ascii="Arial" w:hAnsi="Arial" w:cs="Arial"/>
          <w:sz w:val="24"/>
          <w:szCs w:val="24"/>
          <w:lang w:val="es-US"/>
        </w:rPr>
        <w:t>Autor para la correspondencia</w:t>
      </w:r>
      <w:r w:rsidRPr="00BD555E">
        <w:rPr>
          <w:rFonts w:ascii="Arial" w:hAnsi="Arial" w:cs="Arial"/>
          <w:b/>
          <w:sz w:val="24"/>
          <w:szCs w:val="24"/>
          <w:lang w:val="es-US"/>
        </w:rPr>
        <w:t xml:space="preserve">: </w:t>
      </w:r>
      <w:hyperlink r:id="rId8" w:history="1">
        <w:r w:rsidRPr="00BD555E">
          <w:rPr>
            <w:rStyle w:val="Hipervnculo"/>
            <w:rFonts w:ascii="Arial" w:hAnsi="Arial" w:cs="Arial"/>
            <w:b/>
            <w:sz w:val="24"/>
            <w:szCs w:val="24"/>
            <w:lang w:val="es-US"/>
          </w:rPr>
          <w:t>sosaosorioalberto@gmail.com</w:t>
        </w:r>
      </w:hyperlink>
      <w:r w:rsidRPr="00BD555E">
        <w:rPr>
          <w:rFonts w:ascii="Arial" w:hAnsi="Arial" w:cs="Arial"/>
          <w:b/>
          <w:sz w:val="24"/>
          <w:szCs w:val="24"/>
          <w:lang w:val="es-US"/>
        </w:rPr>
        <w:t xml:space="preserve">. </w:t>
      </w:r>
    </w:p>
    <w:p w:rsidR="005D6CF3" w:rsidRPr="005D6CF3" w:rsidRDefault="005D6CF3" w:rsidP="005D6CF3">
      <w:pPr>
        <w:jc w:val="both"/>
        <w:rPr>
          <w:rFonts w:ascii="Arial" w:hAnsi="Arial" w:cs="Arial"/>
          <w:b/>
          <w:sz w:val="24"/>
          <w:szCs w:val="24"/>
          <w:lang w:val="es-US"/>
        </w:rPr>
      </w:pPr>
      <w:r w:rsidRPr="005D6CF3">
        <w:rPr>
          <w:rFonts w:ascii="Arial" w:hAnsi="Arial" w:cs="Arial"/>
          <w:b/>
          <w:sz w:val="24"/>
          <w:szCs w:val="24"/>
          <w:lang w:val="es-US"/>
        </w:rPr>
        <w:t>RESUMEN</w:t>
      </w:r>
    </w:p>
    <w:p w:rsidR="005D6CF3" w:rsidRPr="005D6CF3" w:rsidRDefault="005D6CF3" w:rsidP="005D6CF3">
      <w:pPr>
        <w:jc w:val="both"/>
        <w:rPr>
          <w:rFonts w:ascii="Arial" w:hAnsi="Arial" w:cs="Arial"/>
          <w:sz w:val="24"/>
          <w:szCs w:val="24"/>
          <w:lang w:val="es-US"/>
        </w:rPr>
      </w:pPr>
      <w:r w:rsidRPr="005D6CF3">
        <w:rPr>
          <w:rFonts w:ascii="Arial" w:hAnsi="Arial" w:cs="Arial"/>
          <w:b/>
          <w:sz w:val="24"/>
          <w:szCs w:val="24"/>
          <w:lang w:val="es-US"/>
        </w:rPr>
        <w:t>Introducción:</w:t>
      </w:r>
      <w:r w:rsidRPr="005D6CF3">
        <w:rPr>
          <w:rFonts w:ascii="Arial" w:hAnsi="Arial" w:cs="Arial"/>
          <w:sz w:val="24"/>
          <w:szCs w:val="24"/>
          <w:lang w:val="es-US"/>
        </w:rPr>
        <w:t xml:space="preserve"> la ascitis quilosa (AQ) se define como la extravasación de líquido lechoso rico en triglicéridos en la cavidad peritoneal.</w:t>
      </w:r>
    </w:p>
    <w:p w:rsidR="005D6CF3" w:rsidRPr="005D6CF3" w:rsidRDefault="005D6CF3" w:rsidP="005D6CF3">
      <w:pPr>
        <w:jc w:val="both"/>
        <w:rPr>
          <w:rFonts w:ascii="Arial" w:hAnsi="Arial" w:cs="Arial"/>
          <w:sz w:val="24"/>
          <w:szCs w:val="24"/>
          <w:lang w:val="es-US"/>
        </w:rPr>
      </w:pPr>
      <w:r w:rsidRPr="005D6CF3">
        <w:rPr>
          <w:rFonts w:ascii="Arial" w:hAnsi="Arial" w:cs="Arial"/>
          <w:b/>
          <w:sz w:val="24"/>
          <w:szCs w:val="24"/>
          <w:lang w:val="es-US"/>
        </w:rPr>
        <w:t>Objetivo:</w:t>
      </w:r>
      <w:r w:rsidRPr="005D6CF3">
        <w:rPr>
          <w:rFonts w:ascii="Arial" w:hAnsi="Arial" w:cs="Arial"/>
          <w:sz w:val="24"/>
          <w:szCs w:val="24"/>
          <w:lang w:val="es-US"/>
        </w:rPr>
        <w:t xml:space="preserve"> describir el caso de una paciente que presentó ascitis quilosa luego de someterse a intervención quirúrgica por resección de un quiste mesentérico. </w:t>
      </w:r>
    </w:p>
    <w:p w:rsidR="005D6CF3" w:rsidRPr="005D6CF3" w:rsidRDefault="005D6CF3" w:rsidP="005D6CF3">
      <w:pPr>
        <w:jc w:val="both"/>
        <w:rPr>
          <w:rFonts w:ascii="Arial" w:hAnsi="Arial" w:cs="Arial"/>
          <w:sz w:val="24"/>
          <w:szCs w:val="24"/>
          <w:lang w:val="es-US"/>
        </w:rPr>
      </w:pPr>
      <w:r w:rsidRPr="005D6CF3">
        <w:rPr>
          <w:rFonts w:ascii="Arial" w:hAnsi="Arial" w:cs="Arial"/>
          <w:b/>
          <w:sz w:val="24"/>
          <w:szCs w:val="24"/>
          <w:lang w:val="es-US"/>
        </w:rPr>
        <w:t xml:space="preserve">Caso clínico: </w:t>
      </w:r>
      <w:r w:rsidRPr="005D6CF3">
        <w:rPr>
          <w:rFonts w:ascii="Arial" w:hAnsi="Arial" w:cs="Arial"/>
          <w:sz w:val="24"/>
          <w:szCs w:val="24"/>
          <w:lang w:val="es-US"/>
        </w:rPr>
        <w:t>paciente de 69 años de edad con antecedentes de haber sido operada de un quiste mesentérico dos meses antes  de acudir a los servicios de salud por presentar en esta ocasión una ascitis marcada observada por ultrasonido y a la exploración clínica. Se le realizó paracentesis diagnóstica en la que se describió salida abundante (2500 ml) de líquido ascítico de aspecto amarillo lechoso. Se tomó muestra para análisis bioquímico del líquido resultando positivo, lo cual junto al antecedente de cirugía reciente confirmó el diagnóstico de AQ.</w:t>
      </w:r>
    </w:p>
    <w:p w:rsidR="005D6CF3" w:rsidRPr="005D6CF3" w:rsidRDefault="005D6CF3" w:rsidP="005D6CF3">
      <w:pPr>
        <w:jc w:val="both"/>
        <w:rPr>
          <w:rFonts w:ascii="Arial" w:hAnsi="Arial" w:cs="Arial"/>
          <w:sz w:val="24"/>
          <w:szCs w:val="24"/>
          <w:lang w:val="es-US"/>
        </w:rPr>
      </w:pPr>
      <w:r w:rsidRPr="005D6CF3">
        <w:rPr>
          <w:rFonts w:ascii="Arial" w:hAnsi="Arial" w:cs="Arial"/>
          <w:b/>
          <w:sz w:val="24"/>
          <w:szCs w:val="24"/>
          <w:lang w:val="es-US"/>
        </w:rPr>
        <w:t xml:space="preserve">Discusión: </w:t>
      </w:r>
      <w:r w:rsidRPr="005D6CF3">
        <w:rPr>
          <w:rFonts w:ascii="Arial" w:hAnsi="Arial" w:cs="Arial"/>
          <w:sz w:val="24"/>
          <w:szCs w:val="24"/>
          <w:lang w:val="es-US"/>
        </w:rPr>
        <w:t xml:space="preserve">la causa habitual en población adulta es la obstrucción por neoplasias abdominales. Entre otras causas se pueden citar: traumatismos abdominales o secundaria a cirugía abdominal (asociado a  amplias </w:t>
      </w:r>
      <w:proofErr w:type="spellStart"/>
      <w:r w:rsidRPr="005D6CF3">
        <w:rPr>
          <w:rFonts w:ascii="Arial" w:hAnsi="Arial" w:cs="Arial"/>
          <w:sz w:val="24"/>
          <w:szCs w:val="24"/>
          <w:lang w:val="es-US"/>
        </w:rPr>
        <w:t>linfadenectomías</w:t>
      </w:r>
      <w:proofErr w:type="spellEnd"/>
      <w:r w:rsidRPr="005D6CF3">
        <w:rPr>
          <w:rFonts w:ascii="Arial" w:hAnsi="Arial" w:cs="Arial"/>
          <w:sz w:val="24"/>
          <w:szCs w:val="24"/>
          <w:lang w:val="es-US"/>
        </w:rPr>
        <w:t xml:space="preserve"> retroperitoneales o con cirugía aórtica).</w:t>
      </w:r>
    </w:p>
    <w:p w:rsidR="005D6CF3" w:rsidRPr="005D6CF3" w:rsidRDefault="005D6CF3" w:rsidP="005D6CF3">
      <w:pPr>
        <w:jc w:val="both"/>
        <w:rPr>
          <w:rFonts w:ascii="Arial" w:hAnsi="Arial" w:cs="Arial"/>
          <w:sz w:val="24"/>
          <w:szCs w:val="24"/>
          <w:lang w:val="es-US"/>
        </w:rPr>
      </w:pPr>
      <w:r w:rsidRPr="005D6CF3">
        <w:rPr>
          <w:rFonts w:ascii="Arial" w:hAnsi="Arial" w:cs="Arial"/>
          <w:b/>
          <w:sz w:val="24"/>
          <w:szCs w:val="24"/>
          <w:lang w:val="es-US"/>
        </w:rPr>
        <w:t>Conclusiones:</w:t>
      </w:r>
      <w:r w:rsidRPr="005D6CF3">
        <w:rPr>
          <w:rFonts w:ascii="Arial" w:hAnsi="Arial" w:cs="Arial"/>
          <w:sz w:val="24"/>
          <w:szCs w:val="24"/>
          <w:lang w:val="es-US"/>
        </w:rPr>
        <w:t xml:space="preserve"> para el diagnóstico de AQ es imprescindible una anamnesis y exploración física completa. Por ello ante su sospecha se debe hacer énfasis en </w:t>
      </w:r>
      <w:r w:rsidRPr="005D6CF3">
        <w:rPr>
          <w:rFonts w:ascii="Arial" w:hAnsi="Arial" w:cs="Arial"/>
          <w:sz w:val="24"/>
          <w:szCs w:val="24"/>
          <w:lang w:val="es-US"/>
        </w:rPr>
        <w:lastRenderedPageBreak/>
        <w:t>las causas de la misma, sobre todo si su aparición es posterior a terapias intervencionistas. Un manejo óptimo estaría encaminado al tratamiento conservador basado en la terapia nutricional (de elección por su alta tasa de eficacia).</w:t>
      </w:r>
    </w:p>
    <w:p w:rsidR="005D6CF3" w:rsidRPr="005D6CF3" w:rsidRDefault="005D6CF3" w:rsidP="005D6CF3">
      <w:pPr>
        <w:jc w:val="both"/>
        <w:rPr>
          <w:rFonts w:ascii="Arial" w:hAnsi="Arial" w:cs="Arial"/>
          <w:sz w:val="24"/>
          <w:szCs w:val="24"/>
          <w:lang w:val="es-US"/>
        </w:rPr>
      </w:pPr>
      <w:r w:rsidRPr="005D6CF3">
        <w:rPr>
          <w:rFonts w:ascii="Arial" w:hAnsi="Arial" w:cs="Arial"/>
          <w:b/>
          <w:sz w:val="24"/>
          <w:szCs w:val="24"/>
          <w:lang w:val="es-US"/>
        </w:rPr>
        <w:t xml:space="preserve">Palabras clave: </w:t>
      </w:r>
      <w:r w:rsidRPr="005D6CF3">
        <w:rPr>
          <w:rFonts w:ascii="Arial" w:hAnsi="Arial" w:cs="Arial"/>
          <w:sz w:val="24"/>
          <w:szCs w:val="24"/>
          <w:lang w:val="es-US"/>
        </w:rPr>
        <w:t>ascitis quilosa; quiste mesentérico; terapia nutricional.</w:t>
      </w:r>
    </w:p>
    <w:p w:rsidR="005D6CF3" w:rsidRPr="005D6CF3" w:rsidRDefault="005D6CF3" w:rsidP="005D6CF3">
      <w:pPr>
        <w:jc w:val="both"/>
        <w:rPr>
          <w:rFonts w:ascii="Arial" w:hAnsi="Arial" w:cs="Arial"/>
          <w:b/>
          <w:sz w:val="24"/>
          <w:szCs w:val="24"/>
        </w:rPr>
      </w:pPr>
      <w:r w:rsidRPr="005D6CF3">
        <w:rPr>
          <w:rFonts w:ascii="Arial" w:hAnsi="Arial" w:cs="Arial"/>
          <w:b/>
          <w:sz w:val="24"/>
          <w:szCs w:val="24"/>
        </w:rPr>
        <w:t>ABSTRACT</w:t>
      </w:r>
    </w:p>
    <w:p w:rsidR="005D6CF3" w:rsidRPr="005D6CF3" w:rsidRDefault="005D6CF3" w:rsidP="005D6CF3">
      <w:pPr>
        <w:jc w:val="both"/>
        <w:rPr>
          <w:rFonts w:ascii="Arial" w:hAnsi="Arial" w:cs="Arial"/>
          <w:sz w:val="24"/>
          <w:szCs w:val="24"/>
        </w:rPr>
      </w:pPr>
      <w:r w:rsidRPr="005D6CF3">
        <w:rPr>
          <w:rFonts w:ascii="Arial" w:hAnsi="Arial" w:cs="Arial"/>
          <w:b/>
          <w:sz w:val="24"/>
          <w:szCs w:val="24"/>
        </w:rPr>
        <w:t xml:space="preserve">Introduction: </w:t>
      </w:r>
      <w:proofErr w:type="spellStart"/>
      <w:r w:rsidRPr="005D6CF3">
        <w:rPr>
          <w:rFonts w:ascii="Arial" w:hAnsi="Arial" w:cs="Arial"/>
          <w:sz w:val="24"/>
          <w:szCs w:val="24"/>
        </w:rPr>
        <w:t>chylous</w:t>
      </w:r>
      <w:proofErr w:type="spellEnd"/>
      <w:r w:rsidRPr="005D6CF3">
        <w:rPr>
          <w:rFonts w:ascii="Arial" w:hAnsi="Arial" w:cs="Arial"/>
          <w:sz w:val="24"/>
          <w:szCs w:val="24"/>
        </w:rPr>
        <w:t xml:space="preserve"> ascites (AQ) is defined as the extravasation of milky fluid rich in triglycerides in the peritoneal cavity.</w:t>
      </w:r>
    </w:p>
    <w:p w:rsidR="005D6CF3" w:rsidRPr="005D6CF3" w:rsidRDefault="005D6CF3" w:rsidP="005D6CF3">
      <w:pPr>
        <w:jc w:val="both"/>
        <w:rPr>
          <w:rFonts w:ascii="Arial" w:hAnsi="Arial" w:cs="Arial"/>
          <w:sz w:val="24"/>
          <w:szCs w:val="24"/>
        </w:rPr>
      </w:pPr>
      <w:r w:rsidRPr="005D6CF3">
        <w:rPr>
          <w:rFonts w:ascii="Arial" w:hAnsi="Arial" w:cs="Arial"/>
          <w:b/>
          <w:sz w:val="24"/>
          <w:szCs w:val="24"/>
        </w:rPr>
        <w:t xml:space="preserve">Objective: </w:t>
      </w:r>
      <w:r w:rsidRPr="005D6CF3">
        <w:rPr>
          <w:rFonts w:ascii="Arial" w:hAnsi="Arial" w:cs="Arial"/>
          <w:sz w:val="24"/>
          <w:szCs w:val="24"/>
        </w:rPr>
        <w:t xml:space="preserve">to describe the case of a patient who presented </w:t>
      </w:r>
      <w:proofErr w:type="spellStart"/>
      <w:r w:rsidRPr="005D6CF3">
        <w:rPr>
          <w:rFonts w:ascii="Arial" w:hAnsi="Arial" w:cs="Arial"/>
          <w:sz w:val="24"/>
          <w:szCs w:val="24"/>
        </w:rPr>
        <w:t>chylous</w:t>
      </w:r>
      <w:proofErr w:type="spellEnd"/>
      <w:r w:rsidRPr="005D6CF3">
        <w:rPr>
          <w:rFonts w:ascii="Arial" w:hAnsi="Arial" w:cs="Arial"/>
          <w:sz w:val="24"/>
          <w:szCs w:val="24"/>
        </w:rPr>
        <w:t xml:space="preserve"> ascites after undergoing surgical intervention for resection of a mesenteric cyst.</w:t>
      </w:r>
    </w:p>
    <w:p w:rsidR="005D6CF3" w:rsidRPr="005D6CF3" w:rsidRDefault="005D6CF3" w:rsidP="005D6CF3">
      <w:pPr>
        <w:jc w:val="both"/>
        <w:rPr>
          <w:rFonts w:ascii="Arial" w:hAnsi="Arial" w:cs="Arial"/>
          <w:sz w:val="24"/>
          <w:szCs w:val="24"/>
        </w:rPr>
      </w:pPr>
      <w:r w:rsidRPr="005D6CF3">
        <w:rPr>
          <w:rFonts w:ascii="Arial" w:hAnsi="Arial" w:cs="Arial"/>
          <w:b/>
          <w:sz w:val="24"/>
          <w:szCs w:val="24"/>
        </w:rPr>
        <w:t xml:space="preserve">Clinical case: </w:t>
      </w:r>
      <w:r w:rsidR="00657510" w:rsidRPr="00657510">
        <w:rPr>
          <w:rFonts w:ascii="Arial" w:hAnsi="Arial" w:cs="Arial"/>
          <w:sz w:val="24"/>
          <w:szCs w:val="24"/>
        </w:rPr>
        <w:t xml:space="preserve">69-year-old patient with a history of having undergone surgery for a mesenteric cyst two months before going to the health services for presenting on this occasion marked ascites observed by ultrasound and clinical examination. Diagnostic </w:t>
      </w:r>
      <w:proofErr w:type="spellStart"/>
      <w:r w:rsidR="00657510" w:rsidRPr="00657510">
        <w:rPr>
          <w:rFonts w:ascii="Arial" w:hAnsi="Arial" w:cs="Arial"/>
          <w:sz w:val="24"/>
          <w:szCs w:val="24"/>
        </w:rPr>
        <w:t>paracentesis</w:t>
      </w:r>
      <w:proofErr w:type="spellEnd"/>
      <w:r w:rsidR="00657510" w:rsidRPr="00657510">
        <w:rPr>
          <w:rFonts w:ascii="Arial" w:hAnsi="Arial" w:cs="Arial"/>
          <w:sz w:val="24"/>
          <w:szCs w:val="24"/>
        </w:rPr>
        <w:t xml:space="preserve"> was performed, in which abundant discharge (2500 ml) of milky yellow </w:t>
      </w:r>
      <w:proofErr w:type="spellStart"/>
      <w:r w:rsidR="00657510" w:rsidRPr="00657510">
        <w:rPr>
          <w:rFonts w:ascii="Arial" w:hAnsi="Arial" w:cs="Arial"/>
          <w:sz w:val="24"/>
          <w:szCs w:val="24"/>
        </w:rPr>
        <w:t>ascitic</w:t>
      </w:r>
      <w:proofErr w:type="spellEnd"/>
      <w:r w:rsidR="00657510" w:rsidRPr="00657510">
        <w:rPr>
          <w:rFonts w:ascii="Arial" w:hAnsi="Arial" w:cs="Arial"/>
          <w:sz w:val="24"/>
          <w:szCs w:val="24"/>
        </w:rPr>
        <w:t xml:space="preserve"> fluid was described. A sample was taken for biochemical analysis of the fluid, resulting in a positive result, which, together with a history of recent surgery, confirmed the diagnosis of AQ.</w:t>
      </w:r>
    </w:p>
    <w:p w:rsidR="005D6CF3" w:rsidRPr="005D6CF3" w:rsidRDefault="005D6CF3" w:rsidP="005D6CF3">
      <w:pPr>
        <w:jc w:val="both"/>
        <w:rPr>
          <w:rFonts w:ascii="Arial" w:hAnsi="Arial" w:cs="Arial"/>
          <w:sz w:val="24"/>
          <w:szCs w:val="24"/>
        </w:rPr>
      </w:pPr>
      <w:r w:rsidRPr="005D6CF3">
        <w:rPr>
          <w:rFonts w:ascii="Arial" w:hAnsi="Arial" w:cs="Arial"/>
          <w:b/>
          <w:sz w:val="24"/>
          <w:szCs w:val="24"/>
        </w:rPr>
        <w:t xml:space="preserve">Discussion: </w:t>
      </w:r>
      <w:r w:rsidRPr="005D6CF3">
        <w:rPr>
          <w:rFonts w:ascii="Arial" w:hAnsi="Arial" w:cs="Arial"/>
          <w:sz w:val="24"/>
          <w:szCs w:val="24"/>
        </w:rPr>
        <w:t>the usual cause in the adult population is obstruction due to abdominal neoplasms. Other causes include: abdominal trauma or secondary to abdominal surgery (associated with extensive retroperitoneal lymphadenectomy or aortic surgery).</w:t>
      </w:r>
    </w:p>
    <w:p w:rsidR="005D6CF3" w:rsidRPr="005D6CF3" w:rsidRDefault="005D6CF3" w:rsidP="005D6CF3">
      <w:pPr>
        <w:jc w:val="both"/>
        <w:rPr>
          <w:rFonts w:ascii="Arial" w:hAnsi="Arial" w:cs="Arial"/>
          <w:sz w:val="24"/>
          <w:szCs w:val="24"/>
        </w:rPr>
      </w:pPr>
      <w:r w:rsidRPr="005D6CF3">
        <w:rPr>
          <w:rFonts w:ascii="Arial" w:hAnsi="Arial" w:cs="Arial"/>
          <w:b/>
          <w:sz w:val="24"/>
          <w:szCs w:val="24"/>
        </w:rPr>
        <w:t xml:space="preserve">Conclusions: </w:t>
      </w:r>
      <w:r w:rsidRPr="005D6CF3">
        <w:rPr>
          <w:rFonts w:ascii="Arial" w:hAnsi="Arial" w:cs="Arial"/>
          <w:sz w:val="24"/>
          <w:szCs w:val="24"/>
        </w:rPr>
        <w:t>a complete history and physical examination is essential for the diagnosis of AQ. Therefore, when suspected, emphasis should be placed on its causes, especially if its appearance is after interventional therapies. Optimal management would be aimed at conservative treatment based on nutritional therapy.</w:t>
      </w:r>
    </w:p>
    <w:p w:rsidR="005D6CF3" w:rsidRPr="005D6CF3" w:rsidRDefault="005D6CF3" w:rsidP="005D6CF3">
      <w:pPr>
        <w:jc w:val="both"/>
        <w:rPr>
          <w:rFonts w:ascii="Arial" w:hAnsi="Arial" w:cs="Arial"/>
          <w:sz w:val="24"/>
          <w:szCs w:val="24"/>
        </w:rPr>
      </w:pPr>
      <w:r w:rsidRPr="005D6CF3">
        <w:rPr>
          <w:rFonts w:ascii="Arial" w:hAnsi="Arial" w:cs="Arial"/>
          <w:b/>
          <w:sz w:val="24"/>
          <w:szCs w:val="24"/>
        </w:rPr>
        <w:t xml:space="preserve">Keywords: </w:t>
      </w:r>
      <w:proofErr w:type="spellStart"/>
      <w:r w:rsidRPr="005D6CF3">
        <w:rPr>
          <w:rFonts w:ascii="Arial" w:hAnsi="Arial" w:cs="Arial"/>
          <w:sz w:val="24"/>
          <w:szCs w:val="24"/>
        </w:rPr>
        <w:t>chylous</w:t>
      </w:r>
      <w:proofErr w:type="spellEnd"/>
      <w:r w:rsidRPr="005D6CF3">
        <w:rPr>
          <w:rFonts w:ascii="Arial" w:hAnsi="Arial" w:cs="Arial"/>
          <w:sz w:val="24"/>
          <w:szCs w:val="24"/>
        </w:rPr>
        <w:t xml:space="preserve"> ascites; mesenteric cyst; nutritional therapy.</w:t>
      </w:r>
    </w:p>
    <w:p w:rsidR="005D6CF3" w:rsidRPr="005D6CF3" w:rsidRDefault="005D6CF3" w:rsidP="005D6CF3">
      <w:pPr>
        <w:jc w:val="both"/>
        <w:rPr>
          <w:rFonts w:ascii="Arial" w:hAnsi="Arial" w:cs="Arial"/>
          <w:b/>
          <w:sz w:val="24"/>
          <w:szCs w:val="24"/>
          <w:lang w:val="es-US"/>
        </w:rPr>
      </w:pPr>
      <w:r w:rsidRPr="005D6CF3">
        <w:rPr>
          <w:rFonts w:ascii="Arial" w:hAnsi="Arial" w:cs="Arial"/>
          <w:b/>
          <w:sz w:val="24"/>
          <w:szCs w:val="24"/>
          <w:lang w:val="es-US"/>
        </w:rPr>
        <w:t>Introducción:</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La ascitis quilosa (AQ) también conocida como fuga quilosa, quiloperitoneo o quiloascitis, se define como la extravasación de líquido lechoso rico en triglicéridos en la cavidad peritoneal. El primer reporte de dicha patología se realizó en 1691 por Richard Morton, tras realizar una paracentesis en un paciente masculino de 18 meses, con tuberculosis diseminada. Se ha descrito que no existe predominio de </w:t>
      </w:r>
      <w:r w:rsidRPr="005D6CF3">
        <w:rPr>
          <w:rFonts w:ascii="Arial" w:hAnsi="Arial" w:cs="Arial"/>
          <w:sz w:val="24"/>
          <w:szCs w:val="24"/>
          <w:lang w:val="es-US"/>
        </w:rPr>
        <w:lastRenderedPageBreak/>
        <w:t>edad, puede afectar a mayores de 70 años por neoplasias, a neonatos con defectos congénitos y también se ha notificado en embarazadas</w:t>
      </w:r>
      <w:proofErr w:type="gramStart"/>
      <w:r w:rsidRPr="005D6CF3">
        <w:rPr>
          <w:rFonts w:ascii="Arial" w:hAnsi="Arial" w:cs="Arial"/>
          <w:sz w:val="24"/>
          <w:szCs w:val="24"/>
          <w:lang w:val="es-US"/>
        </w:rPr>
        <w:t>.</w:t>
      </w:r>
      <w:r w:rsidRPr="005D6CF3">
        <w:rPr>
          <w:rFonts w:ascii="Arial" w:hAnsi="Arial" w:cs="Arial"/>
          <w:sz w:val="24"/>
          <w:szCs w:val="24"/>
          <w:vertAlign w:val="superscript"/>
          <w:lang w:val="es-US"/>
        </w:rPr>
        <w:t>(</w:t>
      </w:r>
      <w:proofErr w:type="gramEnd"/>
      <w:r w:rsidRPr="005D6CF3">
        <w:rPr>
          <w:rFonts w:ascii="Arial" w:hAnsi="Arial" w:cs="Arial"/>
          <w:sz w:val="24"/>
          <w:szCs w:val="24"/>
          <w:vertAlign w:val="superscript"/>
          <w:lang w:val="es-US"/>
        </w:rPr>
        <w:t>1,2)</w:t>
      </w:r>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vertAlign w:val="superscript"/>
          <w:lang w:val="es-US"/>
        </w:rPr>
      </w:pPr>
      <w:r w:rsidRPr="005D6CF3">
        <w:rPr>
          <w:rFonts w:ascii="Arial" w:hAnsi="Arial" w:cs="Arial"/>
          <w:sz w:val="24"/>
          <w:szCs w:val="24"/>
          <w:lang w:val="es-US"/>
        </w:rPr>
        <w:t xml:space="preserve">Su incidencia varía de 1 por cada 11,589 a 1 por cada 20,000 ingresos hospitalarios, por lo que se considera  poco frecuente. </w:t>
      </w:r>
      <w:r w:rsidRPr="005D6CF3">
        <w:rPr>
          <w:rFonts w:ascii="Arial" w:hAnsi="Arial" w:cs="Arial"/>
          <w:sz w:val="24"/>
          <w:szCs w:val="24"/>
          <w:vertAlign w:val="superscript"/>
          <w:lang w:val="es-US"/>
        </w:rPr>
        <w:t xml:space="preserve">(3) </w:t>
      </w:r>
      <w:r w:rsidRPr="005D6CF3">
        <w:rPr>
          <w:rFonts w:ascii="Arial" w:hAnsi="Arial" w:cs="Arial"/>
          <w:sz w:val="24"/>
          <w:szCs w:val="24"/>
          <w:lang w:val="es-US"/>
        </w:rPr>
        <w:t xml:space="preserve">No obstante, la literatura actualizada acerca del tema, describe un posible aumento de su incidencia lo cual obedece a ascendentes tasas de sobrevida de los pacientes con cáncer, así como de intervenciones quirúrgicas y laparoscópicas más agresivas. A pesar de su baja incidencia la mortalidad asociada es de un 40-70%, relacionada también con una aún mayor morbilidad. </w:t>
      </w:r>
      <w:r w:rsidRPr="005D6CF3">
        <w:rPr>
          <w:rFonts w:ascii="Arial" w:hAnsi="Arial" w:cs="Arial"/>
          <w:sz w:val="24"/>
          <w:szCs w:val="24"/>
          <w:vertAlign w:val="superscript"/>
          <w:lang w:val="es-US"/>
        </w:rPr>
        <w:t>(4)</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Para el desarrollo de AQ se han propuesto tres mecanismos fundamentales: disrupción linfática adquirida, fibrosis del sistema linfático y causas congénitas, estando asociada a más de 40 patologías. </w:t>
      </w:r>
      <w:r w:rsidRPr="005D6CF3">
        <w:rPr>
          <w:rFonts w:ascii="Arial" w:hAnsi="Arial" w:cs="Arial"/>
          <w:sz w:val="24"/>
          <w:szCs w:val="24"/>
          <w:vertAlign w:val="superscript"/>
          <w:lang w:val="es-US"/>
        </w:rPr>
        <w:t xml:space="preserve">(4) </w:t>
      </w:r>
      <w:r w:rsidRPr="005D6CF3">
        <w:rPr>
          <w:rFonts w:ascii="Arial" w:hAnsi="Arial" w:cs="Arial"/>
          <w:sz w:val="24"/>
          <w:szCs w:val="24"/>
          <w:lang w:val="es-US"/>
        </w:rPr>
        <w:t xml:space="preserve">Lo más frecuente como etiología en países desarrollados son las neoplasias malignas abdominales (como el linfoma) y la cirrosis; mientras que en países en desarrollo resulta ser la causa infecciosa (tuberculosis y </w:t>
      </w:r>
      <w:proofErr w:type="spellStart"/>
      <w:r w:rsidRPr="005D6CF3">
        <w:rPr>
          <w:rFonts w:ascii="Arial" w:hAnsi="Arial" w:cs="Arial"/>
          <w:sz w:val="24"/>
          <w:szCs w:val="24"/>
          <w:lang w:val="es-US"/>
        </w:rPr>
        <w:t>filariasis</w:t>
      </w:r>
      <w:proofErr w:type="spellEnd"/>
      <w:r w:rsidRPr="005D6CF3">
        <w:rPr>
          <w:rFonts w:ascii="Arial" w:hAnsi="Arial" w:cs="Arial"/>
          <w:sz w:val="24"/>
          <w:szCs w:val="24"/>
          <w:lang w:val="es-US"/>
        </w:rPr>
        <w:t>).</w:t>
      </w:r>
      <w:r w:rsidRPr="005D6CF3">
        <w:rPr>
          <w:rFonts w:ascii="Arial" w:hAnsi="Arial" w:cs="Arial"/>
          <w:sz w:val="24"/>
          <w:szCs w:val="24"/>
          <w:vertAlign w:val="superscript"/>
          <w:lang w:val="es-US"/>
        </w:rPr>
        <w:t xml:space="preserve"> (5)</w:t>
      </w:r>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La AQ suele presentarse con una distensión abdominal no dolorosa (considerado como el dato clínico más llamativo), que aparece en un período de tiempo variable de semanas o meses, aunque puede presentarse de forma aguda, posterior a  intervenciones quirúrgicas que cursen con ruptura de los conductos del sistema linfático. Otras características clínicas son diarrea, edema, saciedad precoz, disnea, aumento de peso por retención de líquidos o bien disminución por desnutrición proteica. A pesar de ello, otros autores describen que en la mayoría de los casos se trata de fugas quilosas dirigidas con drenajes abdominales, por lo que son asintomáticas. Es muy infrecuente que se presente en forma de abdomen agudo, en cuyo caso se detallaría como peritonitis quilosa aguda</w:t>
      </w:r>
      <w:proofErr w:type="gramStart"/>
      <w:r w:rsidRPr="005D6CF3">
        <w:rPr>
          <w:rFonts w:ascii="Arial" w:hAnsi="Arial" w:cs="Arial"/>
          <w:sz w:val="24"/>
          <w:szCs w:val="24"/>
          <w:lang w:val="es-US"/>
        </w:rPr>
        <w:t>.</w:t>
      </w:r>
      <w:r w:rsidRPr="005D6CF3">
        <w:rPr>
          <w:rFonts w:ascii="Arial" w:hAnsi="Arial" w:cs="Arial"/>
          <w:sz w:val="24"/>
          <w:szCs w:val="24"/>
          <w:vertAlign w:val="superscript"/>
          <w:lang w:val="es-US"/>
        </w:rPr>
        <w:t>(</w:t>
      </w:r>
      <w:proofErr w:type="gramEnd"/>
      <w:r w:rsidRPr="005D6CF3">
        <w:rPr>
          <w:rFonts w:ascii="Arial" w:hAnsi="Arial" w:cs="Arial"/>
          <w:sz w:val="24"/>
          <w:szCs w:val="24"/>
          <w:vertAlign w:val="superscript"/>
          <w:lang w:val="es-US"/>
        </w:rPr>
        <w:t>3,6)</w:t>
      </w:r>
    </w:p>
    <w:p w:rsidR="005D6CF3" w:rsidRPr="005D6CF3" w:rsidRDefault="005D6CF3" w:rsidP="005D6CF3">
      <w:pPr>
        <w:jc w:val="both"/>
        <w:rPr>
          <w:rFonts w:ascii="Arial" w:hAnsi="Arial" w:cs="Arial"/>
          <w:sz w:val="24"/>
          <w:szCs w:val="24"/>
          <w:vertAlign w:val="superscript"/>
          <w:lang w:val="es-US"/>
        </w:rPr>
      </w:pPr>
      <w:r w:rsidRPr="005D6CF3">
        <w:rPr>
          <w:rFonts w:ascii="Arial" w:hAnsi="Arial" w:cs="Arial"/>
          <w:sz w:val="24"/>
          <w:szCs w:val="24"/>
          <w:lang w:val="es-US"/>
        </w:rPr>
        <w:t xml:space="preserve">Según la literatura actualizada, en Cuba solo se han reportado dos casos de ascitis quilosa, uno por autores del Hospital Clínico Quirúrgico “Hermanos </w:t>
      </w:r>
      <w:proofErr w:type="spellStart"/>
      <w:r w:rsidRPr="005D6CF3">
        <w:rPr>
          <w:rFonts w:ascii="Arial" w:hAnsi="Arial" w:cs="Arial"/>
          <w:sz w:val="24"/>
          <w:szCs w:val="24"/>
          <w:lang w:val="es-US"/>
        </w:rPr>
        <w:t>Ameijeiras</w:t>
      </w:r>
      <w:proofErr w:type="spellEnd"/>
      <w:r w:rsidRPr="005D6CF3">
        <w:rPr>
          <w:rFonts w:ascii="Arial" w:hAnsi="Arial" w:cs="Arial"/>
          <w:sz w:val="24"/>
          <w:szCs w:val="24"/>
          <w:lang w:val="es-US"/>
        </w:rPr>
        <w:t>” en La Habana y el otro en el Hospital General Universitario “Dr. Gustavo Aldereguía Lima” de la provincia Cienfuegos.</w:t>
      </w:r>
      <w:r w:rsidRPr="005D6CF3">
        <w:rPr>
          <w:rFonts w:ascii="Arial" w:hAnsi="Arial" w:cs="Arial"/>
          <w:sz w:val="24"/>
          <w:szCs w:val="24"/>
          <w:vertAlign w:val="superscript"/>
          <w:lang w:val="es-US"/>
        </w:rPr>
        <w:t>(1,7)</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La baja incidencia antes descrita en relación a dicha enfermedad, el hecho de proporcionar un adecuado manejo en estos pacientes y reportar el segundo caso en la provincia de Cienfuegos, son las razones que justifican la realización de este estudio que tiene por objetivo describir el caso de una paciente que presentó ascitis quilosa luego de someterse a intervención quirúrgica por resección de un quiste mesentérico. </w:t>
      </w:r>
    </w:p>
    <w:p w:rsidR="00D214F7" w:rsidRDefault="00D214F7" w:rsidP="005D6CF3">
      <w:pPr>
        <w:jc w:val="both"/>
        <w:rPr>
          <w:rFonts w:ascii="Arial" w:hAnsi="Arial" w:cs="Arial"/>
          <w:b/>
          <w:sz w:val="24"/>
          <w:szCs w:val="24"/>
          <w:lang w:val="es-US"/>
        </w:rPr>
      </w:pPr>
    </w:p>
    <w:p w:rsidR="005D6CF3" w:rsidRPr="005D6CF3" w:rsidRDefault="00A77C7D" w:rsidP="005D6CF3">
      <w:pPr>
        <w:jc w:val="both"/>
        <w:rPr>
          <w:rFonts w:ascii="Arial" w:hAnsi="Arial" w:cs="Arial"/>
          <w:b/>
          <w:sz w:val="24"/>
          <w:szCs w:val="24"/>
          <w:lang w:val="es-US"/>
        </w:rPr>
      </w:pPr>
      <w:bookmarkStart w:id="0" w:name="_GoBack"/>
      <w:bookmarkEnd w:id="0"/>
      <w:r>
        <w:rPr>
          <w:rFonts w:ascii="Arial" w:hAnsi="Arial" w:cs="Arial"/>
          <w:b/>
          <w:sz w:val="24"/>
          <w:szCs w:val="24"/>
          <w:lang w:val="es-US"/>
        </w:rPr>
        <w:lastRenderedPageBreak/>
        <w:t xml:space="preserve">Presentación </w:t>
      </w:r>
      <w:r w:rsidR="005D6CF3" w:rsidRPr="005D6CF3">
        <w:rPr>
          <w:rFonts w:ascii="Arial" w:hAnsi="Arial" w:cs="Arial"/>
          <w:b/>
          <w:sz w:val="24"/>
          <w:szCs w:val="24"/>
          <w:lang w:val="es-US"/>
        </w:rPr>
        <w:t>del caso:</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Se presenta el caso de una paciente de 69 años de edad, de piel blanca, jubilada, de procedencia urbana, </w:t>
      </w:r>
      <w:proofErr w:type="spellStart"/>
      <w:r w:rsidRPr="005D6CF3">
        <w:rPr>
          <w:rFonts w:ascii="Arial" w:hAnsi="Arial" w:cs="Arial"/>
          <w:sz w:val="24"/>
          <w:szCs w:val="24"/>
          <w:lang w:val="es-US"/>
        </w:rPr>
        <w:t>exfumadora</w:t>
      </w:r>
      <w:proofErr w:type="spellEnd"/>
      <w:r w:rsidRPr="005D6CF3">
        <w:rPr>
          <w:rFonts w:ascii="Arial" w:hAnsi="Arial" w:cs="Arial"/>
          <w:sz w:val="24"/>
          <w:szCs w:val="24"/>
          <w:lang w:val="es-US"/>
        </w:rPr>
        <w:t xml:space="preserve">,  con antecedentes patológicos personales de diabetes mellitus para lo cual lleva tratamiento con Insulina lenta 20 </w:t>
      </w:r>
      <w:proofErr w:type="spellStart"/>
      <w:r w:rsidRPr="005D6CF3">
        <w:rPr>
          <w:rFonts w:ascii="Arial" w:hAnsi="Arial" w:cs="Arial"/>
          <w:sz w:val="24"/>
          <w:szCs w:val="24"/>
          <w:lang w:val="es-US"/>
        </w:rPr>
        <w:t>uds</w:t>
      </w:r>
      <w:proofErr w:type="spellEnd"/>
      <w:r w:rsidRPr="005D6CF3">
        <w:rPr>
          <w:rFonts w:ascii="Arial" w:hAnsi="Arial" w:cs="Arial"/>
          <w:sz w:val="24"/>
          <w:szCs w:val="24"/>
          <w:lang w:val="es-US"/>
        </w:rPr>
        <w:t xml:space="preserve"> administradas durante la mañana y 10 </w:t>
      </w:r>
      <w:proofErr w:type="spellStart"/>
      <w:r w:rsidRPr="005D6CF3">
        <w:rPr>
          <w:rFonts w:ascii="Arial" w:hAnsi="Arial" w:cs="Arial"/>
          <w:sz w:val="24"/>
          <w:szCs w:val="24"/>
          <w:lang w:val="es-US"/>
        </w:rPr>
        <w:t>uds</w:t>
      </w:r>
      <w:proofErr w:type="spellEnd"/>
      <w:r w:rsidRPr="005D6CF3">
        <w:rPr>
          <w:rFonts w:ascii="Arial" w:hAnsi="Arial" w:cs="Arial"/>
          <w:sz w:val="24"/>
          <w:szCs w:val="24"/>
          <w:lang w:val="es-US"/>
        </w:rPr>
        <w:t xml:space="preserve"> durante la noche, cardiopatía isquémica tratada con </w:t>
      </w:r>
      <w:proofErr w:type="spellStart"/>
      <w:r w:rsidRPr="005D6CF3">
        <w:rPr>
          <w:rFonts w:ascii="Arial" w:hAnsi="Arial" w:cs="Arial"/>
          <w:sz w:val="24"/>
          <w:szCs w:val="24"/>
          <w:lang w:val="es-US"/>
        </w:rPr>
        <w:t>nitrosorbide</w:t>
      </w:r>
      <w:proofErr w:type="spellEnd"/>
      <w:r w:rsidRPr="005D6CF3">
        <w:rPr>
          <w:rFonts w:ascii="Arial" w:hAnsi="Arial" w:cs="Arial"/>
          <w:sz w:val="24"/>
          <w:szCs w:val="24"/>
          <w:lang w:val="es-US"/>
        </w:rPr>
        <w:t xml:space="preserve"> 10 mg 1 </w:t>
      </w:r>
      <w:proofErr w:type="spellStart"/>
      <w:r w:rsidRPr="005D6CF3">
        <w:rPr>
          <w:rFonts w:ascii="Arial" w:hAnsi="Arial" w:cs="Arial"/>
          <w:sz w:val="24"/>
          <w:szCs w:val="24"/>
          <w:lang w:val="es-US"/>
        </w:rPr>
        <w:t>tab</w:t>
      </w:r>
      <w:proofErr w:type="spellEnd"/>
      <w:r w:rsidRPr="005D6CF3">
        <w:rPr>
          <w:rFonts w:ascii="Arial" w:hAnsi="Arial" w:cs="Arial"/>
          <w:sz w:val="24"/>
          <w:szCs w:val="24"/>
          <w:lang w:val="es-US"/>
        </w:rPr>
        <w:t xml:space="preserve"> cada 8h, y se recoge además el antecedente de haber sido operada de un quiste mesentérico hace dos meses.</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En esta ocasión acude refiriendo astenia marcada, repletez, náuseas y vómitos, que se acompaña de disnea a los medianos esfuerzos intensificándose hasta aparecer durante el reposo, sobre todo al decúbito y que solo alivia en posición </w:t>
      </w:r>
      <w:proofErr w:type="spellStart"/>
      <w:r w:rsidRPr="005D6CF3">
        <w:rPr>
          <w:rFonts w:ascii="Arial" w:hAnsi="Arial" w:cs="Arial"/>
          <w:sz w:val="24"/>
          <w:szCs w:val="24"/>
          <w:lang w:val="es-US"/>
        </w:rPr>
        <w:t>ortopnea</w:t>
      </w:r>
      <w:proofErr w:type="spellEnd"/>
      <w:r w:rsidRPr="005D6CF3">
        <w:rPr>
          <w:rFonts w:ascii="Arial" w:hAnsi="Arial" w:cs="Arial"/>
          <w:sz w:val="24"/>
          <w:szCs w:val="24"/>
          <w:lang w:val="es-US"/>
        </w:rPr>
        <w:t xml:space="preserve">. Al examen físico llamó la atención la presencia de edemas en ambos miembros inferiores, aparato respiratorio: matidez a la percusión, murmullo vesicular y vibraciones vocálicas ambos abolidos en dos tercios inferiores del </w:t>
      </w:r>
      <w:proofErr w:type="spellStart"/>
      <w:r w:rsidRPr="005D6CF3">
        <w:rPr>
          <w:rFonts w:ascii="Arial" w:hAnsi="Arial" w:cs="Arial"/>
          <w:sz w:val="24"/>
          <w:szCs w:val="24"/>
          <w:lang w:val="es-US"/>
        </w:rPr>
        <w:t>hemitórax</w:t>
      </w:r>
      <w:proofErr w:type="spellEnd"/>
      <w:r w:rsidRPr="005D6CF3">
        <w:rPr>
          <w:rFonts w:ascii="Arial" w:hAnsi="Arial" w:cs="Arial"/>
          <w:sz w:val="24"/>
          <w:szCs w:val="24"/>
          <w:lang w:val="es-US"/>
        </w:rPr>
        <w:t xml:space="preserve"> izquierdo, así como la exploración del abdomen arrojó: aumento de volumen (globuloso), matidez en zonas de declive y maniobra de Tarral positiva. Por todo lo anterior se planteó presuntivamente un derrame pleural izquierdo.</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Durante su estadía hospitalaria se le realizaron estudios analíticos (hematología, hemostasia y química sanguínea), mostrando cifras de interés solo los siguientes: ácido úrico: 978 μmol/L (hiperuricemia), colesterol: 6.17 </w:t>
      </w:r>
      <w:proofErr w:type="spellStart"/>
      <w:r w:rsidRPr="005D6CF3">
        <w:rPr>
          <w:rFonts w:ascii="Arial" w:hAnsi="Arial" w:cs="Arial"/>
          <w:sz w:val="24"/>
          <w:szCs w:val="24"/>
          <w:lang w:val="es-US"/>
        </w:rPr>
        <w:t>mmol</w:t>
      </w:r>
      <w:proofErr w:type="spellEnd"/>
      <w:r w:rsidRPr="005D6CF3">
        <w:rPr>
          <w:rFonts w:ascii="Arial" w:hAnsi="Arial" w:cs="Arial"/>
          <w:sz w:val="24"/>
          <w:szCs w:val="24"/>
          <w:lang w:val="es-US"/>
        </w:rPr>
        <w:t xml:space="preserve">/L y triglicéridos: 2.96 </w:t>
      </w:r>
      <w:proofErr w:type="spellStart"/>
      <w:r w:rsidRPr="005D6CF3">
        <w:rPr>
          <w:rFonts w:ascii="Arial" w:hAnsi="Arial" w:cs="Arial"/>
          <w:sz w:val="24"/>
          <w:szCs w:val="24"/>
          <w:lang w:val="es-US"/>
        </w:rPr>
        <w:t>mmol</w:t>
      </w:r>
      <w:proofErr w:type="spellEnd"/>
      <w:r w:rsidRPr="005D6CF3">
        <w:rPr>
          <w:rFonts w:ascii="Arial" w:hAnsi="Arial" w:cs="Arial"/>
          <w:sz w:val="24"/>
          <w:szCs w:val="24"/>
          <w:lang w:val="es-US"/>
        </w:rPr>
        <w:t>/L (</w:t>
      </w:r>
      <w:proofErr w:type="spellStart"/>
      <w:r w:rsidRPr="005D6CF3">
        <w:rPr>
          <w:rFonts w:ascii="Arial" w:hAnsi="Arial" w:cs="Arial"/>
          <w:sz w:val="24"/>
          <w:szCs w:val="24"/>
          <w:lang w:val="es-US"/>
        </w:rPr>
        <w:t>hipertrigliceridemia</w:t>
      </w:r>
      <w:proofErr w:type="spellEnd"/>
      <w:r w:rsidRPr="005D6CF3">
        <w:rPr>
          <w:rFonts w:ascii="Arial" w:hAnsi="Arial" w:cs="Arial"/>
          <w:sz w:val="24"/>
          <w:szCs w:val="24"/>
          <w:lang w:val="es-US"/>
        </w:rPr>
        <w:t>).</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Se realizó ultrasonido abdominal y de bases pulmonares lo cual arrojó: hígado de 147mm con </w:t>
      </w:r>
      <w:proofErr w:type="spellStart"/>
      <w:r w:rsidRPr="005D6CF3">
        <w:rPr>
          <w:rFonts w:ascii="Arial" w:hAnsi="Arial" w:cs="Arial"/>
          <w:sz w:val="24"/>
          <w:szCs w:val="24"/>
          <w:lang w:val="es-US"/>
        </w:rPr>
        <w:t>ecopatrón</w:t>
      </w:r>
      <w:proofErr w:type="spellEnd"/>
      <w:r w:rsidRPr="005D6CF3">
        <w:rPr>
          <w:rFonts w:ascii="Arial" w:hAnsi="Arial" w:cs="Arial"/>
          <w:sz w:val="24"/>
          <w:szCs w:val="24"/>
          <w:lang w:val="es-US"/>
        </w:rPr>
        <w:t xml:space="preserve"> granuloso fino. A nivel del epigastrio (línea media) se observaron imágenes </w:t>
      </w:r>
      <w:proofErr w:type="spellStart"/>
      <w:r w:rsidRPr="005D6CF3">
        <w:rPr>
          <w:rFonts w:ascii="Arial" w:hAnsi="Arial" w:cs="Arial"/>
          <w:sz w:val="24"/>
          <w:szCs w:val="24"/>
          <w:lang w:val="es-US"/>
        </w:rPr>
        <w:t>hipoecogénicas</w:t>
      </w:r>
      <w:proofErr w:type="spellEnd"/>
      <w:r w:rsidRPr="005D6CF3">
        <w:rPr>
          <w:rFonts w:ascii="Arial" w:hAnsi="Arial" w:cs="Arial"/>
          <w:sz w:val="24"/>
          <w:szCs w:val="24"/>
          <w:lang w:val="es-US"/>
        </w:rPr>
        <w:t xml:space="preserve"> de contornos regulares que se extienden desde las arterias renales hasta la bifurcación de la aorta abdominal en relación a adenopatías y/o T a ese nivel, además líquido libre en cavidad de gran cuantía. Derrame pleural derecho de pequeña cuantía e izquierdo de gran cuantía con tabique incompleto y escasa </w:t>
      </w:r>
      <w:proofErr w:type="spellStart"/>
      <w:r w:rsidRPr="005D6CF3">
        <w:rPr>
          <w:rFonts w:ascii="Arial" w:hAnsi="Arial" w:cs="Arial"/>
          <w:sz w:val="24"/>
          <w:szCs w:val="24"/>
          <w:lang w:val="es-US"/>
        </w:rPr>
        <w:t>celularidad</w:t>
      </w:r>
      <w:proofErr w:type="spellEnd"/>
      <w:r w:rsidRPr="005D6CF3">
        <w:rPr>
          <w:rFonts w:ascii="Arial" w:hAnsi="Arial" w:cs="Arial"/>
          <w:sz w:val="24"/>
          <w:szCs w:val="24"/>
          <w:lang w:val="es-US"/>
        </w:rPr>
        <w:t>.</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Ante dicho cuadro la paciente fue tratada con </w:t>
      </w:r>
      <w:proofErr w:type="spellStart"/>
      <w:r w:rsidRPr="005D6CF3">
        <w:rPr>
          <w:rFonts w:ascii="Arial" w:hAnsi="Arial" w:cs="Arial"/>
          <w:sz w:val="24"/>
          <w:szCs w:val="24"/>
          <w:lang w:val="es-US"/>
        </w:rPr>
        <w:t>antibioticoterapia</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clindamicina</w:t>
      </w:r>
      <w:proofErr w:type="spellEnd"/>
      <w:r w:rsidRPr="005D6CF3">
        <w:rPr>
          <w:rFonts w:ascii="Arial" w:hAnsi="Arial" w:cs="Arial"/>
          <w:sz w:val="24"/>
          <w:szCs w:val="24"/>
          <w:lang w:val="es-US"/>
        </w:rPr>
        <w:t xml:space="preserve"> (600mg) 1 ámpula cada 12 horas durante 7 días. Debido a que la paciente presentó una ascitis marcada observada por ultrasonido y a la exploración clínica, se le realizó paracentesis diagnóstica en la que se describe salida abundante (2500 ml) de líquido ascítico de aspecto amarillo lechoso (Figura 1).Se tomó muestra para análisis bioquímico del líquido que evidenció valores de triglicéridos en 486 mg/</w:t>
      </w:r>
      <w:proofErr w:type="spellStart"/>
      <w:r w:rsidRPr="005D6CF3">
        <w:rPr>
          <w:rFonts w:ascii="Arial" w:hAnsi="Arial" w:cs="Arial"/>
          <w:sz w:val="24"/>
          <w:szCs w:val="24"/>
          <w:lang w:val="es-US"/>
        </w:rPr>
        <w:t>dL</w:t>
      </w:r>
      <w:proofErr w:type="spellEnd"/>
      <w:r w:rsidRPr="005D6CF3">
        <w:rPr>
          <w:rFonts w:ascii="Arial" w:hAnsi="Arial" w:cs="Arial"/>
          <w:sz w:val="24"/>
          <w:szCs w:val="24"/>
          <w:lang w:val="es-US"/>
        </w:rPr>
        <w:t>, lo cual junto al antecedente de cirugía reciente confirmó el diagnóstico de ascitis quilosa.</w:t>
      </w:r>
    </w:p>
    <w:p w:rsidR="005D6CF3" w:rsidRPr="005D6CF3" w:rsidRDefault="005D6CF3" w:rsidP="005D6CF3">
      <w:pPr>
        <w:jc w:val="both"/>
        <w:rPr>
          <w:rFonts w:ascii="Arial" w:hAnsi="Arial" w:cs="Arial"/>
          <w:sz w:val="24"/>
          <w:szCs w:val="24"/>
          <w:lang w:val="es-US"/>
        </w:rPr>
      </w:pPr>
      <w:r w:rsidRPr="005D6CF3">
        <w:rPr>
          <w:rFonts w:ascii="Arial" w:hAnsi="Arial" w:cs="Arial"/>
          <w:noProof/>
          <w:sz w:val="24"/>
          <w:szCs w:val="24"/>
        </w:rPr>
        <w:lastRenderedPageBreak/>
        <w:drawing>
          <wp:inline distT="0" distB="0" distL="0" distR="0" wp14:anchorId="771E8BF1" wp14:editId="69EB83F3">
            <wp:extent cx="4309241" cy="260656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08939" cy="2606382"/>
                    </a:xfrm>
                    <a:prstGeom prst="rect">
                      <a:avLst/>
                    </a:prstGeom>
                  </pic:spPr>
                </pic:pic>
              </a:graphicData>
            </a:graphic>
          </wp:inline>
        </w:drawing>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Sobre la base del manejo ante este tipo de pacientes se llevó a cabo el tratamiento conservador indicándose dieta: hiposodica/</w:t>
      </w:r>
      <w:proofErr w:type="spellStart"/>
      <w:r w:rsidRPr="005D6CF3">
        <w:rPr>
          <w:rFonts w:ascii="Arial" w:hAnsi="Arial" w:cs="Arial"/>
          <w:sz w:val="24"/>
          <w:szCs w:val="24"/>
          <w:lang w:val="es-US"/>
        </w:rPr>
        <w:t>hipograsa</w:t>
      </w:r>
      <w:proofErr w:type="spellEnd"/>
      <w:r w:rsidRPr="005D6CF3">
        <w:rPr>
          <w:rFonts w:ascii="Arial" w:hAnsi="Arial" w:cs="Arial"/>
          <w:sz w:val="24"/>
          <w:szCs w:val="24"/>
          <w:lang w:val="es-US"/>
        </w:rPr>
        <w:t xml:space="preserve"> e </w:t>
      </w:r>
      <w:proofErr w:type="spellStart"/>
      <w:r w:rsidRPr="005D6CF3">
        <w:rPr>
          <w:rFonts w:ascii="Arial" w:hAnsi="Arial" w:cs="Arial"/>
          <w:sz w:val="24"/>
          <w:szCs w:val="24"/>
          <w:lang w:val="es-US"/>
        </w:rPr>
        <w:t>hiperproteica</w:t>
      </w:r>
      <w:proofErr w:type="spellEnd"/>
      <w:r w:rsidRPr="005D6CF3">
        <w:rPr>
          <w:rFonts w:ascii="Arial" w:hAnsi="Arial" w:cs="Arial"/>
          <w:sz w:val="24"/>
          <w:szCs w:val="24"/>
          <w:lang w:val="es-US"/>
        </w:rPr>
        <w:t>. Recibió tratamiento con diuréticos: de asa (furosemida (20 mg) 2 ámpulas cada 8 horas endovenoso diluido) y ahorradores de potasio  (espironolactona (25 mg) 3 tabletas cada 12 horas vía oral). También se indicó vitaminoterapia: vitamina B</w:t>
      </w:r>
      <w:r w:rsidRPr="005D6CF3">
        <w:rPr>
          <w:rFonts w:ascii="Arial" w:hAnsi="Arial" w:cs="Arial"/>
          <w:sz w:val="24"/>
          <w:szCs w:val="24"/>
          <w:vertAlign w:val="subscript"/>
          <w:lang w:val="es-US"/>
        </w:rPr>
        <w:t xml:space="preserve">12 </w:t>
      </w:r>
      <w:r w:rsidRPr="005D6CF3">
        <w:rPr>
          <w:rFonts w:ascii="Arial" w:hAnsi="Arial" w:cs="Arial"/>
          <w:sz w:val="24"/>
          <w:szCs w:val="24"/>
          <w:lang w:val="es-US"/>
        </w:rPr>
        <w:t xml:space="preserve">(100mg) 2cc intramuscular diario. Con el empleo de estas medidas se logró una evolución clínica favorable con reducción gradual del perímetro abdominal y mejoría de la sintomatología, lo cual permitió que la paciente fuera dada de alta a los 6 días del ingreso hospitalario.  </w:t>
      </w:r>
    </w:p>
    <w:p w:rsidR="005D6CF3" w:rsidRPr="005D6CF3" w:rsidRDefault="005D6CF3" w:rsidP="005D6CF3">
      <w:pPr>
        <w:jc w:val="both"/>
        <w:rPr>
          <w:rFonts w:ascii="Arial" w:hAnsi="Arial" w:cs="Arial"/>
          <w:b/>
          <w:sz w:val="24"/>
          <w:szCs w:val="24"/>
          <w:lang w:val="es-US"/>
        </w:rPr>
      </w:pPr>
      <w:r w:rsidRPr="005D6CF3">
        <w:rPr>
          <w:rFonts w:ascii="Arial" w:hAnsi="Arial" w:cs="Arial"/>
          <w:b/>
          <w:sz w:val="24"/>
          <w:szCs w:val="24"/>
          <w:lang w:val="es-US"/>
        </w:rPr>
        <w:t>Discusión:</w:t>
      </w:r>
    </w:p>
    <w:p w:rsidR="005D6CF3" w:rsidRPr="005D6CF3" w:rsidRDefault="005D6CF3" w:rsidP="005D6CF3">
      <w:pPr>
        <w:jc w:val="both"/>
        <w:rPr>
          <w:rFonts w:ascii="Arial" w:hAnsi="Arial" w:cs="Arial"/>
          <w:sz w:val="24"/>
          <w:szCs w:val="24"/>
          <w:vertAlign w:val="superscript"/>
          <w:lang w:val="es-US"/>
        </w:rPr>
      </w:pPr>
      <w:r w:rsidRPr="005D6CF3">
        <w:rPr>
          <w:rFonts w:ascii="Arial" w:hAnsi="Arial" w:cs="Arial"/>
          <w:sz w:val="24"/>
          <w:szCs w:val="24"/>
          <w:lang w:val="es-US"/>
        </w:rPr>
        <w:t xml:space="preserve">La AQ es una afección que aunque esporádicamente se presente, su causa habitual en población adulta es la obstrucción por neoplasias abdominales. Entre otras causas descritas se pueden citar: traumatismos abdominales, pancreatitis, radioterapia o secundaria a cirugía abdominal. En relación a esta última, su incidencia es del 0,3-11%, asociado a  amplias </w:t>
      </w:r>
      <w:proofErr w:type="spellStart"/>
      <w:r w:rsidRPr="005D6CF3">
        <w:rPr>
          <w:rFonts w:ascii="Arial" w:hAnsi="Arial" w:cs="Arial"/>
          <w:sz w:val="24"/>
          <w:szCs w:val="24"/>
          <w:lang w:val="es-US"/>
        </w:rPr>
        <w:t>linfadenectomías</w:t>
      </w:r>
      <w:proofErr w:type="spellEnd"/>
      <w:r w:rsidRPr="005D6CF3">
        <w:rPr>
          <w:rFonts w:ascii="Arial" w:hAnsi="Arial" w:cs="Arial"/>
          <w:sz w:val="24"/>
          <w:szCs w:val="24"/>
          <w:lang w:val="es-US"/>
        </w:rPr>
        <w:t xml:space="preserve"> retroperitoneales o con cirugía aórtica.</w:t>
      </w:r>
      <w:r w:rsidRPr="005D6CF3">
        <w:rPr>
          <w:rFonts w:ascii="Arial" w:hAnsi="Arial" w:cs="Arial"/>
          <w:sz w:val="24"/>
          <w:szCs w:val="24"/>
          <w:vertAlign w:val="superscript"/>
          <w:lang w:val="es-US"/>
        </w:rPr>
        <w:t xml:space="preserve"> (6)</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Existen varios estudios de AQ en la literatura revisada que coinciden con la actual investigación, respecto a la aparición de la enfermedad tras intervención quirúrgica. Tal es el caso de </w:t>
      </w:r>
      <w:proofErr w:type="spellStart"/>
      <w:r w:rsidRPr="005D6CF3">
        <w:rPr>
          <w:rFonts w:ascii="Arial" w:hAnsi="Arial" w:cs="Arial"/>
          <w:sz w:val="24"/>
          <w:szCs w:val="24"/>
          <w:lang w:val="es-US"/>
        </w:rPr>
        <w:t>Vilar</w:t>
      </w:r>
      <w:proofErr w:type="spellEnd"/>
      <w:r w:rsidRPr="005D6CF3">
        <w:rPr>
          <w:rFonts w:ascii="Arial" w:hAnsi="Arial" w:cs="Arial"/>
          <w:sz w:val="24"/>
          <w:szCs w:val="24"/>
          <w:lang w:val="es-US"/>
        </w:rPr>
        <w:t xml:space="preserve"> Tabanera et al </w:t>
      </w:r>
      <w:r w:rsidRPr="005D6CF3">
        <w:rPr>
          <w:rFonts w:ascii="Arial" w:hAnsi="Arial" w:cs="Arial"/>
          <w:sz w:val="24"/>
          <w:szCs w:val="24"/>
          <w:vertAlign w:val="superscript"/>
          <w:lang w:val="es-US"/>
        </w:rPr>
        <w:t>(8)</w:t>
      </w:r>
      <w:r w:rsidRPr="005D6CF3">
        <w:rPr>
          <w:rFonts w:ascii="Arial" w:hAnsi="Arial" w:cs="Arial"/>
          <w:sz w:val="24"/>
          <w:szCs w:val="24"/>
          <w:lang w:val="es-US"/>
        </w:rPr>
        <w:t xml:space="preserve">, quienes reportaron el caso de un paciente de 77 años con AQ tres semanas después de habérsele  realizado colecistectomía laparoscópica programada por </w:t>
      </w:r>
      <w:proofErr w:type="spellStart"/>
      <w:r w:rsidRPr="005D6CF3">
        <w:rPr>
          <w:rFonts w:ascii="Arial" w:hAnsi="Arial" w:cs="Arial"/>
          <w:sz w:val="24"/>
          <w:szCs w:val="24"/>
          <w:lang w:val="es-US"/>
        </w:rPr>
        <w:t>colecistolitiasis</w:t>
      </w:r>
      <w:proofErr w:type="spellEnd"/>
      <w:r w:rsidRPr="005D6CF3">
        <w:rPr>
          <w:rFonts w:ascii="Arial" w:hAnsi="Arial" w:cs="Arial"/>
          <w:sz w:val="24"/>
          <w:szCs w:val="24"/>
          <w:lang w:val="es-US"/>
        </w:rPr>
        <w:t xml:space="preserve"> sintomática. Otro estudio </w:t>
      </w:r>
      <w:r w:rsidRPr="005D6CF3">
        <w:rPr>
          <w:rFonts w:ascii="Arial" w:hAnsi="Arial" w:cs="Arial"/>
          <w:sz w:val="24"/>
          <w:szCs w:val="24"/>
          <w:vertAlign w:val="superscript"/>
          <w:lang w:val="es-US"/>
        </w:rPr>
        <w:t>(8)</w:t>
      </w:r>
      <w:r w:rsidRPr="005D6CF3">
        <w:rPr>
          <w:rFonts w:ascii="Arial" w:hAnsi="Arial" w:cs="Arial"/>
          <w:sz w:val="24"/>
          <w:szCs w:val="24"/>
          <w:lang w:val="es-US"/>
        </w:rPr>
        <w:t xml:space="preserve"> de autores chilenos  describió un caso de una paciente de 39 años a la cual se le realizó  resección de tumor retroperitoneal quístico vía laparoscópica, descrito sin incidentes, la cual tres semanas posterior a la intervención quirúrgica presentó aumento progresivo del perímetro abdominal, con dolor difuso y saciedad </w:t>
      </w:r>
      <w:r w:rsidRPr="005D6CF3">
        <w:rPr>
          <w:rFonts w:ascii="Arial" w:hAnsi="Arial" w:cs="Arial"/>
          <w:sz w:val="24"/>
          <w:szCs w:val="24"/>
          <w:lang w:val="es-US"/>
        </w:rPr>
        <w:lastRenderedPageBreak/>
        <w:t xml:space="preserve">precoz, se le realizó paracentesis diagnóstica  y se planteó AQ. La paciente del caso en cuestión luego de </w:t>
      </w:r>
      <w:proofErr w:type="gramStart"/>
      <w:r w:rsidRPr="005D6CF3">
        <w:rPr>
          <w:rFonts w:ascii="Arial" w:hAnsi="Arial" w:cs="Arial"/>
          <w:sz w:val="24"/>
          <w:szCs w:val="24"/>
          <w:lang w:val="es-US"/>
        </w:rPr>
        <w:t>transcurrido</w:t>
      </w:r>
      <w:proofErr w:type="gramEnd"/>
      <w:r w:rsidRPr="005D6CF3">
        <w:rPr>
          <w:rFonts w:ascii="Arial" w:hAnsi="Arial" w:cs="Arial"/>
          <w:sz w:val="24"/>
          <w:szCs w:val="24"/>
          <w:lang w:val="es-US"/>
        </w:rPr>
        <w:t xml:space="preserve"> dos meses del posoperatorio le fue diagnosticada la AQ.</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La evaluación diagnóstica inicial debe ser objetiva, enfocando todos los estudios para ascitis basados en una  apropiada historia clínica, realizar una exploración física completa y hacer énfasis en antecedentes quirúrgicos, viajes (aspectos endémicos), traumas, enfermedades hepatorenales de base, así como antecedentes patológicos familiares.</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Se hará necesaria la realización de paracentesis diagnóstica como primer recurso; considerado como lo más importante en la evaluación y tratamiento de la ascitis. Su estudio incluye análisis bacteriológico, recuento celular, cultivos, tinciones, concentraciones de proteínas totales, albúmina, triglicéridos, colesterol, glucosa, lactato deshidrogenasas y amilasa. En dicho análisis bioquímico del líquido que suele tener aspecto lechoso, destaca una cifra de triglicéridos superior a 200 mg/</w:t>
      </w:r>
      <w:proofErr w:type="spellStart"/>
      <w:r w:rsidRPr="005D6CF3">
        <w:rPr>
          <w:rFonts w:ascii="Arial" w:hAnsi="Arial" w:cs="Arial"/>
          <w:sz w:val="24"/>
          <w:szCs w:val="24"/>
          <w:lang w:val="es-US"/>
        </w:rPr>
        <w:t>dL</w:t>
      </w:r>
      <w:proofErr w:type="spellEnd"/>
      <w:r w:rsidRPr="005D6CF3">
        <w:rPr>
          <w:rFonts w:ascii="Arial" w:hAnsi="Arial" w:cs="Arial"/>
          <w:sz w:val="24"/>
          <w:szCs w:val="24"/>
          <w:lang w:val="es-US"/>
        </w:rPr>
        <w:t>, con aumento de proteínas y PH alcalino,</w:t>
      </w:r>
      <w:r w:rsidRPr="005D6CF3">
        <w:rPr>
          <w:rFonts w:ascii="Arial" w:hAnsi="Arial" w:cs="Arial"/>
          <w:sz w:val="24"/>
          <w:szCs w:val="24"/>
          <w:vertAlign w:val="superscript"/>
          <w:lang w:val="es-US"/>
        </w:rPr>
        <w:t xml:space="preserve"> (7,9,10)</w:t>
      </w:r>
      <w:r w:rsidRPr="005D6CF3">
        <w:rPr>
          <w:rFonts w:ascii="Arial" w:hAnsi="Arial" w:cs="Arial"/>
          <w:sz w:val="24"/>
          <w:szCs w:val="24"/>
          <w:lang w:val="es-US"/>
        </w:rPr>
        <w:t xml:space="preserve"> lo cual se encuentra en correspondencia al caso informado al presentar valores aumentados de triglicéridos, lo cual apoyó el diagnóstico de la afección. </w:t>
      </w:r>
    </w:p>
    <w:p w:rsidR="005D6CF3" w:rsidRPr="005D6CF3" w:rsidRDefault="005D6CF3" w:rsidP="005D6CF3">
      <w:pPr>
        <w:jc w:val="both"/>
        <w:rPr>
          <w:rFonts w:ascii="Arial" w:hAnsi="Arial" w:cs="Arial"/>
          <w:sz w:val="24"/>
          <w:szCs w:val="24"/>
          <w:vertAlign w:val="superscript"/>
          <w:lang w:val="es-US"/>
        </w:rPr>
      </w:pPr>
      <w:r w:rsidRPr="005D6CF3">
        <w:rPr>
          <w:rFonts w:ascii="Arial" w:hAnsi="Arial" w:cs="Arial"/>
          <w:sz w:val="24"/>
          <w:szCs w:val="24"/>
          <w:lang w:val="es-US"/>
        </w:rPr>
        <w:t xml:space="preserve">Para el estudio radiológico serán utilizados: la ecografía de abdomen mediante la cual se diagnostica la presencia de líquido;  la tomografía computada de abdomen contrastada; la que  ayudará a identificar la presencia de enfermedad </w:t>
      </w:r>
      <w:proofErr w:type="spellStart"/>
      <w:r w:rsidRPr="005D6CF3">
        <w:rPr>
          <w:rFonts w:ascii="Arial" w:hAnsi="Arial" w:cs="Arial"/>
          <w:sz w:val="24"/>
          <w:szCs w:val="24"/>
          <w:lang w:val="es-US"/>
        </w:rPr>
        <w:t>intraabdominal</w:t>
      </w:r>
      <w:proofErr w:type="spellEnd"/>
      <w:r w:rsidRPr="005D6CF3">
        <w:rPr>
          <w:rFonts w:ascii="Arial" w:hAnsi="Arial" w:cs="Arial"/>
          <w:sz w:val="24"/>
          <w:szCs w:val="24"/>
          <w:lang w:val="es-US"/>
        </w:rPr>
        <w:t xml:space="preserve">, evalúa el mediastino, </w:t>
      </w:r>
      <w:proofErr w:type="spellStart"/>
      <w:r w:rsidRPr="005D6CF3">
        <w:rPr>
          <w:rFonts w:ascii="Arial" w:hAnsi="Arial" w:cs="Arial"/>
          <w:sz w:val="24"/>
          <w:szCs w:val="24"/>
          <w:lang w:val="es-US"/>
        </w:rPr>
        <w:t>linfadenopatías</w:t>
      </w:r>
      <w:proofErr w:type="spellEnd"/>
      <w:r w:rsidRPr="005D6CF3">
        <w:rPr>
          <w:rFonts w:ascii="Arial" w:hAnsi="Arial" w:cs="Arial"/>
          <w:sz w:val="24"/>
          <w:szCs w:val="24"/>
          <w:lang w:val="es-US"/>
        </w:rPr>
        <w:t xml:space="preserve"> y masas; y la  resonancia magnética nuclear considerada superior a la tomografía para demostrar </w:t>
      </w:r>
      <w:proofErr w:type="spellStart"/>
      <w:r w:rsidRPr="005D6CF3">
        <w:rPr>
          <w:rFonts w:ascii="Arial" w:hAnsi="Arial" w:cs="Arial"/>
          <w:sz w:val="24"/>
          <w:szCs w:val="24"/>
          <w:lang w:val="es-US"/>
        </w:rPr>
        <w:t>carcinomatosis</w:t>
      </w:r>
      <w:proofErr w:type="spellEnd"/>
      <w:r w:rsidRPr="005D6CF3">
        <w:rPr>
          <w:rFonts w:ascii="Arial" w:hAnsi="Arial" w:cs="Arial"/>
          <w:sz w:val="24"/>
          <w:szCs w:val="24"/>
          <w:lang w:val="es-US"/>
        </w:rPr>
        <w:t xml:space="preserve"> peritoneal. Otros estudios como la </w:t>
      </w:r>
      <w:proofErr w:type="spellStart"/>
      <w:r w:rsidRPr="005D6CF3">
        <w:rPr>
          <w:rFonts w:ascii="Arial" w:hAnsi="Arial" w:cs="Arial"/>
          <w:sz w:val="24"/>
          <w:szCs w:val="24"/>
          <w:lang w:val="es-US"/>
        </w:rPr>
        <w:t>linfangiografía</w:t>
      </w:r>
      <w:proofErr w:type="spellEnd"/>
      <w:r w:rsidRPr="005D6CF3">
        <w:rPr>
          <w:rFonts w:ascii="Arial" w:hAnsi="Arial" w:cs="Arial"/>
          <w:sz w:val="24"/>
          <w:szCs w:val="24"/>
          <w:lang w:val="es-US"/>
        </w:rPr>
        <w:t xml:space="preserve"> (considerada el </w:t>
      </w:r>
      <w:proofErr w:type="spellStart"/>
      <w:r w:rsidRPr="005D6CF3">
        <w:rPr>
          <w:rFonts w:ascii="Arial" w:hAnsi="Arial" w:cs="Arial"/>
          <w:sz w:val="24"/>
          <w:szCs w:val="24"/>
          <w:lang w:val="es-US"/>
        </w:rPr>
        <w:t>gold</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standard</w:t>
      </w:r>
      <w:proofErr w:type="spellEnd"/>
      <w:r w:rsidRPr="005D6CF3">
        <w:rPr>
          <w:rFonts w:ascii="Arial" w:hAnsi="Arial" w:cs="Arial"/>
          <w:sz w:val="24"/>
          <w:szCs w:val="24"/>
          <w:lang w:val="es-US"/>
        </w:rPr>
        <w:t xml:space="preserve"> para definir los casos de obstrucción) y la  </w:t>
      </w:r>
      <w:proofErr w:type="spellStart"/>
      <w:r w:rsidRPr="005D6CF3">
        <w:rPr>
          <w:rFonts w:ascii="Arial" w:hAnsi="Arial" w:cs="Arial"/>
          <w:sz w:val="24"/>
          <w:szCs w:val="24"/>
          <w:lang w:val="es-US"/>
        </w:rPr>
        <w:t>linfoescintigrafía</w:t>
      </w:r>
      <w:proofErr w:type="spellEnd"/>
      <w:r w:rsidRPr="005D6CF3">
        <w:rPr>
          <w:rFonts w:ascii="Arial" w:hAnsi="Arial" w:cs="Arial"/>
          <w:sz w:val="24"/>
          <w:szCs w:val="24"/>
          <w:lang w:val="es-US"/>
        </w:rPr>
        <w:t xml:space="preserve"> son de gran valor en la detección de ganglios anormales de </w:t>
      </w:r>
      <w:proofErr w:type="spellStart"/>
      <w:r w:rsidRPr="005D6CF3">
        <w:rPr>
          <w:rFonts w:ascii="Arial" w:hAnsi="Arial" w:cs="Arial"/>
          <w:sz w:val="24"/>
          <w:szCs w:val="24"/>
          <w:lang w:val="es-US"/>
        </w:rPr>
        <w:t>retroperitoneo</w:t>
      </w:r>
      <w:proofErr w:type="spellEnd"/>
      <w:r w:rsidRPr="005D6CF3">
        <w:rPr>
          <w:rFonts w:ascii="Arial" w:hAnsi="Arial" w:cs="Arial"/>
          <w:sz w:val="24"/>
          <w:szCs w:val="24"/>
          <w:lang w:val="es-US"/>
        </w:rPr>
        <w:t xml:space="preserve">, fugas, fistulización y permeabilidad del conducto torácico. </w:t>
      </w:r>
      <w:r w:rsidRPr="005D6CF3">
        <w:rPr>
          <w:rFonts w:ascii="Arial" w:hAnsi="Arial" w:cs="Arial"/>
          <w:sz w:val="24"/>
          <w:szCs w:val="24"/>
          <w:vertAlign w:val="superscript"/>
          <w:lang w:val="es-US"/>
        </w:rPr>
        <w:t>8</w:t>
      </w:r>
      <w:proofErr w:type="gramStart"/>
      <w:r w:rsidRPr="005D6CF3">
        <w:rPr>
          <w:rFonts w:ascii="Arial" w:hAnsi="Arial" w:cs="Arial"/>
          <w:sz w:val="24"/>
          <w:szCs w:val="24"/>
          <w:vertAlign w:val="superscript"/>
          <w:lang w:val="es-US"/>
        </w:rPr>
        <w:t>,9,10</w:t>
      </w:r>
      <w:proofErr w:type="gramEnd"/>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Descrito por diversos autores el tratamiento conservador es el más ampliamente utilizado y resulta eficaz en la mayoría de los pacientes. Este estará dirigido al mantenimiento óptimo del balance nutricional, reponiendo la pérdida de fluidos, electrolitos y nutrientes y disminuyendo la producción de quilo.</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Se recomienda una dieta con alto contenido de proteínas y baja en grasas, basada en triglicéridos de cadena mediana. Estos se absorben en forma rápida y eficiente, a nivel del intestino delgado y son  transportados hacia el hígado por vía portal, sin ser incorporados a quilomicrones. Su rápida absorción en la circulación portal reduce la producción y el flujo de quilo. Con el empleo de estas medidas se ha reportado el cierre espontáneo de fístulas o defectos de vasos linfáticos en 75%-80%. Es importante señalar que el 95% de la grasa dietética está compuesta por </w:t>
      </w:r>
      <w:r w:rsidRPr="005D6CF3">
        <w:rPr>
          <w:rFonts w:ascii="Arial" w:hAnsi="Arial" w:cs="Arial"/>
          <w:sz w:val="24"/>
          <w:szCs w:val="24"/>
          <w:lang w:val="es-US"/>
        </w:rPr>
        <w:lastRenderedPageBreak/>
        <w:t>triglicéridos de cadena larga, por lo que el tratamiento nutricional está basado en la limitación de su ingesta, ya que estos forman parte de los quilomicrones que son transportados a través de la linfa.</w:t>
      </w:r>
      <w:r w:rsidRPr="005D6CF3">
        <w:rPr>
          <w:rFonts w:ascii="Arial" w:hAnsi="Arial" w:cs="Arial"/>
          <w:sz w:val="24"/>
          <w:szCs w:val="24"/>
          <w:vertAlign w:val="superscript"/>
          <w:lang w:val="es-US"/>
        </w:rPr>
        <w:t>11,12,13,14</w:t>
      </w:r>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Uribe M. J, et al </w:t>
      </w:r>
      <w:r w:rsidRPr="005D6CF3">
        <w:rPr>
          <w:rFonts w:ascii="Arial" w:hAnsi="Arial" w:cs="Arial"/>
          <w:sz w:val="24"/>
          <w:szCs w:val="24"/>
          <w:vertAlign w:val="superscript"/>
          <w:lang w:val="es-US"/>
        </w:rPr>
        <w:t>9</w:t>
      </w:r>
      <w:r w:rsidRPr="005D6CF3">
        <w:rPr>
          <w:rFonts w:ascii="Arial" w:hAnsi="Arial" w:cs="Arial"/>
          <w:sz w:val="24"/>
          <w:szCs w:val="24"/>
          <w:lang w:val="es-US"/>
        </w:rPr>
        <w:t xml:space="preserve"> describe que el uso de fármacos como los diuréticos en conjunto con el manejo nutricional </w:t>
      </w:r>
      <w:proofErr w:type="gramStart"/>
      <w:r w:rsidRPr="005D6CF3">
        <w:rPr>
          <w:rFonts w:ascii="Arial" w:hAnsi="Arial" w:cs="Arial"/>
          <w:sz w:val="24"/>
          <w:szCs w:val="24"/>
          <w:lang w:val="es-US"/>
        </w:rPr>
        <w:t>constituyen</w:t>
      </w:r>
      <w:proofErr w:type="gramEnd"/>
      <w:r w:rsidRPr="005D6CF3">
        <w:rPr>
          <w:rFonts w:ascii="Arial" w:hAnsi="Arial" w:cs="Arial"/>
          <w:sz w:val="24"/>
          <w:szCs w:val="24"/>
          <w:lang w:val="es-US"/>
        </w:rPr>
        <w:t xml:space="preserve"> el primer peldaño en el manejo de la ascitis quilosa. Cuyo objetivo es facilitar la excreción de volumen y reducir la formación de ascitis, al igual que en un paciente con ascitis secundaria a hipertensión portal. Los autores coinciden respecto a lo señalado en dicha investigación, ya que con el empleo de esta terapéutica la paciente del caso tratado mostró una satisfactoria evolución, siendo posible emplear específicamente los diuréticos de asa y ahorradores de potasio.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Han sido utilizados también la somatostatina y análogos de la misma, como el octreótido con el fin de disminuir la absorción de grasas y el flujo </w:t>
      </w:r>
      <w:proofErr w:type="spellStart"/>
      <w:r w:rsidRPr="005D6CF3">
        <w:rPr>
          <w:rFonts w:ascii="Arial" w:hAnsi="Arial" w:cs="Arial"/>
          <w:sz w:val="24"/>
          <w:szCs w:val="24"/>
          <w:lang w:val="es-US"/>
        </w:rPr>
        <w:t>esplácnico</w:t>
      </w:r>
      <w:proofErr w:type="spellEnd"/>
      <w:r w:rsidRPr="005D6CF3">
        <w:rPr>
          <w:rFonts w:ascii="Arial" w:hAnsi="Arial" w:cs="Arial"/>
          <w:sz w:val="24"/>
          <w:szCs w:val="24"/>
          <w:lang w:val="es-US"/>
        </w:rPr>
        <w:t>, a pesar de que  no existan ensayos clínicos que contrasten su eficacia y seguridad. La somatostatina tiene una vida media muy corta de 1-2 minutos, por lo que debe ser pautada en perfusión continua, por el contrario el octreótido tiene una vida media más larga por lo que puede pautarse de</w:t>
      </w:r>
      <w:r w:rsidRPr="005D6CF3">
        <w:rPr>
          <w:rFonts w:ascii="Arial" w:hAnsi="Arial" w:cs="Arial"/>
          <w:sz w:val="24"/>
          <w:szCs w:val="24"/>
          <w:lang w:val="es-US"/>
        </w:rPr>
        <w:tab/>
        <w:t>forma</w:t>
      </w:r>
      <w:r w:rsidRPr="005D6CF3">
        <w:rPr>
          <w:rFonts w:ascii="Arial" w:hAnsi="Arial" w:cs="Arial"/>
          <w:sz w:val="24"/>
          <w:szCs w:val="24"/>
          <w:lang w:val="es-US"/>
        </w:rPr>
        <w:tab/>
        <w:t>subcutánea cada 8 horas.</w:t>
      </w:r>
      <w:r w:rsidRPr="005D6CF3">
        <w:rPr>
          <w:rFonts w:ascii="Arial" w:hAnsi="Arial" w:cs="Arial"/>
          <w:sz w:val="24"/>
          <w:szCs w:val="24"/>
          <w:vertAlign w:val="superscript"/>
          <w:lang w:val="es-US"/>
        </w:rPr>
        <w:t>7</w:t>
      </w:r>
      <w:proofErr w:type="gramStart"/>
      <w:r w:rsidRPr="005D6CF3">
        <w:rPr>
          <w:rFonts w:ascii="Arial" w:hAnsi="Arial" w:cs="Arial"/>
          <w:sz w:val="24"/>
          <w:szCs w:val="24"/>
          <w:vertAlign w:val="superscript"/>
          <w:lang w:val="es-US"/>
        </w:rPr>
        <w:t>,12,13,14</w:t>
      </w:r>
      <w:proofErr w:type="gramEnd"/>
    </w:p>
    <w:p w:rsidR="005D6CF3" w:rsidRPr="005D6CF3" w:rsidRDefault="005D6CF3" w:rsidP="005D6CF3">
      <w:pPr>
        <w:jc w:val="both"/>
        <w:rPr>
          <w:rFonts w:ascii="Arial" w:hAnsi="Arial" w:cs="Arial"/>
          <w:sz w:val="24"/>
          <w:szCs w:val="24"/>
          <w:vertAlign w:val="superscript"/>
          <w:lang w:val="es-US"/>
        </w:rPr>
      </w:pPr>
      <w:r w:rsidRPr="005D6CF3">
        <w:rPr>
          <w:rFonts w:ascii="Arial" w:hAnsi="Arial" w:cs="Arial"/>
          <w:sz w:val="24"/>
          <w:szCs w:val="24"/>
          <w:lang w:val="es-US"/>
        </w:rPr>
        <w:t xml:space="preserve">Ante el fracaso de las medidas previas, se recomienda reposo intestinal para reducir el flujo linfático e iniciar nutrición parenteral, que es superior a la nutrición enteral. </w:t>
      </w:r>
      <w:r w:rsidRPr="005D6CF3">
        <w:rPr>
          <w:rFonts w:ascii="Arial" w:hAnsi="Arial" w:cs="Arial"/>
          <w:sz w:val="24"/>
          <w:szCs w:val="24"/>
          <w:vertAlign w:val="superscript"/>
          <w:lang w:val="es-US"/>
        </w:rPr>
        <w:t>10,13</w:t>
      </w:r>
      <w:r w:rsidRPr="005D6CF3">
        <w:rPr>
          <w:rFonts w:ascii="Arial" w:hAnsi="Arial" w:cs="Arial"/>
          <w:sz w:val="24"/>
          <w:szCs w:val="24"/>
          <w:lang w:val="es-US"/>
        </w:rPr>
        <w:t xml:space="preserve"> De igual manera como otra estrategia terapéutica se plantea la intervención quirúrgica cuyas opciones serían: el </w:t>
      </w:r>
      <w:proofErr w:type="spellStart"/>
      <w:r w:rsidRPr="005D6CF3">
        <w:rPr>
          <w:rFonts w:ascii="Arial" w:hAnsi="Arial" w:cs="Arial"/>
          <w:sz w:val="24"/>
          <w:szCs w:val="24"/>
          <w:lang w:val="es-US"/>
        </w:rPr>
        <w:t>shunt</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peritoneovenoso</w:t>
      </w:r>
      <w:proofErr w:type="spellEnd"/>
      <w:r w:rsidRPr="005D6CF3">
        <w:rPr>
          <w:rFonts w:ascii="Arial" w:hAnsi="Arial" w:cs="Arial"/>
          <w:sz w:val="24"/>
          <w:szCs w:val="24"/>
          <w:lang w:val="es-US"/>
        </w:rPr>
        <w:t>, el cierre de la fístula o la resección intestinal.</w:t>
      </w:r>
      <w:r w:rsidRPr="005D6CF3">
        <w:rPr>
          <w:rFonts w:ascii="Arial" w:hAnsi="Arial" w:cs="Arial"/>
          <w:sz w:val="24"/>
          <w:szCs w:val="24"/>
          <w:vertAlign w:val="superscript"/>
          <w:lang w:val="es-US"/>
        </w:rPr>
        <w:t>6</w:t>
      </w:r>
    </w:p>
    <w:p w:rsidR="005D6CF3" w:rsidRPr="005D6CF3" w:rsidRDefault="005D6CF3" w:rsidP="005D6CF3">
      <w:pPr>
        <w:jc w:val="both"/>
        <w:rPr>
          <w:rFonts w:ascii="Arial" w:hAnsi="Arial" w:cs="Arial"/>
          <w:b/>
          <w:sz w:val="24"/>
          <w:szCs w:val="24"/>
          <w:lang w:val="es-US"/>
        </w:rPr>
      </w:pPr>
      <w:r w:rsidRPr="005D6CF3">
        <w:rPr>
          <w:rFonts w:ascii="Arial" w:hAnsi="Arial" w:cs="Arial"/>
          <w:b/>
          <w:sz w:val="24"/>
          <w:szCs w:val="24"/>
          <w:lang w:val="es-US"/>
        </w:rPr>
        <w:t>Conclusiones:</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La AQ es una patología esporádica y para su diagnóstico es imprescindible una anamnesis y exploración física completa. Por ello ante su sospecha se debe hacer énfasis en las causas de la misma, sobre todo si su aparición es posterior a terapias intervencionistas. Un manejo óptimo estaría encaminado al tratamiento conservador basado en la terapia nutricional (de elección por su alta tasa de eficacia), el cual debe ser iniciado lo antes posible al diagnosticarse la afección, debido a las consecuencias de esta enfermedad y que puedan poner en riesgo la vida del paciente.</w:t>
      </w:r>
    </w:p>
    <w:p w:rsidR="005D6CF3" w:rsidRPr="005D6CF3" w:rsidRDefault="005D6CF3" w:rsidP="005D6CF3">
      <w:pPr>
        <w:jc w:val="both"/>
        <w:rPr>
          <w:rFonts w:ascii="Arial" w:hAnsi="Arial" w:cs="Arial"/>
          <w:b/>
          <w:sz w:val="24"/>
          <w:szCs w:val="24"/>
          <w:lang w:val="es-US"/>
        </w:rPr>
      </w:pPr>
      <w:r w:rsidRPr="005D6CF3">
        <w:rPr>
          <w:rFonts w:ascii="Arial" w:hAnsi="Arial" w:cs="Arial"/>
          <w:b/>
          <w:sz w:val="24"/>
          <w:szCs w:val="24"/>
          <w:lang w:val="es-US"/>
        </w:rPr>
        <w:t>REFERENCIAS BIBLIOGRÁFICAS:</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1. Castillo Franco F, Marín Ríos DF, Linares Tovar F, Osorio Peláez A. Ascitis quilosa postraumática tratada con nutrición parenteral total y octreótido. </w:t>
      </w:r>
      <w:proofErr w:type="spellStart"/>
      <w:r w:rsidRPr="005D6CF3">
        <w:rPr>
          <w:rFonts w:ascii="Arial" w:hAnsi="Arial" w:cs="Arial"/>
          <w:sz w:val="24"/>
          <w:szCs w:val="24"/>
          <w:lang w:val="es-US"/>
        </w:rPr>
        <w:t>Rev</w:t>
      </w:r>
      <w:proofErr w:type="spellEnd"/>
      <w:r w:rsidRPr="005D6CF3">
        <w:rPr>
          <w:rFonts w:ascii="Arial" w:hAnsi="Arial" w:cs="Arial"/>
          <w:sz w:val="24"/>
          <w:szCs w:val="24"/>
          <w:lang w:val="es-US"/>
        </w:rPr>
        <w:t xml:space="preserve"> Cubana </w:t>
      </w:r>
      <w:proofErr w:type="spellStart"/>
      <w:r w:rsidRPr="005D6CF3">
        <w:rPr>
          <w:rFonts w:ascii="Arial" w:hAnsi="Arial" w:cs="Arial"/>
          <w:sz w:val="24"/>
          <w:szCs w:val="24"/>
          <w:lang w:val="es-US"/>
        </w:rPr>
        <w:t>Cir</w:t>
      </w:r>
      <w:proofErr w:type="spellEnd"/>
      <w:r w:rsidRPr="005D6CF3">
        <w:rPr>
          <w:rFonts w:ascii="Arial" w:hAnsi="Arial" w:cs="Arial"/>
          <w:sz w:val="24"/>
          <w:szCs w:val="24"/>
          <w:lang w:val="es-US"/>
        </w:rPr>
        <w:t xml:space="preserve"> [serie en Internet]. 2018 [citado 03 Jul 2022]; 57(1):1-7. Disponible en: </w:t>
      </w:r>
      <w:hyperlink r:id="rId10" w:history="1">
        <w:r w:rsidRPr="005D6CF3">
          <w:rPr>
            <w:rStyle w:val="Hipervnculo"/>
            <w:rFonts w:ascii="Arial" w:hAnsi="Arial" w:cs="Arial"/>
            <w:sz w:val="24"/>
            <w:szCs w:val="24"/>
            <w:lang w:val="es-US"/>
          </w:rPr>
          <w:t>http://scielo.sld.cu/scielo.php?script=sci_arttext&amp;pid=S0034-74932018000300010&amp;lng=es</w:t>
        </w:r>
      </w:hyperlink>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2. Burgos JM, Páez DM, Hincapié MA, Fernández PA, Escobar MF. Quiloperitoneo espontáneo en el embarazo. </w:t>
      </w:r>
      <w:proofErr w:type="spellStart"/>
      <w:r w:rsidRPr="005D6CF3">
        <w:rPr>
          <w:rFonts w:ascii="Arial" w:hAnsi="Arial" w:cs="Arial"/>
          <w:sz w:val="24"/>
          <w:szCs w:val="24"/>
          <w:lang w:val="es-US"/>
        </w:rPr>
        <w:t>Rev</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Colomb</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Cir</w:t>
      </w:r>
      <w:proofErr w:type="spellEnd"/>
      <w:r w:rsidRPr="005D6CF3">
        <w:rPr>
          <w:rFonts w:ascii="Arial" w:hAnsi="Arial" w:cs="Arial"/>
          <w:sz w:val="24"/>
          <w:szCs w:val="24"/>
          <w:lang w:val="es-US"/>
        </w:rPr>
        <w:t xml:space="preserve"> [serie en Internet]. 2020 [citado 04 Jul 2022]; 35(1): 119-122. Disponible en: </w:t>
      </w:r>
      <w:hyperlink r:id="rId11" w:history="1">
        <w:r w:rsidRPr="005D6CF3">
          <w:rPr>
            <w:rStyle w:val="Hipervnculo"/>
            <w:rFonts w:ascii="Arial" w:hAnsi="Arial" w:cs="Arial"/>
            <w:sz w:val="24"/>
            <w:szCs w:val="24"/>
            <w:lang w:val="es-US"/>
          </w:rPr>
          <w:t>http://www.scielo.org.co/scielo.php?script=sci_arttext&amp;pid=S2011-75822020000100119&amp;lng=en</w:t>
        </w:r>
      </w:hyperlink>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3. Sánchez Sobrino P, Rodríguez Cañete BL, Díaz </w:t>
      </w:r>
      <w:proofErr w:type="spellStart"/>
      <w:r w:rsidRPr="005D6CF3">
        <w:rPr>
          <w:rFonts w:ascii="Arial" w:hAnsi="Arial" w:cs="Arial"/>
          <w:sz w:val="24"/>
          <w:szCs w:val="24"/>
          <w:lang w:val="es-US"/>
        </w:rPr>
        <w:t>Trastoy</w:t>
      </w:r>
      <w:proofErr w:type="spellEnd"/>
      <w:r w:rsidRPr="005D6CF3">
        <w:rPr>
          <w:rFonts w:ascii="Arial" w:hAnsi="Arial" w:cs="Arial"/>
          <w:sz w:val="24"/>
          <w:szCs w:val="24"/>
          <w:lang w:val="es-US"/>
        </w:rPr>
        <w:t xml:space="preserve"> O, Vázquez Temprano N, Murcia </w:t>
      </w:r>
      <w:proofErr w:type="spellStart"/>
      <w:r w:rsidRPr="005D6CF3">
        <w:rPr>
          <w:rFonts w:ascii="Arial" w:hAnsi="Arial" w:cs="Arial"/>
          <w:sz w:val="24"/>
          <w:szCs w:val="24"/>
          <w:lang w:val="es-US"/>
        </w:rPr>
        <w:t>Murcia</w:t>
      </w:r>
      <w:proofErr w:type="spellEnd"/>
      <w:r w:rsidRPr="005D6CF3">
        <w:rPr>
          <w:rFonts w:ascii="Arial" w:hAnsi="Arial" w:cs="Arial"/>
          <w:sz w:val="24"/>
          <w:szCs w:val="24"/>
          <w:lang w:val="es-US"/>
        </w:rPr>
        <w:t xml:space="preserve"> C, </w:t>
      </w:r>
      <w:proofErr w:type="spellStart"/>
      <w:r w:rsidRPr="005D6CF3">
        <w:rPr>
          <w:rFonts w:ascii="Arial" w:hAnsi="Arial" w:cs="Arial"/>
          <w:sz w:val="24"/>
          <w:szCs w:val="24"/>
          <w:lang w:val="es-US"/>
        </w:rPr>
        <w:t>Rodeiro</w:t>
      </w:r>
      <w:proofErr w:type="spellEnd"/>
      <w:r w:rsidRPr="005D6CF3">
        <w:rPr>
          <w:rFonts w:ascii="Arial" w:hAnsi="Arial" w:cs="Arial"/>
          <w:sz w:val="24"/>
          <w:szCs w:val="24"/>
          <w:lang w:val="es-US"/>
        </w:rPr>
        <w:t xml:space="preserve"> Marta SE. Manejo de la ascitis quilosa y revisión de la literatura. </w:t>
      </w:r>
      <w:proofErr w:type="spellStart"/>
      <w:r w:rsidRPr="005D6CF3">
        <w:rPr>
          <w:rFonts w:ascii="Arial" w:hAnsi="Arial" w:cs="Arial"/>
          <w:sz w:val="24"/>
          <w:szCs w:val="24"/>
          <w:lang w:val="es-US"/>
        </w:rPr>
        <w:t>Nutr</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Clín</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Diet</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Hosp</w:t>
      </w:r>
      <w:proofErr w:type="spellEnd"/>
      <w:r w:rsidRPr="005D6CF3">
        <w:rPr>
          <w:rFonts w:ascii="Arial" w:hAnsi="Arial" w:cs="Arial"/>
          <w:sz w:val="24"/>
          <w:szCs w:val="24"/>
          <w:lang w:val="es-US"/>
        </w:rPr>
        <w:t xml:space="preserve"> [serie en Internet]. 2022[citado 03 Jul 2022]; 42(1):126-133. Disponible en: </w:t>
      </w:r>
      <w:hyperlink r:id="rId12" w:history="1">
        <w:r w:rsidRPr="005D6CF3">
          <w:rPr>
            <w:rStyle w:val="Hipervnculo"/>
            <w:rFonts w:ascii="Arial" w:hAnsi="Arial" w:cs="Arial"/>
            <w:sz w:val="24"/>
            <w:szCs w:val="24"/>
            <w:lang w:val="es-US"/>
          </w:rPr>
          <w:t>https://revista.nutricion.org/index.php/ncdh/article/view/222/202</w:t>
        </w:r>
      </w:hyperlink>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4. Valenzuela  MJ, </w:t>
      </w:r>
      <w:proofErr w:type="spellStart"/>
      <w:r w:rsidRPr="005D6CF3">
        <w:rPr>
          <w:rFonts w:ascii="Arial" w:hAnsi="Arial" w:cs="Arial"/>
          <w:sz w:val="24"/>
          <w:szCs w:val="24"/>
          <w:lang w:val="es-US"/>
        </w:rPr>
        <w:t>Jofré</w:t>
      </w:r>
      <w:proofErr w:type="spellEnd"/>
      <w:r w:rsidRPr="005D6CF3">
        <w:rPr>
          <w:rFonts w:ascii="Arial" w:hAnsi="Arial" w:cs="Arial"/>
          <w:sz w:val="24"/>
          <w:szCs w:val="24"/>
          <w:lang w:val="es-US"/>
        </w:rPr>
        <w:t xml:space="preserve"> P, </w:t>
      </w:r>
      <w:proofErr w:type="spellStart"/>
      <w:r w:rsidRPr="005D6CF3">
        <w:rPr>
          <w:rFonts w:ascii="Arial" w:hAnsi="Arial" w:cs="Arial"/>
          <w:sz w:val="24"/>
          <w:szCs w:val="24"/>
          <w:lang w:val="es-US"/>
        </w:rPr>
        <w:t>Reimer</w:t>
      </w:r>
      <w:proofErr w:type="spellEnd"/>
      <w:r w:rsidRPr="005D6CF3">
        <w:rPr>
          <w:rFonts w:ascii="Arial" w:hAnsi="Arial" w:cs="Arial"/>
          <w:sz w:val="24"/>
          <w:szCs w:val="24"/>
          <w:lang w:val="es-US"/>
        </w:rPr>
        <w:t xml:space="preserve"> C, Valdés S, </w:t>
      </w:r>
      <w:proofErr w:type="spellStart"/>
      <w:r w:rsidRPr="005D6CF3">
        <w:rPr>
          <w:rFonts w:ascii="Arial" w:hAnsi="Arial" w:cs="Arial"/>
          <w:sz w:val="24"/>
          <w:szCs w:val="24"/>
          <w:lang w:val="es-US"/>
        </w:rPr>
        <w:t>Grassi</w:t>
      </w:r>
      <w:proofErr w:type="spellEnd"/>
      <w:r w:rsidRPr="005D6CF3">
        <w:rPr>
          <w:rFonts w:ascii="Arial" w:hAnsi="Arial" w:cs="Arial"/>
          <w:sz w:val="24"/>
          <w:szCs w:val="24"/>
          <w:lang w:val="es-US"/>
        </w:rPr>
        <w:t xml:space="preserve"> B. Manejo nutricional de ascitis quilosa: Serie de casos y revisión de la literatura. Rev. </w:t>
      </w:r>
      <w:proofErr w:type="spellStart"/>
      <w:proofErr w:type="gramStart"/>
      <w:r w:rsidRPr="005D6CF3">
        <w:rPr>
          <w:rFonts w:ascii="Arial" w:hAnsi="Arial" w:cs="Arial"/>
          <w:sz w:val="24"/>
          <w:szCs w:val="24"/>
          <w:lang w:val="es-US"/>
        </w:rPr>
        <w:t>chil</w:t>
      </w:r>
      <w:proofErr w:type="spellEnd"/>
      <w:proofErr w:type="gramEnd"/>
      <w:r w:rsidRPr="005D6CF3">
        <w:rPr>
          <w:rFonts w:ascii="Arial" w:hAnsi="Arial" w:cs="Arial"/>
          <w:sz w:val="24"/>
          <w:szCs w:val="24"/>
          <w:lang w:val="es-US"/>
        </w:rPr>
        <w:t xml:space="preserve">. </w:t>
      </w:r>
      <w:proofErr w:type="spellStart"/>
      <w:proofErr w:type="gramStart"/>
      <w:r w:rsidRPr="005D6CF3">
        <w:rPr>
          <w:rFonts w:ascii="Arial" w:hAnsi="Arial" w:cs="Arial"/>
          <w:sz w:val="24"/>
          <w:szCs w:val="24"/>
          <w:lang w:val="es-US"/>
        </w:rPr>
        <w:t>nutr</w:t>
      </w:r>
      <w:proofErr w:type="spellEnd"/>
      <w:proofErr w:type="gramEnd"/>
      <w:r w:rsidRPr="005D6CF3">
        <w:rPr>
          <w:rFonts w:ascii="Arial" w:hAnsi="Arial" w:cs="Arial"/>
          <w:sz w:val="24"/>
          <w:szCs w:val="24"/>
          <w:lang w:val="es-US"/>
        </w:rPr>
        <w:t>.  [</w:t>
      </w:r>
      <w:proofErr w:type="gramStart"/>
      <w:r w:rsidRPr="005D6CF3">
        <w:rPr>
          <w:rFonts w:ascii="Arial" w:hAnsi="Arial" w:cs="Arial"/>
          <w:sz w:val="24"/>
          <w:szCs w:val="24"/>
          <w:lang w:val="es-US"/>
        </w:rPr>
        <w:t>serie</w:t>
      </w:r>
      <w:proofErr w:type="gramEnd"/>
      <w:r w:rsidRPr="005D6CF3">
        <w:rPr>
          <w:rFonts w:ascii="Arial" w:hAnsi="Arial" w:cs="Arial"/>
          <w:sz w:val="24"/>
          <w:szCs w:val="24"/>
          <w:lang w:val="es-US"/>
        </w:rPr>
        <w:t xml:space="preserve"> en Internet ]. 2020 [citado 03 Jul 2022];  47(6): 1038-1042. Disponible en: </w:t>
      </w:r>
      <w:hyperlink r:id="rId13" w:history="1">
        <w:r w:rsidRPr="005D6CF3">
          <w:rPr>
            <w:rStyle w:val="Hipervnculo"/>
            <w:rFonts w:ascii="Arial" w:hAnsi="Arial" w:cs="Arial"/>
            <w:sz w:val="24"/>
            <w:szCs w:val="24"/>
            <w:lang w:val="es-US"/>
          </w:rPr>
          <w:t>http://www.scielo.cl/scielo.php?script=sci_arttext&amp;pid=S0717-75182020000601038&amp;lng=es</w:t>
        </w:r>
      </w:hyperlink>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5. Vera Portilla AF, Arenas </w:t>
      </w:r>
      <w:proofErr w:type="spellStart"/>
      <w:r w:rsidRPr="005D6CF3">
        <w:rPr>
          <w:rFonts w:ascii="Arial" w:hAnsi="Arial" w:cs="Arial"/>
          <w:sz w:val="24"/>
          <w:szCs w:val="24"/>
          <w:lang w:val="es-US"/>
        </w:rPr>
        <w:t>Ramirez</w:t>
      </w:r>
      <w:proofErr w:type="spellEnd"/>
      <w:r w:rsidRPr="005D6CF3">
        <w:rPr>
          <w:rFonts w:ascii="Arial" w:hAnsi="Arial" w:cs="Arial"/>
          <w:sz w:val="24"/>
          <w:szCs w:val="24"/>
          <w:lang w:val="es-US"/>
        </w:rPr>
        <w:t xml:space="preserve"> R, Quispe Ala P, Vera Portilla W, Galdós JL, Cornejo Valencia D. Abdomen agudo por ascitis quilosa secundaria a pancreatitis aguda: reporte de un caso. Acta </w:t>
      </w:r>
      <w:proofErr w:type="spellStart"/>
      <w:r w:rsidRPr="005D6CF3">
        <w:rPr>
          <w:rFonts w:ascii="Arial" w:hAnsi="Arial" w:cs="Arial"/>
          <w:sz w:val="24"/>
          <w:szCs w:val="24"/>
          <w:lang w:val="es-US"/>
        </w:rPr>
        <w:t>Med</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Peru</w:t>
      </w:r>
      <w:proofErr w:type="spellEnd"/>
      <w:r w:rsidRPr="005D6CF3">
        <w:rPr>
          <w:rFonts w:ascii="Arial" w:hAnsi="Arial" w:cs="Arial"/>
          <w:sz w:val="24"/>
          <w:szCs w:val="24"/>
          <w:lang w:val="es-US"/>
        </w:rPr>
        <w:t xml:space="preserve">  [serie en Internet]. 2021 [citado 03 Jul 2022];  38(3): 210-218. Disponible en: </w:t>
      </w:r>
      <w:hyperlink r:id="rId14" w:history="1">
        <w:r w:rsidRPr="005D6CF3">
          <w:rPr>
            <w:rStyle w:val="Hipervnculo"/>
            <w:rFonts w:ascii="Arial" w:hAnsi="Arial" w:cs="Arial"/>
            <w:sz w:val="24"/>
            <w:szCs w:val="24"/>
            <w:lang w:val="es-US"/>
          </w:rPr>
          <w:t>http://www.scielo.org.pe/scielo.php?script=sci_arttext&amp;pid=S1728-59172021000300210&amp;lng=es</w:t>
        </w:r>
      </w:hyperlink>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6. Suárez Sánchez A, Fernández Hevia M, Díaz Vico T, García </w:t>
      </w:r>
      <w:proofErr w:type="spellStart"/>
      <w:r w:rsidRPr="005D6CF3">
        <w:rPr>
          <w:rFonts w:ascii="Arial" w:hAnsi="Arial" w:cs="Arial"/>
          <w:sz w:val="24"/>
          <w:szCs w:val="24"/>
          <w:lang w:val="es-US"/>
        </w:rPr>
        <w:t>Munar</w:t>
      </w:r>
      <w:proofErr w:type="spellEnd"/>
      <w:r w:rsidRPr="005D6CF3">
        <w:rPr>
          <w:rFonts w:ascii="Arial" w:hAnsi="Arial" w:cs="Arial"/>
          <w:sz w:val="24"/>
          <w:szCs w:val="24"/>
          <w:lang w:val="es-US"/>
        </w:rPr>
        <w:t xml:space="preserve"> M, García Gutiérrez C, Fernández Martínez D, et al. </w:t>
      </w:r>
      <w:proofErr w:type="spellStart"/>
      <w:r w:rsidRPr="005D6CF3">
        <w:rPr>
          <w:rFonts w:ascii="Arial" w:hAnsi="Arial" w:cs="Arial"/>
          <w:sz w:val="24"/>
          <w:szCs w:val="24"/>
          <w:lang w:val="es-US"/>
        </w:rPr>
        <w:t>Linfografía</w:t>
      </w:r>
      <w:proofErr w:type="spellEnd"/>
      <w:r w:rsidRPr="005D6CF3">
        <w:rPr>
          <w:rFonts w:ascii="Arial" w:hAnsi="Arial" w:cs="Arial"/>
          <w:sz w:val="24"/>
          <w:szCs w:val="24"/>
          <w:lang w:val="es-US"/>
        </w:rPr>
        <w:t xml:space="preserve"> como opción diagnóstica y terapéutica en la fuga quilosa posoperatoria de cáncer </w:t>
      </w:r>
      <w:proofErr w:type="spellStart"/>
      <w:r w:rsidRPr="005D6CF3">
        <w:rPr>
          <w:rFonts w:ascii="Arial" w:hAnsi="Arial" w:cs="Arial"/>
          <w:sz w:val="24"/>
          <w:szCs w:val="24"/>
          <w:lang w:val="es-US"/>
        </w:rPr>
        <w:t>colorrectal</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Cir</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Cir</w:t>
      </w:r>
      <w:proofErr w:type="spellEnd"/>
      <w:r w:rsidRPr="005D6CF3">
        <w:rPr>
          <w:rFonts w:ascii="Arial" w:hAnsi="Arial" w:cs="Arial"/>
          <w:sz w:val="24"/>
          <w:szCs w:val="24"/>
          <w:lang w:val="es-US"/>
        </w:rPr>
        <w:t xml:space="preserve"> [serie en Internet]. 2020  [citado 05 Jul 2022];  88(2): 43-46. Disponible en: </w:t>
      </w:r>
      <w:hyperlink r:id="rId15" w:history="1">
        <w:r w:rsidRPr="005D6CF3">
          <w:rPr>
            <w:rStyle w:val="Hipervnculo"/>
            <w:rFonts w:ascii="Arial" w:hAnsi="Arial" w:cs="Arial"/>
            <w:sz w:val="24"/>
            <w:szCs w:val="24"/>
            <w:lang w:val="es-US"/>
          </w:rPr>
          <w:t>http://www.scielo.org.mx/scielo.php?script=sci_arttext&amp;pid=S2444-054X2020000800043&amp;lng=es</w:t>
        </w:r>
      </w:hyperlink>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7. Odriozola </w:t>
      </w:r>
      <w:proofErr w:type="spellStart"/>
      <w:r w:rsidRPr="005D6CF3">
        <w:rPr>
          <w:rFonts w:ascii="Arial" w:hAnsi="Arial" w:cs="Arial"/>
          <w:sz w:val="24"/>
          <w:szCs w:val="24"/>
          <w:lang w:val="es-US"/>
        </w:rPr>
        <w:t>Guitart</w:t>
      </w:r>
      <w:proofErr w:type="spellEnd"/>
      <w:r w:rsidRPr="005D6CF3">
        <w:rPr>
          <w:rFonts w:ascii="Arial" w:hAnsi="Arial" w:cs="Arial"/>
          <w:sz w:val="24"/>
          <w:szCs w:val="24"/>
          <w:lang w:val="es-US"/>
        </w:rPr>
        <w:t xml:space="preserve"> A, Treviño González J. Causas infrecuentes de ascitis: Reporte de 5 casos. </w:t>
      </w:r>
      <w:proofErr w:type="spellStart"/>
      <w:r w:rsidRPr="005D6CF3">
        <w:rPr>
          <w:rFonts w:ascii="Arial" w:hAnsi="Arial" w:cs="Arial"/>
          <w:sz w:val="24"/>
          <w:szCs w:val="24"/>
          <w:lang w:val="es-US"/>
        </w:rPr>
        <w:t>Rev</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haban</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cienc</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méd</w:t>
      </w:r>
      <w:proofErr w:type="spellEnd"/>
      <w:r w:rsidRPr="005D6CF3">
        <w:rPr>
          <w:rFonts w:ascii="Arial" w:hAnsi="Arial" w:cs="Arial"/>
          <w:sz w:val="24"/>
          <w:szCs w:val="24"/>
          <w:lang w:val="es-US"/>
        </w:rPr>
        <w:t xml:space="preserve"> [serie en Internet]. 2021      [citado 05 Jul 2022]; 20(5):e4392. Disponible en: </w:t>
      </w:r>
      <w:hyperlink r:id="rId16" w:history="1">
        <w:r w:rsidRPr="005D6CF3">
          <w:rPr>
            <w:rStyle w:val="Hipervnculo"/>
            <w:rFonts w:ascii="Arial" w:hAnsi="Arial" w:cs="Arial"/>
            <w:sz w:val="24"/>
            <w:szCs w:val="24"/>
            <w:lang w:val="es-US"/>
          </w:rPr>
          <w:t>http://www.revhabanera.sld.cu/index.php/rhab/article/view/4392</w:t>
        </w:r>
      </w:hyperlink>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8. </w:t>
      </w:r>
      <w:proofErr w:type="spellStart"/>
      <w:r w:rsidRPr="005D6CF3">
        <w:rPr>
          <w:rFonts w:ascii="Arial" w:hAnsi="Arial" w:cs="Arial"/>
          <w:sz w:val="24"/>
          <w:szCs w:val="24"/>
          <w:lang w:val="es-US"/>
        </w:rPr>
        <w:t>Vilar</w:t>
      </w:r>
      <w:proofErr w:type="spellEnd"/>
      <w:r w:rsidRPr="005D6CF3">
        <w:rPr>
          <w:rFonts w:ascii="Arial" w:hAnsi="Arial" w:cs="Arial"/>
          <w:sz w:val="24"/>
          <w:szCs w:val="24"/>
          <w:lang w:val="es-US"/>
        </w:rPr>
        <w:t xml:space="preserve"> Tabanera A, García Angarita Francisco, Mendía Conde E, Gómez Ramírez J. Ascitis quilosa tras colecistectomía. Presentación de un caso. Rev. </w:t>
      </w:r>
      <w:proofErr w:type="spellStart"/>
      <w:r w:rsidRPr="005D6CF3">
        <w:rPr>
          <w:rFonts w:ascii="Arial" w:hAnsi="Arial" w:cs="Arial"/>
          <w:sz w:val="24"/>
          <w:szCs w:val="24"/>
          <w:lang w:val="es-US"/>
        </w:rPr>
        <w:t>cir.</w:t>
      </w:r>
      <w:proofErr w:type="spellEnd"/>
      <w:r w:rsidRPr="005D6CF3">
        <w:rPr>
          <w:rFonts w:ascii="Arial" w:hAnsi="Arial" w:cs="Arial"/>
          <w:sz w:val="24"/>
          <w:szCs w:val="24"/>
          <w:lang w:val="es-US"/>
        </w:rPr>
        <w:t xml:space="preserve">  [</w:t>
      </w:r>
      <w:proofErr w:type="gramStart"/>
      <w:r w:rsidRPr="005D6CF3">
        <w:rPr>
          <w:rFonts w:ascii="Arial" w:hAnsi="Arial" w:cs="Arial"/>
          <w:sz w:val="24"/>
          <w:szCs w:val="24"/>
          <w:lang w:val="es-US"/>
        </w:rPr>
        <w:t>serie</w:t>
      </w:r>
      <w:proofErr w:type="gramEnd"/>
      <w:r w:rsidRPr="005D6CF3">
        <w:rPr>
          <w:rFonts w:ascii="Arial" w:hAnsi="Arial" w:cs="Arial"/>
          <w:sz w:val="24"/>
          <w:szCs w:val="24"/>
          <w:lang w:val="es-US"/>
        </w:rPr>
        <w:t xml:space="preserve"> en Internet]. 2019 [citado 03 Jul 2022];  71(3): 253-256. Disponible en: </w:t>
      </w:r>
      <w:hyperlink r:id="rId17" w:history="1">
        <w:r w:rsidRPr="005D6CF3">
          <w:rPr>
            <w:rStyle w:val="Hipervnculo"/>
            <w:rFonts w:ascii="Arial" w:hAnsi="Arial" w:cs="Arial"/>
            <w:sz w:val="24"/>
            <w:szCs w:val="24"/>
            <w:lang w:val="es-US"/>
          </w:rPr>
          <w:t>http://www.scielo.cl/scielo.php?script=sci_arttext&amp;pid=S2452-45492019000300253&amp;lng=es</w:t>
        </w:r>
      </w:hyperlink>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9. Uribe M. J, Sepúlveda C. R, Cruz N. R, </w:t>
      </w:r>
      <w:proofErr w:type="spellStart"/>
      <w:r w:rsidRPr="005D6CF3">
        <w:rPr>
          <w:rFonts w:ascii="Arial" w:hAnsi="Arial" w:cs="Arial"/>
          <w:sz w:val="24"/>
          <w:szCs w:val="24"/>
          <w:lang w:val="es-US"/>
        </w:rPr>
        <w:t>Illanes</w:t>
      </w:r>
      <w:proofErr w:type="spellEnd"/>
      <w:r w:rsidRPr="005D6CF3">
        <w:rPr>
          <w:rFonts w:ascii="Arial" w:hAnsi="Arial" w:cs="Arial"/>
          <w:sz w:val="24"/>
          <w:szCs w:val="24"/>
          <w:lang w:val="es-US"/>
        </w:rPr>
        <w:t xml:space="preserve"> C. P,  </w:t>
      </w:r>
      <w:proofErr w:type="spellStart"/>
      <w:r w:rsidRPr="005D6CF3">
        <w:rPr>
          <w:rFonts w:ascii="Arial" w:hAnsi="Arial" w:cs="Arial"/>
          <w:sz w:val="24"/>
          <w:szCs w:val="24"/>
          <w:lang w:val="es-US"/>
        </w:rPr>
        <w:t>Trucco</w:t>
      </w:r>
      <w:proofErr w:type="spellEnd"/>
      <w:r w:rsidRPr="005D6CF3">
        <w:rPr>
          <w:rFonts w:ascii="Arial" w:hAnsi="Arial" w:cs="Arial"/>
          <w:sz w:val="24"/>
          <w:szCs w:val="24"/>
          <w:lang w:val="es-US"/>
        </w:rPr>
        <w:t xml:space="preserve"> B. C, Le Roy O.C, et al. Ascitis quilosa post cirugía abdominal: caso clínico y revisión de la literatura. </w:t>
      </w:r>
      <w:proofErr w:type="spellStart"/>
      <w:r w:rsidRPr="005D6CF3">
        <w:rPr>
          <w:rFonts w:ascii="Arial" w:hAnsi="Arial" w:cs="Arial"/>
          <w:sz w:val="24"/>
          <w:szCs w:val="24"/>
          <w:lang w:val="es-US"/>
        </w:rPr>
        <w:t>Gastroenterol</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Latinoam</w:t>
      </w:r>
      <w:proofErr w:type="spellEnd"/>
      <w:r w:rsidRPr="005D6CF3">
        <w:rPr>
          <w:rFonts w:ascii="Arial" w:hAnsi="Arial" w:cs="Arial"/>
          <w:sz w:val="24"/>
          <w:szCs w:val="24"/>
          <w:lang w:val="es-US"/>
        </w:rPr>
        <w:t xml:space="preserve"> [serie en Internet]. 2018 [citado 03 Jul 2022];  29(4): 193-199. Disponible en: </w:t>
      </w:r>
      <w:hyperlink r:id="rId18" w:history="1">
        <w:r w:rsidRPr="005D6CF3">
          <w:rPr>
            <w:rStyle w:val="Hipervnculo"/>
            <w:rFonts w:ascii="Arial" w:hAnsi="Arial" w:cs="Arial"/>
            <w:sz w:val="24"/>
            <w:szCs w:val="24"/>
            <w:lang w:val="es-US"/>
          </w:rPr>
          <w:t>https://pesquisa.bvsalud.org/portal/resource/esSiqueira/biblio-1117388</w:t>
        </w:r>
      </w:hyperlink>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10. Flores Cruz G, </w:t>
      </w:r>
      <w:proofErr w:type="spellStart"/>
      <w:r w:rsidRPr="005D6CF3">
        <w:rPr>
          <w:rFonts w:ascii="Arial" w:hAnsi="Arial" w:cs="Arial"/>
          <w:sz w:val="24"/>
          <w:szCs w:val="24"/>
          <w:lang w:val="es-US"/>
        </w:rPr>
        <w:t>Aguila</w:t>
      </w:r>
      <w:proofErr w:type="spellEnd"/>
      <w:r w:rsidRPr="005D6CF3">
        <w:rPr>
          <w:rFonts w:ascii="Arial" w:hAnsi="Arial" w:cs="Arial"/>
          <w:sz w:val="24"/>
          <w:szCs w:val="24"/>
          <w:lang w:val="es-US"/>
        </w:rPr>
        <w:t xml:space="preserve"> Gómez MV, Lazo Vargas A, Marconi Poma ER. Ascitis quilosa o quiloperitoneo, un desafío diagnóstico y un reto en el tratamiento conservador para el cirujano general: presentación de un caso y revisión de la literatura. Rev. </w:t>
      </w:r>
      <w:proofErr w:type="spellStart"/>
      <w:r w:rsidRPr="005D6CF3">
        <w:rPr>
          <w:rFonts w:ascii="Arial" w:hAnsi="Arial" w:cs="Arial"/>
          <w:sz w:val="24"/>
          <w:szCs w:val="24"/>
          <w:lang w:val="es-US"/>
        </w:rPr>
        <w:t>Méd</w:t>
      </w:r>
      <w:proofErr w:type="spellEnd"/>
      <w:r w:rsidRPr="005D6CF3">
        <w:rPr>
          <w:rFonts w:ascii="Arial" w:hAnsi="Arial" w:cs="Arial"/>
          <w:sz w:val="24"/>
          <w:szCs w:val="24"/>
          <w:lang w:val="es-US"/>
        </w:rPr>
        <w:t xml:space="preserve">. La Paz  [serie en Internet]. 2021  [citado 03 Jul 2022];  27(1): 47-53. Disponible en: </w:t>
      </w:r>
      <w:hyperlink r:id="rId19" w:history="1">
        <w:r w:rsidRPr="005D6CF3">
          <w:rPr>
            <w:rStyle w:val="Hipervnculo"/>
            <w:rFonts w:ascii="Arial" w:hAnsi="Arial" w:cs="Arial"/>
            <w:sz w:val="24"/>
            <w:szCs w:val="24"/>
            <w:lang w:val="es-US"/>
          </w:rPr>
          <w:t>http://www.scielo.org.bo/scielo.php?script=sci_arttext&amp;pid=S1726-89582021000100008&amp;lng=es</w:t>
        </w:r>
      </w:hyperlink>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11. Silva M, Torres J. Quiloascitis y </w:t>
      </w:r>
      <w:proofErr w:type="spellStart"/>
      <w:r w:rsidRPr="005D6CF3">
        <w:rPr>
          <w:rFonts w:ascii="Arial" w:hAnsi="Arial" w:cs="Arial"/>
          <w:sz w:val="24"/>
          <w:szCs w:val="24"/>
          <w:lang w:val="es-US"/>
        </w:rPr>
        <w:t>quilotórax</w:t>
      </w:r>
      <w:proofErr w:type="spellEnd"/>
      <w:r w:rsidRPr="005D6CF3">
        <w:rPr>
          <w:rFonts w:ascii="Arial" w:hAnsi="Arial" w:cs="Arial"/>
          <w:sz w:val="24"/>
          <w:szCs w:val="24"/>
          <w:lang w:val="es-US"/>
        </w:rPr>
        <w:t xml:space="preserve"> bilateral. </w:t>
      </w:r>
      <w:proofErr w:type="spellStart"/>
      <w:r w:rsidRPr="005D6CF3">
        <w:rPr>
          <w:rFonts w:ascii="Arial" w:hAnsi="Arial" w:cs="Arial"/>
          <w:sz w:val="24"/>
          <w:szCs w:val="24"/>
          <w:lang w:val="es-US"/>
        </w:rPr>
        <w:t>Med</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Int</w:t>
      </w:r>
      <w:proofErr w:type="spellEnd"/>
      <w:r w:rsidRPr="005D6CF3">
        <w:rPr>
          <w:rFonts w:ascii="Arial" w:hAnsi="Arial" w:cs="Arial"/>
          <w:sz w:val="24"/>
          <w:szCs w:val="24"/>
          <w:lang w:val="es-US"/>
        </w:rPr>
        <w:t xml:space="preserve"> </w:t>
      </w:r>
      <w:proofErr w:type="spellStart"/>
      <w:r w:rsidRPr="005D6CF3">
        <w:rPr>
          <w:rFonts w:ascii="Arial" w:hAnsi="Arial" w:cs="Arial"/>
          <w:sz w:val="24"/>
          <w:szCs w:val="24"/>
          <w:lang w:val="es-US"/>
        </w:rPr>
        <w:t>Méx</w:t>
      </w:r>
      <w:proofErr w:type="spellEnd"/>
      <w:r w:rsidRPr="005D6CF3">
        <w:rPr>
          <w:rFonts w:ascii="Arial" w:hAnsi="Arial" w:cs="Arial"/>
          <w:sz w:val="24"/>
          <w:szCs w:val="24"/>
          <w:lang w:val="es-US"/>
        </w:rPr>
        <w:t xml:space="preserve"> [serie en Internet]. 2018 [citado 03 Jul 2022]; 34(5):815-820.Disponible en: </w:t>
      </w:r>
      <w:hyperlink r:id="rId20" w:history="1">
        <w:r w:rsidRPr="005D6CF3">
          <w:rPr>
            <w:rStyle w:val="Hipervnculo"/>
            <w:rFonts w:ascii="Arial" w:hAnsi="Arial" w:cs="Arial"/>
            <w:sz w:val="24"/>
            <w:szCs w:val="24"/>
            <w:lang w:val="es-US"/>
          </w:rPr>
          <w:t>http://www.scielo.org.mx/scielo.php?pid=S0186-48662018000500019&amp;script=sci_arttext</w:t>
        </w:r>
      </w:hyperlink>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12. Roa </w:t>
      </w:r>
      <w:proofErr w:type="spellStart"/>
      <w:r w:rsidRPr="005D6CF3">
        <w:rPr>
          <w:rFonts w:ascii="Arial" w:hAnsi="Arial" w:cs="Arial"/>
          <w:sz w:val="24"/>
          <w:szCs w:val="24"/>
          <w:lang w:val="es-US"/>
        </w:rPr>
        <w:t>Colomo</w:t>
      </w:r>
      <w:proofErr w:type="spellEnd"/>
      <w:r w:rsidRPr="005D6CF3">
        <w:rPr>
          <w:rFonts w:ascii="Arial" w:hAnsi="Arial" w:cs="Arial"/>
          <w:sz w:val="24"/>
          <w:szCs w:val="24"/>
          <w:lang w:val="es-US"/>
        </w:rPr>
        <w:t xml:space="preserve"> A, Caballero Mateos A, Vidal Vílchez B, </w:t>
      </w:r>
      <w:proofErr w:type="spellStart"/>
      <w:r w:rsidRPr="005D6CF3">
        <w:rPr>
          <w:rFonts w:ascii="Arial" w:hAnsi="Arial" w:cs="Arial"/>
          <w:sz w:val="24"/>
          <w:szCs w:val="24"/>
          <w:lang w:val="es-US"/>
        </w:rPr>
        <w:t>Cervilla</w:t>
      </w:r>
      <w:proofErr w:type="spellEnd"/>
      <w:r w:rsidRPr="005D6CF3">
        <w:rPr>
          <w:rFonts w:ascii="Arial" w:hAnsi="Arial" w:cs="Arial"/>
          <w:sz w:val="24"/>
          <w:szCs w:val="24"/>
          <w:lang w:val="es-US"/>
        </w:rPr>
        <w:t xml:space="preserve"> Sáez de Tejada E. Varón de 60 años que debuta con ascitis quilosa. RAPD Online [serie en Internet]. 2021[citado 03 Jul 2022]; 44(2):69-71. Disponible en: </w:t>
      </w:r>
      <w:hyperlink r:id="rId21" w:history="1">
        <w:r w:rsidRPr="005D6CF3">
          <w:rPr>
            <w:rStyle w:val="Hipervnculo"/>
            <w:rFonts w:ascii="Arial" w:hAnsi="Arial" w:cs="Arial"/>
            <w:sz w:val="24"/>
            <w:szCs w:val="24"/>
            <w:lang w:val="es-US"/>
          </w:rPr>
          <w:t>https://www.sapd.es/revista/2021/44/2/07</w:t>
        </w:r>
      </w:hyperlink>
      <w:r w:rsidRPr="005D6CF3">
        <w:rPr>
          <w:rFonts w:ascii="Arial" w:hAnsi="Arial" w:cs="Arial"/>
          <w:sz w:val="24"/>
          <w:szCs w:val="24"/>
          <w:lang w:val="es-US"/>
        </w:rPr>
        <w:t xml:space="preserve">.  </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13. Rodríguez Sánchez MP, Hurtado Uriarte M, Andrés Díaz Ruiz JE, Vergara C, Cuestas JA, Otálora Esteban M et al. Quiloperitoneo en diálisis peritoneal: reporte de caso y revisión de la literatura. Rev. </w:t>
      </w:r>
      <w:proofErr w:type="spellStart"/>
      <w:proofErr w:type="gramStart"/>
      <w:r w:rsidRPr="005D6CF3">
        <w:rPr>
          <w:rFonts w:ascii="Arial" w:hAnsi="Arial" w:cs="Arial"/>
          <w:sz w:val="24"/>
          <w:szCs w:val="24"/>
          <w:lang w:val="es-US"/>
        </w:rPr>
        <w:t>nefrol</w:t>
      </w:r>
      <w:proofErr w:type="spellEnd"/>
      <w:proofErr w:type="gramEnd"/>
      <w:r w:rsidRPr="005D6CF3">
        <w:rPr>
          <w:rFonts w:ascii="Arial" w:hAnsi="Arial" w:cs="Arial"/>
          <w:sz w:val="24"/>
          <w:szCs w:val="24"/>
          <w:lang w:val="es-US"/>
        </w:rPr>
        <w:t xml:space="preserve">. </w:t>
      </w:r>
      <w:proofErr w:type="gramStart"/>
      <w:r w:rsidRPr="005D6CF3">
        <w:rPr>
          <w:rFonts w:ascii="Arial" w:hAnsi="Arial" w:cs="Arial"/>
          <w:sz w:val="24"/>
          <w:szCs w:val="24"/>
          <w:lang w:val="es-US"/>
        </w:rPr>
        <w:t>dial</w:t>
      </w:r>
      <w:proofErr w:type="gramEnd"/>
      <w:r w:rsidRPr="005D6CF3">
        <w:rPr>
          <w:rFonts w:ascii="Arial" w:hAnsi="Arial" w:cs="Arial"/>
          <w:sz w:val="24"/>
          <w:szCs w:val="24"/>
          <w:lang w:val="es-US"/>
        </w:rPr>
        <w:t xml:space="preserve">. </w:t>
      </w:r>
      <w:proofErr w:type="spellStart"/>
      <w:proofErr w:type="gramStart"/>
      <w:r w:rsidRPr="005D6CF3">
        <w:rPr>
          <w:rFonts w:ascii="Arial" w:hAnsi="Arial" w:cs="Arial"/>
          <w:sz w:val="24"/>
          <w:szCs w:val="24"/>
          <w:lang w:val="es-US"/>
        </w:rPr>
        <w:t>traspl</w:t>
      </w:r>
      <w:proofErr w:type="spellEnd"/>
      <w:proofErr w:type="gramEnd"/>
      <w:r w:rsidRPr="005D6CF3">
        <w:rPr>
          <w:rFonts w:ascii="Arial" w:hAnsi="Arial" w:cs="Arial"/>
          <w:sz w:val="24"/>
          <w:szCs w:val="24"/>
          <w:lang w:val="es-US"/>
        </w:rPr>
        <w:t>.  [</w:t>
      </w:r>
      <w:proofErr w:type="gramStart"/>
      <w:r w:rsidRPr="005D6CF3">
        <w:rPr>
          <w:rFonts w:ascii="Arial" w:hAnsi="Arial" w:cs="Arial"/>
          <w:sz w:val="24"/>
          <w:szCs w:val="24"/>
          <w:lang w:val="es-US"/>
        </w:rPr>
        <w:t>serie</w:t>
      </w:r>
      <w:proofErr w:type="gramEnd"/>
      <w:r w:rsidRPr="005D6CF3">
        <w:rPr>
          <w:rFonts w:ascii="Arial" w:hAnsi="Arial" w:cs="Arial"/>
          <w:sz w:val="24"/>
          <w:szCs w:val="24"/>
          <w:lang w:val="es-US"/>
        </w:rPr>
        <w:t xml:space="preserve"> en Internet]. 2019  [citado 04 Jul 2022];  39(2): 115-119. Disponible en: </w:t>
      </w:r>
      <w:hyperlink r:id="rId22" w:history="1">
        <w:r w:rsidRPr="005D6CF3">
          <w:rPr>
            <w:rStyle w:val="Hipervnculo"/>
            <w:rFonts w:ascii="Arial" w:hAnsi="Arial" w:cs="Arial"/>
            <w:sz w:val="24"/>
            <w:szCs w:val="24"/>
            <w:lang w:val="es-US"/>
          </w:rPr>
          <w:t>http://www.scielo.org.ar/scielo.php?script=sci_arttext&amp;pid=S2346-85482019000200005&amp;lng=es</w:t>
        </w:r>
      </w:hyperlink>
      <w:r w:rsidRPr="005D6CF3">
        <w:rPr>
          <w:rFonts w:ascii="Arial" w:hAnsi="Arial" w:cs="Arial"/>
          <w:sz w:val="24"/>
          <w:szCs w:val="24"/>
          <w:lang w:val="es-US"/>
        </w:rPr>
        <w:tab/>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14. </w:t>
      </w:r>
      <w:proofErr w:type="spellStart"/>
      <w:r w:rsidRPr="005D6CF3">
        <w:rPr>
          <w:rFonts w:ascii="Arial" w:hAnsi="Arial" w:cs="Arial"/>
          <w:sz w:val="24"/>
          <w:szCs w:val="24"/>
          <w:lang w:val="es-US"/>
        </w:rPr>
        <w:t>Jofré</w:t>
      </w:r>
      <w:proofErr w:type="spellEnd"/>
      <w:r w:rsidRPr="005D6CF3">
        <w:rPr>
          <w:rFonts w:ascii="Arial" w:hAnsi="Arial" w:cs="Arial"/>
          <w:sz w:val="24"/>
          <w:szCs w:val="24"/>
          <w:lang w:val="es-US"/>
        </w:rPr>
        <w:t xml:space="preserve"> P, </w:t>
      </w:r>
      <w:proofErr w:type="spellStart"/>
      <w:r w:rsidRPr="005D6CF3">
        <w:rPr>
          <w:rFonts w:ascii="Arial" w:hAnsi="Arial" w:cs="Arial"/>
          <w:sz w:val="24"/>
          <w:szCs w:val="24"/>
          <w:lang w:val="es-US"/>
        </w:rPr>
        <w:t>Grassi</w:t>
      </w:r>
      <w:proofErr w:type="spellEnd"/>
      <w:r w:rsidRPr="005D6CF3">
        <w:rPr>
          <w:rFonts w:ascii="Arial" w:hAnsi="Arial" w:cs="Arial"/>
          <w:sz w:val="24"/>
          <w:szCs w:val="24"/>
          <w:lang w:val="es-US"/>
        </w:rPr>
        <w:t xml:space="preserve"> B, Benítez C. Tratamiento de </w:t>
      </w:r>
      <w:proofErr w:type="spellStart"/>
      <w:r w:rsidRPr="005D6CF3">
        <w:rPr>
          <w:rFonts w:ascii="Arial" w:hAnsi="Arial" w:cs="Arial"/>
          <w:sz w:val="24"/>
          <w:szCs w:val="24"/>
          <w:lang w:val="es-US"/>
        </w:rPr>
        <w:t>quilotórax</w:t>
      </w:r>
      <w:proofErr w:type="spellEnd"/>
      <w:r w:rsidRPr="005D6CF3">
        <w:rPr>
          <w:rFonts w:ascii="Arial" w:hAnsi="Arial" w:cs="Arial"/>
          <w:sz w:val="24"/>
          <w:szCs w:val="24"/>
          <w:lang w:val="es-US"/>
        </w:rPr>
        <w:t xml:space="preserve"> y quiloascitis refractaria en paciente cirrótico. Caso clínico. Rev. </w:t>
      </w:r>
      <w:proofErr w:type="spellStart"/>
      <w:r w:rsidRPr="005D6CF3">
        <w:rPr>
          <w:rFonts w:ascii="Arial" w:hAnsi="Arial" w:cs="Arial"/>
          <w:sz w:val="24"/>
          <w:szCs w:val="24"/>
          <w:lang w:val="es-US"/>
        </w:rPr>
        <w:t>Med</w:t>
      </w:r>
      <w:proofErr w:type="spellEnd"/>
      <w:r w:rsidRPr="005D6CF3">
        <w:rPr>
          <w:rFonts w:ascii="Arial" w:hAnsi="Arial" w:cs="Arial"/>
          <w:sz w:val="24"/>
          <w:szCs w:val="24"/>
          <w:lang w:val="es-US"/>
        </w:rPr>
        <w:t xml:space="preserve">. Chile  [serie en Internet]. 2020  Ago [citado 04 Jul 2022];  148(8): 1202-1206. Disponible en: </w:t>
      </w:r>
      <w:hyperlink r:id="rId23" w:history="1">
        <w:r w:rsidRPr="005D6CF3">
          <w:rPr>
            <w:rStyle w:val="Hipervnculo"/>
            <w:rFonts w:ascii="Arial" w:hAnsi="Arial" w:cs="Arial"/>
            <w:sz w:val="24"/>
            <w:szCs w:val="24"/>
            <w:lang w:val="es-US"/>
          </w:rPr>
          <w:t>http://www.scielo.cl/scielo.php?script=sci_arttext&amp;pid=S0034-98872020000801202&amp;lng=es</w:t>
        </w:r>
      </w:hyperlink>
      <w:r w:rsidRPr="005D6CF3">
        <w:rPr>
          <w:rFonts w:ascii="Arial" w:hAnsi="Arial" w:cs="Arial"/>
          <w:sz w:val="24"/>
          <w:szCs w:val="24"/>
          <w:lang w:val="es-US"/>
        </w:rPr>
        <w:t xml:space="preserve">.   </w:t>
      </w:r>
    </w:p>
    <w:p w:rsidR="00B54809" w:rsidRDefault="00B54809" w:rsidP="005D6CF3">
      <w:pPr>
        <w:jc w:val="both"/>
        <w:rPr>
          <w:rFonts w:ascii="Arial" w:hAnsi="Arial" w:cs="Arial"/>
          <w:b/>
          <w:sz w:val="24"/>
          <w:szCs w:val="24"/>
          <w:lang w:val="es-US"/>
        </w:rPr>
      </w:pPr>
      <w:r>
        <w:rPr>
          <w:rFonts w:ascii="Arial" w:hAnsi="Arial" w:cs="Arial"/>
          <w:b/>
          <w:sz w:val="24"/>
          <w:szCs w:val="24"/>
          <w:lang w:val="es-US"/>
        </w:rPr>
        <w:t>Financiación:</w:t>
      </w:r>
    </w:p>
    <w:p w:rsidR="00B54809" w:rsidRPr="00B54809" w:rsidRDefault="00B54809" w:rsidP="005D6CF3">
      <w:pPr>
        <w:jc w:val="both"/>
        <w:rPr>
          <w:rFonts w:ascii="Arial" w:hAnsi="Arial" w:cs="Arial"/>
          <w:sz w:val="24"/>
          <w:szCs w:val="24"/>
          <w:lang w:val="es-US"/>
        </w:rPr>
      </w:pPr>
      <w:r w:rsidRPr="00B54809">
        <w:rPr>
          <w:rFonts w:ascii="Arial" w:hAnsi="Arial" w:cs="Arial"/>
          <w:sz w:val="24"/>
          <w:szCs w:val="24"/>
          <w:lang w:val="es-US"/>
        </w:rPr>
        <w:t>Los autores no recibieron finan</w:t>
      </w:r>
      <w:r w:rsidR="00770789">
        <w:rPr>
          <w:rFonts w:ascii="Arial" w:hAnsi="Arial" w:cs="Arial"/>
          <w:sz w:val="24"/>
          <w:szCs w:val="24"/>
          <w:lang w:val="es-US"/>
        </w:rPr>
        <w:t>ciación para el desarrollo de la presente investigación</w:t>
      </w:r>
      <w:r w:rsidR="00B6078E">
        <w:rPr>
          <w:rFonts w:ascii="Arial" w:hAnsi="Arial" w:cs="Arial"/>
          <w:sz w:val="24"/>
          <w:szCs w:val="24"/>
          <w:lang w:val="es-US"/>
        </w:rPr>
        <w:t>.</w:t>
      </w:r>
    </w:p>
    <w:p w:rsidR="005D6CF3" w:rsidRPr="005D6CF3" w:rsidRDefault="005D6CF3" w:rsidP="005D6CF3">
      <w:pPr>
        <w:jc w:val="both"/>
        <w:rPr>
          <w:rFonts w:ascii="Arial" w:hAnsi="Arial" w:cs="Arial"/>
          <w:b/>
          <w:sz w:val="24"/>
          <w:szCs w:val="24"/>
          <w:lang w:val="es-US"/>
        </w:rPr>
      </w:pPr>
      <w:r w:rsidRPr="005D6CF3">
        <w:rPr>
          <w:rFonts w:ascii="Arial" w:hAnsi="Arial" w:cs="Arial"/>
          <w:b/>
          <w:sz w:val="24"/>
          <w:szCs w:val="24"/>
          <w:lang w:val="es-US"/>
        </w:rPr>
        <w:lastRenderedPageBreak/>
        <w:t>Conflicto de intereses:</w:t>
      </w:r>
    </w:p>
    <w:p w:rsidR="005D6CF3" w:rsidRPr="005D6CF3" w:rsidRDefault="005D6CF3" w:rsidP="005D6CF3">
      <w:pPr>
        <w:jc w:val="both"/>
        <w:rPr>
          <w:rFonts w:ascii="Arial" w:hAnsi="Arial" w:cs="Arial"/>
          <w:sz w:val="24"/>
          <w:szCs w:val="24"/>
          <w:lang w:val="es-US"/>
        </w:rPr>
      </w:pPr>
      <w:r w:rsidRPr="005D6CF3">
        <w:rPr>
          <w:rFonts w:ascii="Arial" w:hAnsi="Arial" w:cs="Arial"/>
          <w:sz w:val="24"/>
          <w:szCs w:val="24"/>
          <w:lang w:val="es-US"/>
        </w:rPr>
        <w:t xml:space="preserve">Los autores declaran que no existe conflicto de intereses. </w:t>
      </w:r>
    </w:p>
    <w:p w:rsidR="005D6CF3" w:rsidRPr="005D6CF3" w:rsidRDefault="005D6CF3" w:rsidP="005D6CF3">
      <w:pPr>
        <w:rPr>
          <w:lang w:val="es-US"/>
        </w:rPr>
      </w:pPr>
    </w:p>
    <w:p w:rsidR="0004433A" w:rsidRPr="005D6CF3" w:rsidRDefault="0004433A">
      <w:pPr>
        <w:rPr>
          <w:lang w:val="es-US"/>
        </w:rPr>
      </w:pPr>
    </w:p>
    <w:sectPr w:rsidR="0004433A" w:rsidRPr="005D6CF3" w:rsidSect="005D6CF3">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3E1"/>
    <w:rsid w:val="0004433A"/>
    <w:rsid w:val="003C43E1"/>
    <w:rsid w:val="003D7719"/>
    <w:rsid w:val="005D6CF3"/>
    <w:rsid w:val="00657510"/>
    <w:rsid w:val="00736692"/>
    <w:rsid w:val="00770789"/>
    <w:rsid w:val="00905221"/>
    <w:rsid w:val="00981041"/>
    <w:rsid w:val="00A651DF"/>
    <w:rsid w:val="00A77C7D"/>
    <w:rsid w:val="00B54809"/>
    <w:rsid w:val="00B6078E"/>
    <w:rsid w:val="00BD555E"/>
    <w:rsid w:val="00D214F7"/>
    <w:rsid w:val="00D571B7"/>
    <w:rsid w:val="00E8639D"/>
    <w:rsid w:val="00E9490C"/>
    <w:rsid w:val="00EC4658"/>
    <w:rsid w:val="00F776B6"/>
    <w:rsid w:val="00FE6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D6CF3"/>
    <w:rPr>
      <w:color w:val="0000FF" w:themeColor="hyperlink"/>
      <w:u w:val="single"/>
    </w:rPr>
  </w:style>
  <w:style w:type="paragraph" w:styleId="Textodeglobo">
    <w:name w:val="Balloon Text"/>
    <w:basedOn w:val="Normal"/>
    <w:link w:val="TextodegloboCar"/>
    <w:uiPriority w:val="99"/>
    <w:semiHidden/>
    <w:unhideWhenUsed/>
    <w:rsid w:val="005D6C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6C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D6CF3"/>
    <w:rPr>
      <w:color w:val="0000FF" w:themeColor="hyperlink"/>
      <w:u w:val="single"/>
    </w:rPr>
  </w:style>
  <w:style w:type="paragraph" w:styleId="Textodeglobo">
    <w:name w:val="Balloon Text"/>
    <w:basedOn w:val="Normal"/>
    <w:link w:val="TextodegloboCar"/>
    <w:uiPriority w:val="99"/>
    <w:semiHidden/>
    <w:unhideWhenUsed/>
    <w:rsid w:val="005D6C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6C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saosorioalberto@gmail.com" TargetMode="External"/><Relationship Id="rId13" Type="http://schemas.openxmlformats.org/officeDocument/2006/relationships/hyperlink" Target="http://www.scielo.cl/scielo.php?script=sci_arttext&amp;pid=S0717-75182020000601038&amp;lng=es" TargetMode="External"/><Relationship Id="rId18" Type="http://schemas.openxmlformats.org/officeDocument/2006/relationships/hyperlink" Target="https://pesquisa.bvsalud.org/portal/resource/esSiqueira/biblio-1117388" TargetMode="External"/><Relationship Id="rId3" Type="http://schemas.openxmlformats.org/officeDocument/2006/relationships/settings" Target="settings.xml"/><Relationship Id="rId21" Type="http://schemas.openxmlformats.org/officeDocument/2006/relationships/hyperlink" Target="https://www.sapd.es/revista/2021/44/2/07" TargetMode="External"/><Relationship Id="rId7" Type="http://schemas.openxmlformats.org/officeDocument/2006/relationships/hyperlink" Target="http://orcid.org/0000-0002-2495-8016" TargetMode="External"/><Relationship Id="rId12" Type="http://schemas.openxmlformats.org/officeDocument/2006/relationships/hyperlink" Target="https://revista.nutricion.org/index.php/ncdh/article/view/222/202" TargetMode="External"/><Relationship Id="rId17" Type="http://schemas.openxmlformats.org/officeDocument/2006/relationships/hyperlink" Target="http://www.scielo.cl/scielo.php?script=sci_arttext&amp;pid=S2452-45492019000300253&amp;lng=es"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www.revhabanera.sld.cu/index.php/rhab/article/view/4392" TargetMode="External"/><Relationship Id="rId20" Type="http://schemas.openxmlformats.org/officeDocument/2006/relationships/hyperlink" Target="http://www.scielo.org.mx/scielo.php?pid=S0186-48662018000500019&amp;script=sci_arttext" TargetMode="External"/><Relationship Id="rId1" Type="http://schemas.openxmlformats.org/officeDocument/2006/relationships/styles" Target="styles.xml"/><Relationship Id="rId6" Type="http://schemas.openxmlformats.org/officeDocument/2006/relationships/hyperlink" Target="http://orcid.org/0000-0001-7009-1858" TargetMode="External"/><Relationship Id="rId11" Type="http://schemas.openxmlformats.org/officeDocument/2006/relationships/hyperlink" Target="http://www.scielo.org.co/scielo.php?script=sci_arttext&amp;pid=S2011-75822020000100119&amp;lng=en" TargetMode="External"/><Relationship Id="rId24" Type="http://schemas.openxmlformats.org/officeDocument/2006/relationships/fontTable" Target="fontTable.xml"/><Relationship Id="rId5" Type="http://schemas.openxmlformats.org/officeDocument/2006/relationships/hyperlink" Target="http://orcid.org/0000-0001-8111-6942" TargetMode="External"/><Relationship Id="rId15" Type="http://schemas.openxmlformats.org/officeDocument/2006/relationships/hyperlink" Target="http://www.scielo.org.mx/scielo.php?script=sci_arttext&amp;pid=S2444-054X2020000800043&amp;lng=es" TargetMode="External"/><Relationship Id="rId23" Type="http://schemas.openxmlformats.org/officeDocument/2006/relationships/hyperlink" Target="http://www.scielo.cl/scielo.php?script=sci_arttext&amp;pid=S0034-98872020000801202&amp;lng=es" TargetMode="External"/><Relationship Id="rId10" Type="http://schemas.openxmlformats.org/officeDocument/2006/relationships/hyperlink" Target="http://scielo.sld.cu/scielo.php?script=sci_arttext&amp;pid=S0034-74932018000300010&amp;lng=es" TargetMode="External"/><Relationship Id="rId19" Type="http://schemas.openxmlformats.org/officeDocument/2006/relationships/hyperlink" Target="http://www.scielo.org.bo/scielo.php?script=sci_arttext&amp;pid=S1726-89582021000100008&amp;lng=e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scielo.org.pe/scielo.php?script=sci_arttext&amp;pid=S1728-59172021000300210&amp;lng=es" TargetMode="External"/><Relationship Id="rId22" Type="http://schemas.openxmlformats.org/officeDocument/2006/relationships/hyperlink" Target="http://www.scielo.org.ar/scielo.php?script=sci_arttext&amp;pid=S2346-85482019000200005&amp;lng=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10</Pages>
  <Words>3376</Words>
  <Characters>19247</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29</cp:revision>
  <dcterms:created xsi:type="dcterms:W3CDTF">2022-11-21T01:08:00Z</dcterms:created>
  <dcterms:modified xsi:type="dcterms:W3CDTF">2022-11-30T23:51:00Z</dcterms:modified>
</cp:coreProperties>
</file>