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26" w:rsidRPr="00431926" w:rsidRDefault="00431926" w:rsidP="00431926">
      <w:pPr>
        <w:tabs>
          <w:tab w:val="left" w:pos="2268"/>
          <w:tab w:val="left" w:pos="9356"/>
        </w:tabs>
        <w:spacing w:after="0" w:line="360" w:lineRule="auto"/>
        <w:ind w:right="48"/>
        <w:jc w:val="both"/>
        <w:rPr>
          <w:rFonts w:ascii="Verdana" w:eastAsia="Calibri" w:hAnsi="Verdana" w:cs="Times New Roman"/>
          <w:b/>
          <w:color w:val="C45911"/>
          <w:sz w:val="32"/>
          <w:szCs w:val="32"/>
          <w:lang w:val="es-MX"/>
        </w:rPr>
      </w:pPr>
      <w:proofErr w:type="spellStart"/>
      <w:r w:rsidRPr="00431926">
        <w:rPr>
          <w:rFonts w:ascii="Verdana" w:eastAsia="Calibri" w:hAnsi="Verdana" w:cs="Times New Roman"/>
          <w:b/>
          <w:color w:val="C45911"/>
          <w:sz w:val="32"/>
          <w:szCs w:val="32"/>
          <w:lang w:val="es-MX"/>
        </w:rPr>
        <w:t>Morfovirtual</w:t>
      </w:r>
      <w:proofErr w:type="spellEnd"/>
      <w:r w:rsidRPr="00431926">
        <w:rPr>
          <w:rFonts w:ascii="Verdana" w:eastAsia="Calibri" w:hAnsi="Verdana" w:cs="Times New Roman"/>
          <w:b/>
          <w:color w:val="C45911"/>
          <w:sz w:val="32"/>
          <w:szCs w:val="32"/>
          <w:lang w:val="es-MX"/>
        </w:rPr>
        <w:t xml:space="preserve"> 2022</w:t>
      </w:r>
    </w:p>
    <w:p w:rsidR="00431926" w:rsidRPr="00431926" w:rsidRDefault="00431926" w:rsidP="00431926">
      <w:pPr>
        <w:tabs>
          <w:tab w:val="left" w:pos="2268"/>
          <w:tab w:val="left" w:pos="9356"/>
        </w:tabs>
        <w:spacing w:after="0" w:line="360" w:lineRule="auto"/>
        <w:ind w:right="48"/>
        <w:jc w:val="both"/>
        <w:rPr>
          <w:rFonts w:ascii="Verdana" w:eastAsia="Calibri" w:hAnsi="Verdana" w:cs="Times New Roman"/>
          <w:b/>
          <w:color w:val="C45911"/>
          <w:sz w:val="32"/>
          <w:szCs w:val="32"/>
          <w:lang w:val="es-MX"/>
        </w:rPr>
      </w:pPr>
    </w:p>
    <w:p w:rsidR="00431926" w:rsidRPr="00431926" w:rsidRDefault="00431926" w:rsidP="00431926">
      <w:pPr>
        <w:tabs>
          <w:tab w:val="left" w:pos="2268"/>
          <w:tab w:val="left" w:pos="9356"/>
        </w:tabs>
        <w:spacing w:after="0" w:line="360" w:lineRule="auto"/>
        <w:ind w:right="48"/>
        <w:jc w:val="both"/>
        <w:rPr>
          <w:rFonts w:ascii="Verdana" w:eastAsia="Calibri" w:hAnsi="Verdana" w:cs="Times New Roman"/>
          <w:b/>
          <w:color w:val="C45911"/>
          <w:sz w:val="32"/>
          <w:szCs w:val="32"/>
          <w:lang w:val="es-MX"/>
        </w:rPr>
      </w:pPr>
      <w:r w:rsidRPr="00431926">
        <w:rPr>
          <w:rFonts w:ascii="Verdana" w:eastAsia="Calibri" w:hAnsi="Verdana" w:cs="Times New Roman"/>
          <w:b/>
          <w:color w:val="C45911"/>
          <w:sz w:val="32"/>
          <w:szCs w:val="32"/>
          <w:lang w:val="es-MX"/>
        </w:rPr>
        <w:t>VI Congreso virtual de Ciencias Morfológicas.</w:t>
      </w:r>
    </w:p>
    <w:p w:rsidR="00431926" w:rsidRPr="00431926" w:rsidRDefault="00431926" w:rsidP="00431926">
      <w:pPr>
        <w:tabs>
          <w:tab w:val="left" w:pos="9356"/>
        </w:tabs>
        <w:spacing w:after="0" w:line="360" w:lineRule="auto"/>
        <w:ind w:right="48"/>
        <w:jc w:val="both"/>
        <w:rPr>
          <w:rFonts w:ascii="Verdana" w:eastAsia="Calibri" w:hAnsi="Verdana" w:cs="Times New Roman"/>
          <w:b/>
          <w:color w:val="C45911"/>
          <w:sz w:val="32"/>
          <w:szCs w:val="32"/>
          <w:lang w:val="es-MX"/>
        </w:rPr>
      </w:pPr>
      <w:r w:rsidRPr="00431926">
        <w:rPr>
          <w:rFonts w:ascii="Verdana" w:eastAsia="Calibri" w:hAnsi="Verdana" w:cs="Times New Roman"/>
          <w:b/>
          <w:color w:val="C45911"/>
          <w:sz w:val="32"/>
          <w:szCs w:val="32"/>
          <w:lang w:val="es-MX"/>
        </w:rPr>
        <w:t>Sexta Jornada Científica de la Cátedra Santiago Ramón y Cajal.</w:t>
      </w:r>
    </w:p>
    <w:p w:rsidR="00431926" w:rsidRPr="00431926" w:rsidRDefault="00431926" w:rsidP="00431926">
      <w:pPr>
        <w:tabs>
          <w:tab w:val="left" w:pos="9356"/>
        </w:tabs>
        <w:spacing w:after="0" w:line="360" w:lineRule="auto"/>
        <w:ind w:right="48"/>
        <w:jc w:val="both"/>
        <w:rPr>
          <w:rFonts w:ascii="Verdana" w:eastAsia="Calibri" w:hAnsi="Verdana" w:cs="Arial"/>
          <w:b/>
          <w:sz w:val="28"/>
          <w:szCs w:val="28"/>
        </w:rPr>
      </w:pPr>
    </w:p>
    <w:p w:rsidR="00431926" w:rsidRPr="00431926" w:rsidRDefault="00431926" w:rsidP="00431926">
      <w:pPr>
        <w:tabs>
          <w:tab w:val="left" w:pos="9356"/>
        </w:tabs>
        <w:spacing w:after="0" w:line="360" w:lineRule="auto"/>
        <w:ind w:right="48"/>
        <w:jc w:val="both"/>
        <w:rPr>
          <w:rFonts w:ascii="Verdana" w:eastAsia="Calibri" w:hAnsi="Verdana" w:cs="Times New Roman"/>
          <w:lang w:val="es-MX"/>
        </w:rPr>
      </w:pPr>
      <w:r w:rsidRPr="00431926">
        <w:rPr>
          <w:rFonts w:ascii="Verdana" w:eastAsia="Calibri" w:hAnsi="Verdana" w:cs="Arial"/>
          <w:b/>
          <w:sz w:val="28"/>
          <w:szCs w:val="28"/>
        </w:rPr>
        <w:t>CARACTERIZACIÓN CLÍNICO-EPIDEMIOLÓGICA DE PACIENTES CON DIAGNÓSTICO DE TRAUMATISMO CRANEOENCEFÁLICO</w:t>
      </w:r>
    </w:p>
    <w:p w:rsidR="00431926" w:rsidRPr="00431926" w:rsidRDefault="00431926" w:rsidP="00431926">
      <w:pPr>
        <w:tabs>
          <w:tab w:val="left" w:pos="9356"/>
        </w:tabs>
        <w:spacing w:after="0" w:line="360" w:lineRule="auto"/>
        <w:ind w:right="48"/>
        <w:rPr>
          <w:rFonts w:ascii="Verdana" w:eastAsia="Calibri" w:hAnsi="Verdana" w:cs="Times New Roman"/>
          <w:b/>
          <w:lang w:val="es-MX"/>
        </w:rPr>
      </w:pPr>
    </w:p>
    <w:p w:rsidR="00BB07EA" w:rsidRPr="00BB07EA" w:rsidRDefault="00BB07EA" w:rsidP="00BB07EA">
      <w:pPr>
        <w:spacing w:after="160" w:line="360" w:lineRule="auto"/>
        <w:jc w:val="both"/>
        <w:rPr>
          <w:rFonts w:ascii="Verdana" w:eastAsia="Calibri" w:hAnsi="Verdana" w:cs="Arial"/>
        </w:rPr>
      </w:pPr>
      <w:r w:rsidRPr="00BB07EA">
        <w:rPr>
          <w:rFonts w:ascii="Verdana" w:eastAsia="Calibri" w:hAnsi="Verdana" w:cs="Arial"/>
          <w:b/>
          <w:bCs/>
        </w:rPr>
        <w:t>Autores:</w:t>
      </w:r>
    </w:p>
    <w:p w:rsidR="00BB07EA" w:rsidRPr="00BB07EA" w:rsidRDefault="00BB07EA" w:rsidP="00BB07EA">
      <w:pPr>
        <w:spacing w:after="160" w:line="360" w:lineRule="auto"/>
        <w:jc w:val="both"/>
        <w:rPr>
          <w:rFonts w:ascii="Verdana" w:eastAsia="Calibri" w:hAnsi="Verdana" w:cs="Arial"/>
          <w:vertAlign w:val="superscript"/>
        </w:rPr>
      </w:pPr>
      <w:r w:rsidRPr="00BB07EA">
        <w:rPr>
          <w:rFonts w:ascii="Verdana" w:eastAsia="Calibri" w:hAnsi="Verdana" w:cs="Arial"/>
        </w:rPr>
        <w:t xml:space="preserve">Claudia Lissette Martínez Suárez </w:t>
      </w:r>
      <w:r w:rsidRPr="00BB07EA">
        <w:rPr>
          <w:rFonts w:ascii="Verdana" w:eastAsia="Calibri" w:hAnsi="Verdana" w:cs="Arial"/>
          <w:vertAlign w:val="superscript"/>
        </w:rPr>
        <w:t>1</w:t>
      </w:r>
    </w:p>
    <w:p w:rsidR="00BB07EA" w:rsidRPr="00BB07EA" w:rsidRDefault="00BB07EA" w:rsidP="00BB07EA">
      <w:pPr>
        <w:spacing w:after="160" w:line="360" w:lineRule="auto"/>
        <w:jc w:val="both"/>
        <w:rPr>
          <w:rFonts w:ascii="Verdana" w:eastAsia="Calibri" w:hAnsi="Verdana" w:cs="Arial"/>
          <w:vertAlign w:val="superscript"/>
        </w:rPr>
      </w:pPr>
      <w:r w:rsidRPr="00BB07EA">
        <w:rPr>
          <w:rFonts w:ascii="Verdana" w:eastAsia="Calibri" w:hAnsi="Verdana" w:cs="Arial"/>
        </w:rPr>
        <w:t xml:space="preserve">Carlos Rivero Chau </w:t>
      </w:r>
      <w:r w:rsidRPr="00BB07EA">
        <w:rPr>
          <w:rFonts w:ascii="Verdana" w:eastAsia="Calibri" w:hAnsi="Verdana" w:cs="Arial"/>
          <w:vertAlign w:val="superscript"/>
        </w:rPr>
        <w:t>2</w:t>
      </w:r>
    </w:p>
    <w:p w:rsidR="00BB07EA" w:rsidRPr="00BB07EA" w:rsidRDefault="00BB07EA" w:rsidP="00BB07EA">
      <w:pPr>
        <w:spacing w:after="160" w:line="360" w:lineRule="auto"/>
        <w:jc w:val="both"/>
        <w:rPr>
          <w:rFonts w:ascii="Verdana" w:eastAsia="Calibri" w:hAnsi="Verdana" w:cs="Arial"/>
        </w:rPr>
      </w:pPr>
      <w:r w:rsidRPr="00BB07EA">
        <w:rPr>
          <w:rFonts w:ascii="Verdana" w:eastAsia="Calibri" w:hAnsi="Verdana" w:cs="Arial"/>
        </w:rPr>
        <w:t xml:space="preserve">Gabriela de la Concepción </w:t>
      </w:r>
      <w:proofErr w:type="spellStart"/>
      <w:r w:rsidRPr="00BB07EA">
        <w:rPr>
          <w:rFonts w:ascii="Verdana" w:eastAsia="Calibri" w:hAnsi="Verdana" w:cs="Arial"/>
        </w:rPr>
        <w:t>Verges</w:t>
      </w:r>
      <w:proofErr w:type="spellEnd"/>
      <w:r w:rsidRPr="00BB07EA">
        <w:rPr>
          <w:rFonts w:ascii="Verdana" w:eastAsia="Calibri" w:hAnsi="Verdana" w:cs="Arial"/>
        </w:rPr>
        <w:t xml:space="preserve"> Meneses </w:t>
      </w:r>
      <w:r w:rsidRPr="00BB07EA">
        <w:rPr>
          <w:rFonts w:ascii="Verdana" w:eastAsia="Calibri" w:hAnsi="Verdana" w:cs="Arial"/>
          <w:vertAlign w:val="superscript"/>
        </w:rPr>
        <w:t>3</w:t>
      </w:r>
    </w:p>
    <w:p w:rsidR="00BB07EA" w:rsidRPr="00BB07EA" w:rsidRDefault="00BB07EA" w:rsidP="00BB07EA">
      <w:pPr>
        <w:spacing w:after="160" w:line="360" w:lineRule="auto"/>
        <w:jc w:val="both"/>
        <w:rPr>
          <w:rFonts w:ascii="Verdana" w:eastAsia="Calibri" w:hAnsi="Verdana" w:cs="Arial"/>
          <w:b/>
          <w:bCs/>
        </w:rPr>
      </w:pPr>
      <w:r w:rsidRPr="00BB07EA">
        <w:rPr>
          <w:rFonts w:ascii="Verdana" w:eastAsia="Calibri" w:hAnsi="Verdana" w:cs="Arial"/>
          <w:b/>
          <w:bCs/>
        </w:rPr>
        <w:t>Tutora:</w:t>
      </w:r>
    </w:p>
    <w:p w:rsidR="00BB07EA" w:rsidRPr="00BB07EA" w:rsidRDefault="00BB07EA" w:rsidP="00BB07EA">
      <w:pPr>
        <w:spacing w:after="160" w:line="360" w:lineRule="auto"/>
        <w:jc w:val="both"/>
        <w:rPr>
          <w:rFonts w:ascii="Verdana" w:eastAsia="Calibri" w:hAnsi="Verdana" w:cs="SimSun"/>
          <w:vertAlign w:val="superscript"/>
        </w:rPr>
      </w:pPr>
      <w:r w:rsidRPr="00BB07EA">
        <w:rPr>
          <w:rFonts w:ascii="Verdana" w:eastAsia="Calibri" w:hAnsi="Verdana" w:cs="Arial"/>
        </w:rPr>
        <w:t xml:space="preserve">Mireya Suárez López </w:t>
      </w:r>
      <w:r w:rsidRPr="00BB07EA">
        <w:rPr>
          <w:rFonts w:ascii="Verdana" w:eastAsia="Calibri" w:hAnsi="Verdana" w:cs="Arial"/>
          <w:vertAlign w:val="superscript"/>
        </w:rPr>
        <w:t>4</w:t>
      </w:r>
    </w:p>
    <w:p w:rsidR="00BB07EA" w:rsidRPr="00BB07EA" w:rsidRDefault="00BB07EA" w:rsidP="00BB07EA">
      <w:pPr>
        <w:spacing w:after="160" w:line="360" w:lineRule="auto"/>
        <w:jc w:val="both"/>
        <w:rPr>
          <w:rFonts w:ascii="Verdana" w:eastAsia="Calibri" w:hAnsi="Verdana" w:cs="SimSun"/>
        </w:rPr>
      </w:pPr>
    </w:p>
    <w:p w:rsidR="00BB07EA" w:rsidRPr="00BB07EA" w:rsidRDefault="00BB07EA" w:rsidP="00BB07EA">
      <w:pPr>
        <w:spacing w:after="160" w:line="360" w:lineRule="auto"/>
        <w:jc w:val="both"/>
        <w:rPr>
          <w:rFonts w:ascii="Verdana" w:eastAsia="Calibri" w:hAnsi="Verdana" w:cs="Arial"/>
        </w:rPr>
      </w:pPr>
      <w:r w:rsidRPr="00BB07EA">
        <w:rPr>
          <w:rFonts w:ascii="Verdana" w:eastAsia="Calibri" w:hAnsi="Verdana" w:cs="Arial"/>
          <w:vertAlign w:val="superscript"/>
        </w:rPr>
        <w:t xml:space="preserve">1 </w:t>
      </w:r>
      <w:r w:rsidRPr="00BB07EA">
        <w:rPr>
          <w:rFonts w:ascii="Verdana" w:eastAsia="Calibri" w:hAnsi="Verdana" w:cs="Arial"/>
        </w:rPr>
        <w:t xml:space="preserve">Universidad de Ciencias Médicas de Cienfuegos. Facultad “Dr. Raúl </w:t>
      </w:r>
      <w:proofErr w:type="spellStart"/>
      <w:r w:rsidRPr="00BB07EA">
        <w:rPr>
          <w:rFonts w:ascii="Verdana" w:eastAsia="Calibri" w:hAnsi="Verdana" w:cs="Arial"/>
        </w:rPr>
        <w:t>Dorticós</w:t>
      </w:r>
      <w:proofErr w:type="spellEnd"/>
      <w:r w:rsidRPr="00BB07EA">
        <w:rPr>
          <w:rFonts w:ascii="Verdana" w:eastAsia="Calibri" w:hAnsi="Verdana" w:cs="Arial"/>
        </w:rPr>
        <w:t xml:space="preserve"> Torrado”. Cienfuegos. Cuba. Estudiante de cuarto año de Medicina. Alumna ayudante en Neurocirugía.  ORCID: </w:t>
      </w:r>
      <w:hyperlink r:id="rId8" w:history="1">
        <w:r w:rsidRPr="00BB07EA">
          <w:rPr>
            <w:rFonts w:ascii="Verdana" w:eastAsia="Calibri" w:hAnsi="Verdana" w:cs="Arial"/>
            <w:color w:val="0563C1"/>
            <w:u w:val="single"/>
          </w:rPr>
          <w:t>https://orcid.org/0000-0003-2763-6132</w:t>
        </w:r>
      </w:hyperlink>
      <w:r w:rsidRPr="00BB07EA">
        <w:rPr>
          <w:rFonts w:ascii="Verdana" w:eastAsia="Calibri" w:hAnsi="Verdana" w:cs="Arial"/>
        </w:rPr>
        <w:t xml:space="preserve">. Correo electrónico: </w:t>
      </w:r>
      <w:hyperlink r:id="rId9" w:history="1">
        <w:r w:rsidRPr="00BB07EA">
          <w:rPr>
            <w:rFonts w:ascii="Verdana" w:eastAsia="Calibri" w:hAnsi="Verdana" w:cs="Arial"/>
            <w:color w:val="0563C1"/>
            <w:u w:val="single"/>
          </w:rPr>
          <w:t>clms567.3@gmail.com.</w:t>
        </w:r>
      </w:hyperlink>
      <w:r w:rsidRPr="00BB07EA">
        <w:rPr>
          <w:rFonts w:ascii="Verdana" w:eastAsia="Calibri" w:hAnsi="Verdana" w:cs="Arial"/>
        </w:rPr>
        <w:t xml:space="preserve"> Teléfono: +5358238537. </w:t>
      </w:r>
    </w:p>
    <w:p w:rsidR="00BB07EA" w:rsidRPr="00BB07EA" w:rsidRDefault="00BB07EA" w:rsidP="00BB07EA">
      <w:pPr>
        <w:spacing w:after="160" w:line="360" w:lineRule="auto"/>
        <w:jc w:val="both"/>
        <w:rPr>
          <w:rFonts w:ascii="Verdana" w:eastAsia="Calibri" w:hAnsi="Verdana" w:cs="Arial"/>
        </w:rPr>
      </w:pPr>
      <w:r w:rsidRPr="00BB07EA">
        <w:rPr>
          <w:rFonts w:ascii="Verdana" w:eastAsia="Calibri" w:hAnsi="Verdana" w:cs="Arial"/>
          <w:vertAlign w:val="superscript"/>
        </w:rPr>
        <w:t xml:space="preserve">2 </w:t>
      </w:r>
      <w:r w:rsidRPr="00BB07EA">
        <w:rPr>
          <w:rFonts w:ascii="Verdana" w:eastAsia="Calibri" w:hAnsi="Verdana" w:cs="Arial"/>
        </w:rPr>
        <w:t xml:space="preserve">Universidad de Ciencias Médicas de Cienfuegos. Facultad “Dr. Raúl </w:t>
      </w:r>
      <w:proofErr w:type="spellStart"/>
      <w:r w:rsidRPr="00BB07EA">
        <w:rPr>
          <w:rFonts w:ascii="Verdana" w:eastAsia="Calibri" w:hAnsi="Verdana" w:cs="Arial"/>
        </w:rPr>
        <w:t>Dorticós</w:t>
      </w:r>
      <w:proofErr w:type="spellEnd"/>
      <w:r w:rsidRPr="00BB07EA">
        <w:rPr>
          <w:rFonts w:ascii="Verdana" w:eastAsia="Calibri" w:hAnsi="Verdana" w:cs="Arial"/>
        </w:rPr>
        <w:t xml:space="preserve"> Torrado”. Cienfuegos. Cuba. Estudiante de cuarto año de Medicina. Alumno ayudante en Medicina Interna. ORCID: </w:t>
      </w:r>
      <w:hyperlink r:id="rId10" w:history="1">
        <w:r w:rsidRPr="00BB07EA">
          <w:rPr>
            <w:rFonts w:ascii="Verdana" w:eastAsia="Calibri" w:hAnsi="Verdana" w:cs="Arial"/>
            <w:color w:val="0563C1"/>
            <w:u w:val="single"/>
          </w:rPr>
          <w:t>https://orcid.org/0000-0002-5757-8474</w:t>
        </w:r>
      </w:hyperlink>
      <w:r w:rsidRPr="00BB07EA">
        <w:rPr>
          <w:rFonts w:ascii="Verdana" w:eastAsia="Calibri" w:hAnsi="Verdana" w:cs="Arial"/>
        </w:rPr>
        <w:t xml:space="preserve">. </w:t>
      </w:r>
    </w:p>
    <w:p w:rsidR="00BB07EA" w:rsidRPr="00BB07EA" w:rsidRDefault="00BB07EA" w:rsidP="00BB07EA">
      <w:pPr>
        <w:spacing w:after="160" w:line="360" w:lineRule="auto"/>
        <w:jc w:val="both"/>
        <w:rPr>
          <w:rFonts w:ascii="Verdana" w:eastAsia="Calibri" w:hAnsi="Verdana" w:cs="Arial"/>
        </w:rPr>
      </w:pPr>
      <w:r w:rsidRPr="00BB07EA">
        <w:rPr>
          <w:rFonts w:ascii="Verdana" w:eastAsia="Calibri" w:hAnsi="Verdana" w:cs="Arial"/>
          <w:vertAlign w:val="superscript"/>
        </w:rPr>
        <w:lastRenderedPageBreak/>
        <w:t xml:space="preserve">3 </w:t>
      </w:r>
      <w:r w:rsidRPr="00BB07EA">
        <w:rPr>
          <w:rFonts w:ascii="Verdana" w:eastAsia="Calibri" w:hAnsi="Verdana" w:cs="Arial"/>
        </w:rPr>
        <w:t xml:space="preserve">Universidad de Ciencias Médicas de Cienfuegos. Facultad “Dr. Raúl </w:t>
      </w:r>
      <w:proofErr w:type="spellStart"/>
      <w:r w:rsidRPr="00BB07EA">
        <w:rPr>
          <w:rFonts w:ascii="Verdana" w:eastAsia="Calibri" w:hAnsi="Verdana" w:cs="Arial"/>
        </w:rPr>
        <w:t>Dorticós</w:t>
      </w:r>
      <w:proofErr w:type="spellEnd"/>
      <w:r w:rsidRPr="00BB07EA">
        <w:rPr>
          <w:rFonts w:ascii="Verdana" w:eastAsia="Calibri" w:hAnsi="Verdana" w:cs="Arial"/>
        </w:rPr>
        <w:t xml:space="preserve"> Torrado”. Cienfuegos. Cuba. Estudiante de tercer año de Medicina. ORCID: </w:t>
      </w:r>
      <w:hyperlink r:id="rId11" w:history="1">
        <w:r w:rsidRPr="00BB07EA">
          <w:rPr>
            <w:rFonts w:ascii="Verdana" w:eastAsia="Calibri" w:hAnsi="Verdana" w:cs="Arial"/>
            <w:color w:val="0563C1"/>
            <w:u w:val="single"/>
          </w:rPr>
          <w:t>https://orcid.org/0000-0001-5768-1968</w:t>
        </w:r>
      </w:hyperlink>
      <w:r w:rsidRPr="00BB07EA">
        <w:rPr>
          <w:rFonts w:ascii="Verdana" w:eastAsia="Calibri" w:hAnsi="Verdana" w:cs="Arial"/>
        </w:rPr>
        <w:t>.</w:t>
      </w:r>
    </w:p>
    <w:p w:rsidR="00BB07EA" w:rsidRPr="00BB07EA" w:rsidRDefault="00BB07EA" w:rsidP="00BB07EA">
      <w:pPr>
        <w:spacing w:after="160" w:line="360" w:lineRule="auto"/>
        <w:jc w:val="both"/>
        <w:rPr>
          <w:rFonts w:ascii="Verdana" w:eastAsia="Calibri" w:hAnsi="Verdana" w:cs="Arial"/>
        </w:rPr>
      </w:pPr>
      <w:r w:rsidRPr="00BB07EA">
        <w:rPr>
          <w:rFonts w:ascii="Verdana" w:eastAsia="Calibri" w:hAnsi="Verdana" w:cs="Arial"/>
          <w:vertAlign w:val="superscript"/>
        </w:rPr>
        <w:t xml:space="preserve">4 </w:t>
      </w:r>
      <w:r w:rsidRPr="00BB07EA">
        <w:rPr>
          <w:rFonts w:ascii="Verdana" w:eastAsia="Calibri" w:hAnsi="Verdana" w:cs="Arial"/>
        </w:rPr>
        <w:t xml:space="preserve">Policlínico </w:t>
      </w:r>
      <w:bookmarkStart w:id="0" w:name="_GoBack"/>
      <w:bookmarkEnd w:id="0"/>
      <w:r w:rsidRPr="00BB07EA">
        <w:rPr>
          <w:rFonts w:ascii="Verdana" w:eastAsia="Calibri" w:hAnsi="Verdana" w:cs="Arial"/>
        </w:rPr>
        <w:t xml:space="preserve">Universitario “Manuel </w:t>
      </w:r>
      <w:proofErr w:type="spellStart"/>
      <w:r w:rsidRPr="00BB07EA">
        <w:rPr>
          <w:rFonts w:ascii="Verdana" w:eastAsia="Calibri" w:hAnsi="Verdana" w:cs="Arial"/>
        </w:rPr>
        <w:t>Piti</w:t>
      </w:r>
      <w:proofErr w:type="spellEnd"/>
      <w:r w:rsidRPr="00BB07EA">
        <w:rPr>
          <w:rFonts w:ascii="Verdana" w:eastAsia="Calibri" w:hAnsi="Verdana" w:cs="Arial"/>
        </w:rPr>
        <w:t xml:space="preserve"> Fajardo”. Cruces, Cienfuegos. Cuba. Licenciada en enfermería. ORCID: </w:t>
      </w:r>
      <w:hyperlink r:id="rId12" w:history="1">
        <w:r w:rsidRPr="00BB07EA">
          <w:rPr>
            <w:rFonts w:ascii="Verdana" w:eastAsia="Calibri" w:hAnsi="Verdana" w:cs="Arial"/>
            <w:color w:val="0563C1"/>
            <w:u w:val="single"/>
          </w:rPr>
          <w:t>https://orcid.org/0000-0001-6256-9604</w:t>
        </w:r>
      </w:hyperlink>
      <w:r w:rsidRPr="00BB07EA">
        <w:rPr>
          <w:rFonts w:ascii="Verdana" w:eastAsia="Calibri" w:hAnsi="Verdana" w:cs="Arial"/>
        </w:rPr>
        <w:t xml:space="preserve">. </w:t>
      </w:r>
    </w:p>
    <w:p w:rsidR="00BB07EA" w:rsidRDefault="00BB07EA" w:rsidP="00431926">
      <w:pPr>
        <w:tabs>
          <w:tab w:val="left" w:pos="9356"/>
        </w:tabs>
        <w:spacing w:after="0" w:line="360" w:lineRule="auto"/>
        <w:ind w:right="48"/>
        <w:jc w:val="both"/>
        <w:rPr>
          <w:rFonts w:ascii="Verdana" w:eastAsia="Calibri" w:hAnsi="Verdana" w:cs="Arial"/>
          <w:b/>
        </w:rPr>
      </w:pPr>
    </w:p>
    <w:p w:rsidR="00431926" w:rsidRPr="00431926" w:rsidRDefault="00431926" w:rsidP="00431926">
      <w:pPr>
        <w:tabs>
          <w:tab w:val="left" w:pos="9356"/>
        </w:tabs>
        <w:spacing w:after="0" w:line="360" w:lineRule="auto"/>
        <w:ind w:right="48"/>
        <w:jc w:val="both"/>
        <w:rPr>
          <w:rFonts w:ascii="Verdana" w:eastAsia="Calibri" w:hAnsi="Verdana" w:cs="Arial"/>
          <w:b/>
        </w:rPr>
      </w:pPr>
      <w:r w:rsidRPr="00431926">
        <w:rPr>
          <w:rFonts w:ascii="Verdana" w:eastAsia="Calibri" w:hAnsi="Verdana" w:cs="Arial"/>
          <w:b/>
        </w:rPr>
        <w:t>RESUMEN</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 xml:space="preserve">Introducción: </w:t>
      </w:r>
      <w:r w:rsidRPr="00431926">
        <w:rPr>
          <w:rFonts w:ascii="Verdana" w:eastAsia="Calibri" w:hAnsi="Verdana" w:cs="Arial"/>
        </w:rPr>
        <w:t xml:space="preserve">los traumatismos craneoencefálicos se relacionan con la mayor cantidad de pérdidas de vidas para el adulto joven. Son la cuarta causa de muerte en Cuba y la primera en la población menor de 41 años de edad. </w:t>
      </w:r>
      <w:r w:rsidRPr="00431926">
        <w:rPr>
          <w:rFonts w:ascii="Verdana" w:eastAsia="Calibri" w:hAnsi="Verdana" w:cs="Arial"/>
          <w:b/>
        </w:rPr>
        <w:t>Objetivo:</w:t>
      </w:r>
      <w:r w:rsidRPr="00431926">
        <w:rPr>
          <w:rFonts w:ascii="Verdana" w:eastAsia="Calibri" w:hAnsi="Verdana" w:cs="Arial"/>
        </w:rPr>
        <w:t xml:space="preserve"> </w:t>
      </w:r>
      <w:proofErr w:type="gramStart"/>
      <w:r w:rsidRPr="00431926">
        <w:rPr>
          <w:rFonts w:ascii="Verdana" w:eastAsia="Calibri" w:hAnsi="Verdana" w:cs="Arial"/>
        </w:rPr>
        <w:t>caracterizar</w:t>
      </w:r>
      <w:proofErr w:type="gramEnd"/>
      <w:r w:rsidRPr="00431926">
        <w:rPr>
          <w:rFonts w:ascii="Verdana" w:eastAsia="Calibri" w:hAnsi="Verdana" w:cs="Arial"/>
        </w:rPr>
        <w:t xml:space="preserve"> clínica y epidemiológicamente a pacientes mayores de 18 años con traumatismo craneoencefálico, durante el periodo comprendido entre enero y noviembre del 2018, en el Hospital Universitario “Gustavo </w:t>
      </w:r>
      <w:proofErr w:type="spellStart"/>
      <w:r w:rsidRPr="00431926">
        <w:rPr>
          <w:rFonts w:ascii="Verdana" w:eastAsia="Calibri" w:hAnsi="Verdana" w:cs="Arial"/>
        </w:rPr>
        <w:t>Aldereguía</w:t>
      </w:r>
      <w:proofErr w:type="spellEnd"/>
      <w:r w:rsidRPr="00431926">
        <w:rPr>
          <w:rFonts w:ascii="Verdana" w:eastAsia="Calibri" w:hAnsi="Verdana" w:cs="Arial"/>
        </w:rPr>
        <w:t xml:space="preserve"> Lima” de la provincia Cienfuegos, Cuba. </w:t>
      </w:r>
      <w:r w:rsidRPr="00431926">
        <w:rPr>
          <w:rFonts w:ascii="Verdana" w:eastAsia="Calibri" w:hAnsi="Verdana" w:cs="Arial"/>
          <w:b/>
        </w:rPr>
        <w:t>Método:</w:t>
      </w:r>
      <w:r w:rsidRPr="00431926">
        <w:rPr>
          <w:rFonts w:ascii="Verdana" w:eastAsia="Calibri" w:hAnsi="Verdana" w:cs="Arial"/>
        </w:rPr>
        <w:t xml:space="preserve"> estudio observacional, descriptivo y de corte transversal, en pacientes mayores de 18 años con traumatismo craneoencefálico, durante el periodo comprendido entre enero y noviembre del 2018, en el Hospital Universitario “Gustavo </w:t>
      </w:r>
      <w:proofErr w:type="spellStart"/>
      <w:r w:rsidRPr="00431926">
        <w:rPr>
          <w:rFonts w:ascii="Verdana" w:eastAsia="Calibri" w:hAnsi="Verdana" w:cs="Arial"/>
        </w:rPr>
        <w:t>Aldereguía</w:t>
      </w:r>
      <w:proofErr w:type="spellEnd"/>
      <w:r w:rsidRPr="00431926">
        <w:rPr>
          <w:rFonts w:ascii="Verdana" w:eastAsia="Calibri" w:hAnsi="Verdana" w:cs="Arial"/>
        </w:rPr>
        <w:t xml:space="preserve"> Lima” de la provincia Cienfuegos, Cuba. El universo estuvo conformado por 32 pacientes y se trabajó con la totalidad de los mismos. Se estudiaron las variables edad, sexo, clasificación del traumatismo craneoencefálico según la escala de Glasgow, causa del traumatismo craneoencefálico y calidad de egreso. Se empleó la estadística descriptiva. </w:t>
      </w:r>
      <w:r w:rsidRPr="00431926">
        <w:rPr>
          <w:rFonts w:ascii="Verdana" w:eastAsia="Calibri" w:hAnsi="Verdana" w:cs="Arial"/>
          <w:b/>
        </w:rPr>
        <w:t>Resultados:</w:t>
      </w:r>
      <w:r w:rsidRPr="00431926">
        <w:rPr>
          <w:rFonts w:ascii="Verdana" w:eastAsia="Calibri" w:hAnsi="Verdana" w:cs="Arial"/>
        </w:rPr>
        <w:t xml:space="preserve"> predominaron los pacientes entre 21 y 40 años con 20 (62,5 %) de sexo masculino con 11 (64,71 %). El traumatismo craneoencefálico leve fue el predominante con 21 (65,63 %); y los accidentes de tráfico con 13 (40,63 %), los preponderantes. La mayoría de los pacientes (31) egresaron vivos  (96,88 %). </w:t>
      </w:r>
      <w:r w:rsidRPr="00431926">
        <w:rPr>
          <w:rFonts w:ascii="Verdana" w:eastAsia="Calibri" w:hAnsi="Verdana" w:cs="Arial"/>
          <w:b/>
        </w:rPr>
        <w:t>Conclusiones:</w:t>
      </w:r>
      <w:r w:rsidRPr="00431926">
        <w:rPr>
          <w:rFonts w:ascii="Verdana" w:eastAsia="Calibri" w:hAnsi="Verdana" w:cs="Arial"/>
        </w:rPr>
        <w:t xml:space="preserve"> los pacientes en edad media del sexo masculino, con traumatismo craneoencefálico leve fueron los que predominaron. La mayor proporción de los pacientes egresó viva y la principal causa de traumatismo fueron los accidentes de tráfico.</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Palabras clave:</w:t>
      </w:r>
      <w:r w:rsidRPr="00431926">
        <w:rPr>
          <w:rFonts w:ascii="Verdana" w:eastAsia="Calibri" w:hAnsi="Verdana" w:cs="Arial"/>
        </w:rPr>
        <w:t xml:space="preserve"> Accidentes; Cráneo; Incidencia; Neurocirugía; Traumatismo </w:t>
      </w:r>
      <w:proofErr w:type="spellStart"/>
      <w:r w:rsidRPr="00431926">
        <w:rPr>
          <w:rFonts w:ascii="Verdana" w:eastAsia="Calibri" w:hAnsi="Verdana" w:cs="Arial"/>
        </w:rPr>
        <w:t>Craneocerebral</w:t>
      </w:r>
      <w:proofErr w:type="spellEnd"/>
      <w:r w:rsidRPr="00431926">
        <w:rPr>
          <w:rFonts w:ascii="Verdana" w:eastAsia="Calibri" w:hAnsi="Verdana" w:cs="Arial"/>
        </w:rPr>
        <w:t>.</w:t>
      </w:r>
    </w:p>
    <w:p w:rsidR="00431926" w:rsidRPr="00431926" w:rsidRDefault="00431926" w:rsidP="00431926">
      <w:pPr>
        <w:tabs>
          <w:tab w:val="left" w:pos="9356"/>
        </w:tabs>
        <w:spacing w:after="0" w:line="360" w:lineRule="auto"/>
        <w:ind w:right="48"/>
        <w:jc w:val="both"/>
        <w:rPr>
          <w:rFonts w:ascii="Verdana" w:eastAsia="Calibri" w:hAnsi="Verdana" w:cs="Arial"/>
          <w:b/>
        </w:rPr>
      </w:pPr>
    </w:p>
    <w:p w:rsidR="00431926" w:rsidRPr="00431926" w:rsidRDefault="00431926" w:rsidP="00431926">
      <w:pPr>
        <w:tabs>
          <w:tab w:val="left" w:pos="9356"/>
        </w:tabs>
        <w:spacing w:after="0" w:line="360" w:lineRule="auto"/>
        <w:ind w:right="48"/>
        <w:jc w:val="both"/>
        <w:rPr>
          <w:rFonts w:ascii="Verdana" w:eastAsia="Calibri" w:hAnsi="Verdana" w:cs="Arial"/>
          <w:b/>
          <w:lang w:val="en-US"/>
        </w:rPr>
      </w:pPr>
      <w:r w:rsidRPr="00431926">
        <w:rPr>
          <w:rFonts w:ascii="Verdana" w:eastAsia="Calibri" w:hAnsi="Verdana" w:cs="Arial"/>
          <w:b/>
          <w:lang w:val="en-US"/>
        </w:rPr>
        <w:t>ABSTRACT</w:t>
      </w:r>
    </w:p>
    <w:p w:rsidR="00431926" w:rsidRPr="00431926" w:rsidRDefault="00431926" w:rsidP="00431926">
      <w:pPr>
        <w:tabs>
          <w:tab w:val="left" w:pos="9356"/>
        </w:tabs>
        <w:spacing w:after="0" w:line="360" w:lineRule="auto"/>
        <w:ind w:right="48"/>
        <w:jc w:val="both"/>
        <w:rPr>
          <w:rFonts w:ascii="Verdana" w:eastAsia="Calibri" w:hAnsi="Verdana" w:cs="Arial"/>
          <w:lang w:val="en-US"/>
        </w:rPr>
      </w:pPr>
      <w:r w:rsidRPr="00431926">
        <w:rPr>
          <w:rFonts w:ascii="Verdana" w:eastAsia="Calibri" w:hAnsi="Verdana" w:cs="Arial"/>
          <w:b/>
          <w:lang w:val="en-US"/>
        </w:rPr>
        <w:t>Introduction:</w:t>
      </w:r>
      <w:r w:rsidRPr="00431926">
        <w:rPr>
          <w:rFonts w:ascii="Verdana" w:eastAsia="Calibri" w:hAnsi="Verdana" w:cs="Arial"/>
          <w:lang w:val="en-US"/>
        </w:rPr>
        <w:t xml:space="preserve"> head injuries are related to the greatest amount of loss of life for young adults. They are the fourth cause of death in Cuba and the first in the population under 41 years of age. </w:t>
      </w:r>
      <w:r w:rsidRPr="00431926">
        <w:rPr>
          <w:rFonts w:ascii="Verdana" w:eastAsia="Calibri" w:hAnsi="Verdana" w:cs="Arial"/>
          <w:b/>
          <w:lang w:val="en-US"/>
        </w:rPr>
        <w:t>Objective:</w:t>
      </w:r>
      <w:r w:rsidRPr="00431926">
        <w:rPr>
          <w:rFonts w:ascii="Verdana" w:eastAsia="Calibri" w:hAnsi="Verdana" w:cs="Arial"/>
          <w:lang w:val="en-US"/>
        </w:rPr>
        <w:t xml:space="preserve"> to characterize clinically and epidemiologically patients over 18 years of age with head trauma, during the period between January and November 2018, at the "Gustavo </w:t>
      </w:r>
      <w:proofErr w:type="spellStart"/>
      <w:r w:rsidRPr="00431926">
        <w:rPr>
          <w:rFonts w:ascii="Verdana" w:eastAsia="Calibri" w:hAnsi="Verdana" w:cs="Arial"/>
          <w:lang w:val="en-US"/>
        </w:rPr>
        <w:t>Aldereguía</w:t>
      </w:r>
      <w:proofErr w:type="spellEnd"/>
      <w:r w:rsidRPr="00431926">
        <w:rPr>
          <w:rFonts w:ascii="Verdana" w:eastAsia="Calibri" w:hAnsi="Verdana" w:cs="Arial"/>
          <w:lang w:val="en-US"/>
        </w:rPr>
        <w:t xml:space="preserve"> Lima" University Hospital in Cienfuegos, Cuba. </w:t>
      </w:r>
      <w:r w:rsidRPr="00431926">
        <w:rPr>
          <w:rFonts w:ascii="Verdana" w:eastAsia="Calibri" w:hAnsi="Verdana" w:cs="Arial"/>
          <w:b/>
          <w:lang w:val="en-US"/>
        </w:rPr>
        <w:t xml:space="preserve">Method: </w:t>
      </w:r>
      <w:r w:rsidRPr="00431926">
        <w:rPr>
          <w:rFonts w:ascii="Verdana" w:eastAsia="Calibri" w:hAnsi="Verdana" w:cs="Arial"/>
          <w:lang w:val="en-US"/>
        </w:rPr>
        <w:t xml:space="preserve">it was carried out an observational, descriptive and cross-sectional study, in patients older than 18 years with head trauma, during the period between January and November 2018, at the "Gustavo </w:t>
      </w:r>
      <w:proofErr w:type="spellStart"/>
      <w:r w:rsidRPr="00431926">
        <w:rPr>
          <w:rFonts w:ascii="Verdana" w:eastAsia="Calibri" w:hAnsi="Verdana" w:cs="Arial"/>
          <w:lang w:val="en-US"/>
        </w:rPr>
        <w:t>Aldereguía</w:t>
      </w:r>
      <w:proofErr w:type="spellEnd"/>
      <w:r w:rsidRPr="00431926">
        <w:rPr>
          <w:rFonts w:ascii="Verdana" w:eastAsia="Calibri" w:hAnsi="Verdana" w:cs="Arial"/>
          <w:lang w:val="en-US"/>
        </w:rPr>
        <w:t xml:space="preserve"> Lima" University Hospital in Cienfuegos, Cuba. The universe consisted of 32 patients and all of them were studied.  The variables age, sex, classification of head injury according to the Glasgow scale, cause of head injury and quality of discharge were studied.  Descriptive statistics were used. </w:t>
      </w:r>
      <w:r w:rsidRPr="00431926">
        <w:rPr>
          <w:rFonts w:ascii="Verdana" w:eastAsia="Calibri" w:hAnsi="Verdana" w:cs="Arial"/>
          <w:b/>
          <w:lang w:val="en-US"/>
        </w:rPr>
        <w:t>Results:</w:t>
      </w:r>
      <w:r w:rsidRPr="00431926">
        <w:rPr>
          <w:rFonts w:ascii="Verdana" w:eastAsia="Calibri" w:hAnsi="Verdana" w:cs="Arial"/>
          <w:lang w:val="en-US"/>
        </w:rPr>
        <w:t xml:space="preserve"> male patients with 11 (64, 71 %) between 21 and 40 years of age with 20 (62, 5 %) predominated. Mild head trauma with 21 (65, 63 %) and traffic accidents with 13 (40, 63 %) were the most prevalent. Most of the patients (31) were discharged alive (96, 88 %). </w:t>
      </w:r>
      <w:r w:rsidRPr="00431926">
        <w:rPr>
          <w:rFonts w:ascii="Verdana" w:eastAsia="Calibri" w:hAnsi="Verdana" w:cs="Arial"/>
          <w:b/>
          <w:lang w:val="en-US"/>
        </w:rPr>
        <w:t>Conclusions:</w:t>
      </w:r>
      <w:r w:rsidRPr="00431926">
        <w:rPr>
          <w:rFonts w:ascii="Verdana" w:eastAsia="Calibri" w:hAnsi="Verdana" w:cs="Arial"/>
          <w:lang w:val="en-US"/>
        </w:rPr>
        <w:t xml:space="preserve"> middle-aged male patients with mild head trauma predominated. The largest proportion of patients was discharged alive and the main cause of trauma was traffic accidents.</w:t>
      </w:r>
    </w:p>
    <w:p w:rsidR="00431926" w:rsidRPr="00431926" w:rsidRDefault="00431926" w:rsidP="00431926">
      <w:pPr>
        <w:tabs>
          <w:tab w:val="left" w:pos="9356"/>
        </w:tabs>
        <w:spacing w:after="0" w:line="360" w:lineRule="auto"/>
        <w:ind w:right="48"/>
        <w:jc w:val="both"/>
        <w:rPr>
          <w:rFonts w:ascii="Verdana" w:eastAsia="Calibri" w:hAnsi="Verdana" w:cs="Arial"/>
          <w:lang w:val="en-US"/>
        </w:rPr>
      </w:pPr>
      <w:r w:rsidRPr="00431926">
        <w:rPr>
          <w:rFonts w:ascii="Verdana" w:eastAsia="Calibri" w:hAnsi="Verdana" w:cs="Arial"/>
          <w:b/>
          <w:lang w:val="en-US"/>
        </w:rPr>
        <w:t>Keywords:</w:t>
      </w:r>
      <w:r w:rsidRPr="00431926">
        <w:rPr>
          <w:rFonts w:ascii="Verdana" w:eastAsia="Calibri" w:hAnsi="Verdana" w:cs="Arial"/>
          <w:lang w:val="en-US"/>
        </w:rPr>
        <w:t xml:space="preserve"> Accidents; Skull; Incidence; Neurosurgery; Brain Injuries, Traumatic.</w:t>
      </w:r>
    </w:p>
    <w:p w:rsidR="00431926" w:rsidRPr="00431926" w:rsidRDefault="00431926" w:rsidP="00431926">
      <w:pPr>
        <w:tabs>
          <w:tab w:val="left" w:pos="9356"/>
        </w:tabs>
        <w:spacing w:after="0" w:line="360" w:lineRule="auto"/>
        <w:ind w:right="48"/>
        <w:jc w:val="both"/>
        <w:rPr>
          <w:rFonts w:ascii="Verdana" w:eastAsia="Calibri" w:hAnsi="Verdana" w:cs="Arial"/>
          <w:lang w:val="en-US"/>
        </w:rPr>
      </w:pPr>
    </w:p>
    <w:p w:rsidR="00431926" w:rsidRPr="00431926" w:rsidRDefault="00431926" w:rsidP="00431926">
      <w:pPr>
        <w:tabs>
          <w:tab w:val="left" w:pos="9356"/>
        </w:tabs>
        <w:spacing w:after="0" w:line="360" w:lineRule="auto"/>
        <w:ind w:right="48"/>
        <w:jc w:val="both"/>
        <w:rPr>
          <w:rFonts w:ascii="Verdana" w:eastAsia="Calibri" w:hAnsi="Verdana" w:cs="Arial"/>
          <w:b/>
        </w:rPr>
      </w:pPr>
      <w:r w:rsidRPr="00431926">
        <w:rPr>
          <w:rFonts w:ascii="Verdana" w:eastAsia="Calibri" w:hAnsi="Verdana" w:cs="Arial"/>
          <w:b/>
        </w:rPr>
        <w:t>INTRODUCCIÓN</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Dentro de las enfermedades neurológicas, el traumatismo craneoencefálico (TCE) se encuentra entre los primeros lugares, tanto en frecuencia como en gravedad. El TCE se define como una alteración del cerebro, tanto en su anatomía como en su funcionalidad, debido a intercambios violentos de energía mecánica. Se reporta como una de las principales causas de morbilidad y mortalidad en personas menores de 45 años</w:t>
      </w:r>
      <w:r w:rsidRPr="00431926">
        <w:rPr>
          <w:rFonts w:ascii="Verdana" w:eastAsia="Calibri" w:hAnsi="Verdana" w:cs="Arial"/>
          <w:vertAlign w:val="superscript"/>
        </w:rPr>
        <w:t>1</w:t>
      </w:r>
      <w:proofErr w:type="gramStart"/>
      <w:r w:rsidRPr="00431926">
        <w:rPr>
          <w:rFonts w:ascii="Verdana" w:eastAsia="Calibri" w:hAnsi="Verdana" w:cs="Arial"/>
          <w:vertAlign w:val="superscript"/>
        </w:rPr>
        <w:t>,2</w:t>
      </w:r>
      <w:proofErr w:type="gramEnd"/>
      <w:r w:rsidRPr="00431926">
        <w:rPr>
          <w:rFonts w:ascii="Verdana" w:eastAsia="Calibri" w:hAnsi="Verdana" w:cs="Arial"/>
        </w:rPr>
        <w:t>.</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En el proceso básico del trauma no existe problema para establecer el diagnóstico etiológico, pero sí se encuentra la incertidumbre de la patogénesis del trastorno cerebral inmediato y de los efectos tardíos que pueden complicar la lesión. </w:t>
      </w:r>
      <w:r w:rsidRPr="00431926">
        <w:rPr>
          <w:rFonts w:ascii="Verdana" w:eastAsia="Calibri" w:hAnsi="Verdana" w:cs="Arial"/>
        </w:rPr>
        <w:lastRenderedPageBreak/>
        <w:t>Clínicamente se clasifica en leve (13-15 puntos), moderado (9-12 puntos) y severo (3-8 puntos) mediante la escala de coma de Glasgow. Los TCE leves ocupan la mayoría de los casos presentados anualmente</w:t>
      </w:r>
      <w:r w:rsidRPr="00431926">
        <w:rPr>
          <w:rFonts w:ascii="Verdana" w:eastAsia="Calibri" w:hAnsi="Verdana" w:cs="Arial"/>
          <w:vertAlign w:val="superscript"/>
        </w:rPr>
        <w:t>3</w:t>
      </w:r>
      <w:proofErr w:type="gramStart"/>
      <w:r w:rsidRPr="00431926">
        <w:rPr>
          <w:rFonts w:ascii="Verdana" w:eastAsia="Calibri" w:hAnsi="Verdana" w:cs="Arial"/>
          <w:vertAlign w:val="superscript"/>
        </w:rPr>
        <w:t>,4,5</w:t>
      </w:r>
      <w:proofErr w:type="gramEnd"/>
      <w:r w:rsidRPr="00431926">
        <w:rPr>
          <w:rFonts w:ascii="Verdana" w:eastAsia="Calibri" w:hAnsi="Verdana" w:cs="Arial"/>
        </w:rPr>
        <w:t>.</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Los TCE causan la mayoría de las muertes por traumas a nivel mundial. La tasa es de 579 por 100 000 persona por año, principalmente debido a caídas o accidentes vehiculares; pueden estar asociados al sexo (predominantemente en hombres), edad o país (más alta en países en vía de desarrollo). La tasa de incidencia de los TCE en Latinoamérica es alta en lesiones causadas por accidentes de tránsito y violencia. Los más implicados en el primer caso son los motociclistas y los peatones; en el segundo, los países cuyas tasas de violencia son altas debido a conflictos bélicos y distintos tipos de violencia, como la doméstica y la infantil</w:t>
      </w:r>
      <w:r w:rsidRPr="00431926">
        <w:rPr>
          <w:rFonts w:ascii="Verdana" w:eastAsia="Calibri" w:hAnsi="Verdana" w:cs="Arial"/>
          <w:vertAlign w:val="superscript"/>
        </w:rPr>
        <w:t>6</w:t>
      </w:r>
      <w:proofErr w:type="gramStart"/>
      <w:r w:rsidRPr="00431926">
        <w:rPr>
          <w:rFonts w:ascii="Verdana" w:eastAsia="Calibri" w:hAnsi="Verdana" w:cs="Arial"/>
          <w:vertAlign w:val="superscript"/>
        </w:rPr>
        <w:t>,7,8</w:t>
      </w:r>
      <w:proofErr w:type="gramEnd"/>
      <w:r w:rsidRPr="00431926">
        <w:rPr>
          <w:rFonts w:ascii="Verdana" w:eastAsia="Calibri" w:hAnsi="Verdana" w:cs="Arial"/>
        </w:rPr>
        <w:t>.</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Además, es una de las principales causas de años perdidos por incapacidad en personas menores de 45 años. Según las estadísticas, a nivel global el 12 % de los adultos en países desarrollados han tenido un TCE, pero existen 2 poblaciones de alto riesgo: los atletas y los militares, por la exposición en sus labores</w:t>
      </w:r>
      <w:r w:rsidRPr="00431926">
        <w:rPr>
          <w:rFonts w:ascii="Verdana" w:eastAsia="Calibri" w:hAnsi="Verdana" w:cs="Arial"/>
          <w:vertAlign w:val="superscript"/>
        </w:rPr>
        <w:t>9</w:t>
      </w:r>
      <w:proofErr w:type="gramStart"/>
      <w:r w:rsidRPr="00431926">
        <w:rPr>
          <w:rFonts w:ascii="Verdana" w:eastAsia="Calibri" w:hAnsi="Verdana" w:cs="Arial"/>
          <w:vertAlign w:val="superscript"/>
        </w:rPr>
        <w:t>,10</w:t>
      </w:r>
      <w:proofErr w:type="gramEnd"/>
      <w:r w:rsidRPr="00431926">
        <w:rPr>
          <w:rFonts w:ascii="Verdana" w:eastAsia="Calibri" w:hAnsi="Verdana" w:cs="Arial"/>
        </w:rPr>
        <w:t>.</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En Cuba, los TCE son la cuarta causa de muerte y la principal causa de muerte en la población menor de 41 años, por lo que representan un problema de importancia médico-social de significación epidemiológica, que se acompaña de un elevado costo a la sociedad y a la familia.</w:t>
      </w:r>
      <w:r w:rsidRPr="00431926">
        <w:rPr>
          <w:rFonts w:ascii="Verdana" w:eastAsia="Calibri" w:hAnsi="Verdana" w:cs="Arial"/>
          <w:vertAlign w:val="superscript"/>
        </w:rPr>
        <w:t xml:space="preserve"> </w:t>
      </w:r>
      <w:r w:rsidRPr="00431926">
        <w:rPr>
          <w:rFonts w:ascii="Verdana" w:eastAsia="Calibri" w:hAnsi="Verdana" w:cs="Arial"/>
        </w:rPr>
        <w:t>Además, son responsables de dos tercios de las muertes que, en menores de 41 años, se producen en un hospital general. Aunque son superados en frecuencia por las enfermedades cerebrovasculares, su afectación alcanza a una población más joven y con mejor expectativa de vida</w:t>
      </w:r>
      <w:r w:rsidRPr="00431926">
        <w:rPr>
          <w:rFonts w:ascii="Verdana" w:eastAsia="Calibri" w:hAnsi="Verdana" w:cs="Arial"/>
          <w:vertAlign w:val="superscript"/>
        </w:rPr>
        <w:t>11</w:t>
      </w:r>
      <w:proofErr w:type="gramStart"/>
      <w:r w:rsidRPr="00431926">
        <w:rPr>
          <w:rFonts w:ascii="Verdana" w:eastAsia="Calibri" w:hAnsi="Verdana" w:cs="Arial"/>
          <w:vertAlign w:val="superscript"/>
        </w:rPr>
        <w:t>,12</w:t>
      </w:r>
      <w:proofErr w:type="gramEnd"/>
      <w:r w:rsidRPr="00431926">
        <w:rPr>
          <w:rFonts w:ascii="Verdana" w:eastAsia="Calibri" w:hAnsi="Verdana" w:cs="Arial"/>
        </w:rPr>
        <w:t>.</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El estudio de esta enfermedad es esencial en el diseño de estrategias de intervención tanto a nivel hospitalario como comunitario, para la adecuada reinserción social de los pacientes que lo experimentan. El objetivo de esta investigación fue caracterizar clínica y epidemiológicamente a pacientes mayores de 18 años con TCE, durante el periodo comprendido entre enero y noviembre del 2018, en el Hospital Universitario “Gustavo </w:t>
      </w:r>
      <w:proofErr w:type="spellStart"/>
      <w:r w:rsidRPr="00431926">
        <w:rPr>
          <w:rFonts w:ascii="Verdana" w:eastAsia="Calibri" w:hAnsi="Verdana" w:cs="Arial"/>
        </w:rPr>
        <w:t>Aldereguía</w:t>
      </w:r>
      <w:proofErr w:type="spellEnd"/>
      <w:r w:rsidRPr="00431926">
        <w:rPr>
          <w:rFonts w:ascii="Verdana" w:eastAsia="Calibri" w:hAnsi="Verdana" w:cs="Arial"/>
        </w:rPr>
        <w:t xml:space="preserve"> Lima” de la provincia Cienfuegos, Cuba.</w:t>
      </w:r>
    </w:p>
    <w:p w:rsidR="00431926" w:rsidRPr="00431926" w:rsidRDefault="00431926" w:rsidP="00431926">
      <w:pPr>
        <w:tabs>
          <w:tab w:val="left" w:pos="9356"/>
        </w:tabs>
        <w:spacing w:after="0" w:line="360" w:lineRule="auto"/>
        <w:ind w:right="48"/>
        <w:jc w:val="both"/>
        <w:rPr>
          <w:rFonts w:ascii="Verdana" w:eastAsia="Calibri" w:hAnsi="Verdana" w:cs="Arial"/>
          <w:b/>
        </w:rPr>
      </w:pPr>
    </w:p>
    <w:p w:rsidR="00431926" w:rsidRPr="00431926" w:rsidRDefault="00431926" w:rsidP="00431926">
      <w:pPr>
        <w:tabs>
          <w:tab w:val="left" w:pos="9356"/>
        </w:tabs>
        <w:spacing w:after="0" w:line="360" w:lineRule="auto"/>
        <w:ind w:right="48"/>
        <w:jc w:val="both"/>
        <w:rPr>
          <w:rFonts w:ascii="Verdana" w:eastAsia="Calibri" w:hAnsi="Verdana" w:cs="Arial"/>
          <w:b/>
        </w:rPr>
      </w:pPr>
      <w:r w:rsidRPr="00431926">
        <w:rPr>
          <w:rFonts w:ascii="Verdana" w:eastAsia="Calibri" w:hAnsi="Verdana" w:cs="Arial"/>
          <w:b/>
        </w:rPr>
        <w:t>MÉTODO</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lastRenderedPageBreak/>
        <w:t>Tipo de estudio:</w:t>
      </w:r>
      <w:r w:rsidRPr="00431926">
        <w:rPr>
          <w:rFonts w:ascii="Verdana" w:eastAsia="Calibri" w:hAnsi="Verdana" w:cs="Arial"/>
        </w:rPr>
        <w:t xml:space="preserve"> se realizó un estudio observacional, descriptivo, de corte transversal en pacientes mayores de 18 años con TCE, durante el periodo comprendido entre enero y noviembre del 2018, en el Hospital Universitario “Gustavo </w:t>
      </w:r>
      <w:proofErr w:type="spellStart"/>
      <w:r w:rsidRPr="00431926">
        <w:rPr>
          <w:rFonts w:ascii="Verdana" w:eastAsia="Calibri" w:hAnsi="Verdana" w:cs="Arial"/>
        </w:rPr>
        <w:t>Aldereguía</w:t>
      </w:r>
      <w:proofErr w:type="spellEnd"/>
      <w:r w:rsidRPr="00431926">
        <w:rPr>
          <w:rFonts w:ascii="Verdana" w:eastAsia="Calibri" w:hAnsi="Verdana" w:cs="Arial"/>
        </w:rPr>
        <w:t xml:space="preserve"> Lima” de la provincia Cienfuegos, Cuba.</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Universo y muestra:</w:t>
      </w:r>
      <w:r w:rsidRPr="00431926">
        <w:rPr>
          <w:rFonts w:ascii="Verdana" w:eastAsia="Calibri" w:hAnsi="Verdana" w:cs="Arial"/>
        </w:rPr>
        <w:t xml:space="preserve"> el universo estuvo conformado por 32 pacientes y se trabajó con la totalidad de los mismos. Fueron incluidos los pacientes con TCE mayores de 18 años. Se excluyeron los pacientes cuya información registrada no propiciara los datos necesarios para evaluar las variables de estudio.</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Variables y recolección de datos:</w:t>
      </w:r>
      <w:r w:rsidRPr="00431926">
        <w:rPr>
          <w:rFonts w:ascii="Verdana" w:eastAsia="Calibri" w:hAnsi="Verdana" w:cs="Arial"/>
        </w:rPr>
        <w:t xml:space="preserve"> la recolección de los datos se llevó a cabo mediante la revisión de las historias clínicas individuales de los pacientes. Las variables objetos de estudio fueron: edad, sexo, clasificación del TCE según la escala de Glasgow (severo: 3-8 puntos; moderado: 9-12 puntos; leve: 13-15 puntos), causa del TCE y estado del paciente al egreso (vivo o fallecido).</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Procesamiento estadístico:</w:t>
      </w:r>
      <w:r w:rsidRPr="00431926">
        <w:rPr>
          <w:rFonts w:ascii="Verdana" w:eastAsia="Calibri" w:hAnsi="Verdana" w:cs="Arial"/>
        </w:rPr>
        <w:t xml:space="preserve"> para el procesamiento y análisis de la información se creó una base de datos en una hoja de cálculo de Microsoft Excel 2016; a través del programa estadístico SPSS 23.0 se obtuvieron los indicadores descriptivos correspondientes: frecuencias absolutas y relativas porcentuales. </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Normas éticas:</w:t>
      </w:r>
      <w:r w:rsidRPr="00431926">
        <w:rPr>
          <w:rFonts w:ascii="Verdana" w:eastAsia="Calibri" w:hAnsi="Verdana" w:cs="Arial"/>
        </w:rPr>
        <w:t xml:space="preserve"> esta investigación contó con la aprobación del Consejo Científico y Comité de Ética Médica de la institución. Al no requerirse la participación directa de los pacientes, no se precisó de la solicitud previa del consentimiento informado. Se respetaron las normas éticas expuestas en la II Declaración de Helsinki. Se tuvieron en cuenta los principios bioéticos de beneficencia y no maleficencia, respeto por la autonomía y justicia, respeto de la confidencialidad de los datos obtenidos, los cuales solo se emplearon con fines investigativos.</w:t>
      </w:r>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tabs>
          <w:tab w:val="left" w:pos="9356"/>
        </w:tabs>
        <w:spacing w:after="0" w:line="360" w:lineRule="auto"/>
        <w:ind w:right="48"/>
        <w:jc w:val="both"/>
        <w:rPr>
          <w:rFonts w:ascii="Verdana" w:eastAsia="Calibri" w:hAnsi="Verdana" w:cs="Arial"/>
          <w:b/>
        </w:rPr>
      </w:pPr>
      <w:r w:rsidRPr="00431926">
        <w:rPr>
          <w:rFonts w:ascii="Verdana" w:eastAsia="Calibri" w:hAnsi="Verdana" w:cs="Arial"/>
          <w:b/>
        </w:rPr>
        <w:t xml:space="preserve">RESULTADOS </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Existió un predominio de las edades comprendidas entre 21 y 40 años con 20 (62,5 %); el sexo masculino con 11 (64,71 %) fue el de mayor frecuencia. (Ver anexos Tabla 1).</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Predominaron los TCE leves con 21 (65,63 %); el sexo masculino con 13 (76,47 %) fue el de mayor representación. (Ver anexos Tabla 2). </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lastRenderedPageBreak/>
        <w:t>Los accidentes de tráfico con 13 (40,63 %) fueron la causa más frecuente de TCE; la mayor frecuencia correspondió al del sexo masculino, con 7 casos representando un 41,18 %. (Ver anexos Tabla 3).</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El 96,88 % de los pacientes egresó vivo con un total de 31 casos. (Ver anexos Tabla 4).</w:t>
      </w:r>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tabs>
          <w:tab w:val="left" w:pos="9356"/>
        </w:tabs>
        <w:spacing w:after="0" w:line="360" w:lineRule="auto"/>
        <w:ind w:right="48"/>
        <w:jc w:val="both"/>
        <w:rPr>
          <w:rFonts w:ascii="Verdana" w:eastAsia="Calibri" w:hAnsi="Verdana" w:cs="Arial"/>
          <w:b/>
          <w:lang w:val="en-US"/>
        </w:rPr>
      </w:pPr>
      <w:r w:rsidRPr="00431926">
        <w:rPr>
          <w:rFonts w:ascii="Verdana" w:eastAsia="Calibri" w:hAnsi="Verdana" w:cs="Arial"/>
          <w:b/>
          <w:lang w:val="en-US"/>
        </w:rPr>
        <w:t>DISCUSIÓN</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En el estudio realizado predominaron los varones, entre 21 y 40 años, resultado que coincide con el de Amado-</w:t>
      </w:r>
      <w:proofErr w:type="spellStart"/>
      <w:r w:rsidRPr="00431926">
        <w:rPr>
          <w:rFonts w:ascii="Verdana" w:eastAsia="Calibri" w:hAnsi="Verdana" w:cs="Arial"/>
        </w:rPr>
        <w:t>Donéstevez</w:t>
      </w:r>
      <w:proofErr w:type="spellEnd"/>
      <w:r w:rsidRPr="00431926">
        <w:rPr>
          <w:rFonts w:ascii="Verdana" w:eastAsia="Calibri" w:hAnsi="Verdana" w:cs="Arial"/>
        </w:rPr>
        <w:t xml:space="preserve"> </w:t>
      </w:r>
      <w:r w:rsidRPr="00431926">
        <w:rPr>
          <w:rFonts w:ascii="Verdana" w:eastAsia="Calibri" w:hAnsi="Verdana" w:cs="Arial"/>
          <w:i/>
        </w:rPr>
        <w:t>et al.</w:t>
      </w:r>
      <w:r w:rsidRPr="00431926">
        <w:rPr>
          <w:rFonts w:ascii="Verdana" w:eastAsia="Calibri" w:hAnsi="Verdana" w:cs="Arial"/>
          <w:vertAlign w:val="superscript"/>
        </w:rPr>
        <w:t>13</w:t>
      </w:r>
      <w:r w:rsidRPr="00431926">
        <w:rPr>
          <w:rFonts w:ascii="Verdana" w:eastAsia="Calibri" w:hAnsi="Verdana" w:cs="Arial"/>
        </w:rPr>
        <w:t>, en el que prevaleció el sexo masculino y el intervalo de edad predominante fue entre 27 y 59 años, con una media de 42,2 años. También concuerda con la investigación realizada por Ortega-</w:t>
      </w:r>
      <w:proofErr w:type="spellStart"/>
      <w:r w:rsidRPr="00431926">
        <w:rPr>
          <w:rFonts w:ascii="Verdana" w:eastAsia="Calibri" w:hAnsi="Verdana" w:cs="Arial"/>
        </w:rPr>
        <w:t>Zufiría</w:t>
      </w:r>
      <w:proofErr w:type="spellEnd"/>
      <w:r w:rsidRPr="00431926">
        <w:rPr>
          <w:rFonts w:ascii="Verdana" w:eastAsia="Calibri" w:hAnsi="Verdana" w:cs="Arial"/>
        </w:rPr>
        <w:t xml:space="preserve"> </w:t>
      </w:r>
      <w:r w:rsidRPr="00431926">
        <w:rPr>
          <w:rFonts w:ascii="Verdana" w:eastAsia="Calibri" w:hAnsi="Verdana" w:cs="Arial"/>
          <w:i/>
        </w:rPr>
        <w:t>et al.</w:t>
      </w:r>
      <w:r w:rsidRPr="00431926">
        <w:rPr>
          <w:rFonts w:ascii="Verdana" w:eastAsia="Calibri" w:hAnsi="Verdana" w:cs="Arial"/>
          <w:vertAlign w:val="superscript"/>
        </w:rPr>
        <w:t>14</w:t>
      </w:r>
      <w:r w:rsidRPr="00431926">
        <w:rPr>
          <w:rFonts w:ascii="Verdana" w:eastAsia="Calibri" w:hAnsi="Verdana" w:cs="Arial"/>
        </w:rPr>
        <w:t xml:space="preserve">, en la cual predominaron los varones. Bermúdez-Ruíz </w:t>
      </w:r>
      <w:r w:rsidRPr="00431926">
        <w:rPr>
          <w:rFonts w:ascii="Verdana" w:eastAsia="Calibri" w:hAnsi="Verdana" w:cs="Arial"/>
          <w:i/>
        </w:rPr>
        <w:t>et al.</w:t>
      </w:r>
      <w:r w:rsidRPr="00431926">
        <w:rPr>
          <w:rFonts w:ascii="Verdana" w:eastAsia="Calibri" w:hAnsi="Verdana" w:cs="Arial"/>
          <w:vertAlign w:val="superscript"/>
        </w:rPr>
        <w:t>15</w:t>
      </w:r>
      <w:r w:rsidRPr="00431926">
        <w:rPr>
          <w:rFonts w:ascii="Verdana" w:eastAsia="Calibri" w:hAnsi="Verdana" w:cs="Arial"/>
        </w:rPr>
        <w:t xml:space="preserve"> presentaron en su investigación resultados similares a los encontrados en este estudio, ya que predominaron los pacientes masculinos (92,11 %), de edades entre 36 y 64 años. Los autores plantean que este problema de salud afecta a una población más joven y con mejor expectativa de vida. </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La mayor parte de los TCE fueron leves según la escala de coma de Glasgow, resultado que coincide con las investigaciones realizadas por Sierra </w:t>
      </w:r>
      <w:r w:rsidRPr="00431926">
        <w:rPr>
          <w:rFonts w:ascii="Verdana" w:eastAsia="Calibri" w:hAnsi="Verdana" w:cs="Arial"/>
          <w:i/>
        </w:rPr>
        <w:t>et al.</w:t>
      </w:r>
      <w:r w:rsidRPr="00431926">
        <w:rPr>
          <w:rFonts w:ascii="Verdana" w:eastAsia="Calibri" w:hAnsi="Verdana" w:cs="Arial"/>
          <w:vertAlign w:val="superscript"/>
        </w:rPr>
        <w:t>16</w:t>
      </w:r>
      <w:r w:rsidRPr="00431926">
        <w:rPr>
          <w:rFonts w:ascii="Verdana" w:eastAsia="Calibri" w:hAnsi="Verdana" w:cs="Arial"/>
        </w:rPr>
        <w:t>, Amado-</w:t>
      </w:r>
      <w:proofErr w:type="spellStart"/>
      <w:r w:rsidRPr="00431926">
        <w:rPr>
          <w:rFonts w:ascii="Verdana" w:eastAsia="Calibri" w:hAnsi="Verdana" w:cs="Arial"/>
        </w:rPr>
        <w:t>Donéstevez</w:t>
      </w:r>
      <w:proofErr w:type="spellEnd"/>
      <w:r w:rsidRPr="00431926">
        <w:rPr>
          <w:rFonts w:ascii="Verdana" w:eastAsia="Calibri" w:hAnsi="Verdana" w:cs="Arial"/>
        </w:rPr>
        <w:t xml:space="preserve"> </w:t>
      </w:r>
      <w:r w:rsidRPr="00431926">
        <w:rPr>
          <w:rFonts w:ascii="Verdana" w:eastAsia="Calibri" w:hAnsi="Verdana" w:cs="Arial"/>
          <w:i/>
        </w:rPr>
        <w:t>et al.</w:t>
      </w:r>
      <w:r w:rsidRPr="00431926">
        <w:rPr>
          <w:rFonts w:ascii="Verdana" w:eastAsia="Calibri" w:hAnsi="Verdana" w:cs="Arial"/>
          <w:vertAlign w:val="superscript"/>
        </w:rPr>
        <w:t xml:space="preserve">13 </w:t>
      </w:r>
      <w:r w:rsidRPr="00431926">
        <w:rPr>
          <w:rFonts w:ascii="Verdana" w:eastAsia="Calibri" w:hAnsi="Verdana" w:cs="Arial"/>
        </w:rPr>
        <w:t xml:space="preserve">y </w:t>
      </w:r>
      <w:proofErr w:type="spellStart"/>
      <w:r w:rsidRPr="00431926">
        <w:rPr>
          <w:rFonts w:ascii="Verdana" w:eastAsia="Calibri" w:hAnsi="Verdana" w:cs="Arial"/>
        </w:rPr>
        <w:t>Quintanal</w:t>
      </w:r>
      <w:proofErr w:type="spellEnd"/>
      <w:r w:rsidRPr="00431926">
        <w:rPr>
          <w:rFonts w:ascii="Verdana" w:eastAsia="Calibri" w:hAnsi="Verdana" w:cs="Arial"/>
        </w:rPr>
        <w:t xml:space="preserve">-Cordero </w:t>
      </w:r>
      <w:r w:rsidRPr="00431926">
        <w:rPr>
          <w:rFonts w:ascii="Verdana" w:eastAsia="Calibri" w:hAnsi="Verdana" w:cs="Arial"/>
          <w:i/>
        </w:rPr>
        <w:t>et al.</w:t>
      </w:r>
      <w:r w:rsidRPr="00431926">
        <w:rPr>
          <w:rFonts w:ascii="Verdana" w:eastAsia="Calibri" w:hAnsi="Verdana" w:cs="Arial"/>
          <w:vertAlign w:val="superscript"/>
        </w:rPr>
        <w:t>17</w:t>
      </w:r>
      <w:r w:rsidRPr="00431926">
        <w:rPr>
          <w:rFonts w:ascii="Verdana" w:eastAsia="Calibri" w:hAnsi="Verdana" w:cs="Arial"/>
        </w:rPr>
        <w:t>, en las cuales también predominaron los TCE leves.</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Los autores plantean que clásicamente se ha prestado menos importancia al TCE leve, pero este representa un problema sanitario de enorme interés debido a que un número significativo de enfermos con TCE leve desarrolla complicaciones potencialmente mortales, que requieren actuaciones médicas y </w:t>
      </w:r>
      <w:proofErr w:type="spellStart"/>
      <w:r w:rsidRPr="00431926">
        <w:rPr>
          <w:rFonts w:ascii="Verdana" w:eastAsia="Calibri" w:hAnsi="Verdana" w:cs="Arial"/>
        </w:rPr>
        <w:t>neuroquirúrgicas</w:t>
      </w:r>
      <w:proofErr w:type="spellEnd"/>
      <w:r w:rsidRPr="00431926">
        <w:rPr>
          <w:rFonts w:ascii="Verdana" w:eastAsia="Calibri" w:hAnsi="Verdana" w:cs="Arial"/>
        </w:rPr>
        <w:t xml:space="preserve"> urgentes. </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Los accidentes de tráfico fueron la causa predominante de trauma, resultado que concordó con el de Bermúdez-Ruíz </w:t>
      </w:r>
      <w:r w:rsidRPr="00431926">
        <w:rPr>
          <w:rFonts w:ascii="Verdana" w:eastAsia="Calibri" w:hAnsi="Verdana" w:cs="Arial"/>
          <w:i/>
        </w:rPr>
        <w:t>et al.</w:t>
      </w:r>
      <w:r w:rsidRPr="00431926">
        <w:rPr>
          <w:rFonts w:ascii="Verdana" w:eastAsia="Calibri" w:hAnsi="Verdana" w:cs="Arial"/>
          <w:vertAlign w:val="superscript"/>
        </w:rPr>
        <w:t>15</w:t>
      </w:r>
      <w:r w:rsidRPr="00431926">
        <w:rPr>
          <w:rFonts w:ascii="Verdana" w:eastAsia="Calibri" w:hAnsi="Verdana" w:cs="Arial"/>
        </w:rPr>
        <w:t>, donde el 50 % de los traumas fueron por accidente de tránsito; también con los de Ortega-</w:t>
      </w:r>
      <w:proofErr w:type="spellStart"/>
      <w:r w:rsidRPr="00431926">
        <w:rPr>
          <w:rFonts w:ascii="Verdana" w:eastAsia="Calibri" w:hAnsi="Verdana" w:cs="Arial"/>
        </w:rPr>
        <w:t>Zufiría</w:t>
      </w:r>
      <w:proofErr w:type="spellEnd"/>
      <w:r w:rsidRPr="00431926">
        <w:rPr>
          <w:rFonts w:ascii="Verdana" w:eastAsia="Calibri" w:hAnsi="Verdana" w:cs="Arial"/>
        </w:rPr>
        <w:t xml:space="preserve"> </w:t>
      </w:r>
      <w:r w:rsidRPr="00431926">
        <w:rPr>
          <w:rFonts w:ascii="Verdana" w:eastAsia="Calibri" w:hAnsi="Verdana" w:cs="Arial"/>
          <w:i/>
        </w:rPr>
        <w:t>et al.</w:t>
      </w:r>
      <w:r w:rsidRPr="00431926">
        <w:rPr>
          <w:rFonts w:ascii="Verdana" w:eastAsia="Calibri" w:hAnsi="Verdana" w:cs="Arial"/>
          <w:vertAlign w:val="superscript"/>
        </w:rPr>
        <w:t>14</w:t>
      </w:r>
      <w:r w:rsidRPr="00431926">
        <w:rPr>
          <w:rFonts w:ascii="Verdana" w:eastAsia="Calibri" w:hAnsi="Verdana" w:cs="Arial"/>
        </w:rPr>
        <w:t xml:space="preserve"> y </w:t>
      </w:r>
      <w:proofErr w:type="spellStart"/>
      <w:r w:rsidRPr="00431926">
        <w:rPr>
          <w:rFonts w:ascii="Verdana" w:eastAsia="Calibri" w:hAnsi="Verdana" w:cs="Arial"/>
        </w:rPr>
        <w:t>Quintanal</w:t>
      </w:r>
      <w:proofErr w:type="spellEnd"/>
      <w:r w:rsidRPr="00431926">
        <w:rPr>
          <w:rFonts w:ascii="Verdana" w:eastAsia="Calibri" w:hAnsi="Verdana" w:cs="Arial"/>
        </w:rPr>
        <w:t xml:space="preserve">-Cordero </w:t>
      </w:r>
      <w:r w:rsidRPr="00431926">
        <w:rPr>
          <w:rFonts w:ascii="Verdana" w:eastAsia="Calibri" w:hAnsi="Verdana" w:cs="Arial"/>
          <w:i/>
        </w:rPr>
        <w:t>et al.</w:t>
      </w:r>
      <w:r w:rsidRPr="00431926">
        <w:rPr>
          <w:rFonts w:ascii="Verdana" w:eastAsia="Calibri" w:hAnsi="Verdana" w:cs="Arial"/>
          <w:vertAlign w:val="superscript"/>
        </w:rPr>
        <w:t>17</w:t>
      </w:r>
      <w:r w:rsidRPr="00431926">
        <w:rPr>
          <w:rFonts w:ascii="Verdana" w:eastAsia="Calibri" w:hAnsi="Verdana" w:cs="Arial"/>
        </w:rPr>
        <w:t>, donde estos ocuparon el mayor por ciento.</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En Cuba, los accidentes se encuentran entre las cinco primeras causas de muerte desde 0 hasta 64 años, particularmente para los niños mayores de un año de edad </w:t>
      </w:r>
      <w:r w:rsidRPr="00431926">
        <w:rPr>
          <w:rFonts w:ascii="Verdana" w:eastAsia="Calibri" w:hAnsi="Verdana" w:cs="Arial"/>
        </w:rPr>
        <w:lastRenderedPageBreak/>
        <w:t>y adolescentes. Se estima que por cada muerte por accidente del tránsito hay entre 10 y 15 heridos graves y de 30 a 40 heridos leves</w:t>
      </w:r>
      <w:r w:rsidRPr="00431926">
        <w:rPr>
          <w:rFonts w:ascii="Verdana" w:eastAsia="Calibri" w:hAnsi="Verdana" w:cs="Arial"/>
          <w:vertAlign w:val="superscript"/>
        </w:rPr>
        <w:t>7</w:t>
      </w:r>
      <w:proofErr w:type="gramStart"/>
      <w:r w:rsidRPr="00431926">
        <w:rPr>
          <w:rFonts w:ascii="Verdana" w:eastAsia="Calibri" w:hAnsi="Verdana" w:cs="Arial"/>
          <w:vertAlign w:val="superscript"/>
        </w:rPr>
        <w:t>,8</w:t>
      </w:r>
      <w:proofErr w:type="gramEnd"/>
      <w:r w:rsidRPr="00431926">
        <w:rPr>
          <w:rFonts w:ascii="Verdana" w:eastAsia="Calibri" w:hAnsi="Verdana" w:cs="Arial"/>
        </w:rPr>
        <w:t>.</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El TCE, a su vez, constituye el principal trauma ocasionado por accidentes. Los autores plantean que, para obtener importantes mejoras en los indicadores de salud, es necesario fortalecer la atención </w:t>
      </w:r>
      <w:proofErr w:type="spellStart"/>
      <w:r w:rsidRPr="00431926">
        <w:rPr>
          <w:rFonts w:ascii="Verdana" w:eastAsia="Calibri" w:hAnsi="Verdana" w:cs="Arial"/>
        </w:rPr>
        <w:t>prehospitalaria</w:t>
      </w:r>
      <w:proofErr w:type="spellEnd"/>
      <w:r w:rsidRPr="00431926">
        <w:rPr>
          <w:rFonts w:ascii="Verdana" w:eastAsia="Calibri" w:hAnsi="Verdana" w:cs="Arial"/>
        </w:rPr>
        <w:t xml:space="preserve"> y, dentro de ella, la comunitaria, debido a que el correcto manejo de estos casos garantiza la disminución de la injuria secundaria al cerebro y contribuye a salvar la vida del paciente. Es necesario, por tanto, fortalecer la educación de la población en los principios básicos del socorrismo, ya que tiene un demostrado impacto sobre la morbilidad y mortalidad de las enfermedades no transmisibles, como los TCE. </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 xml:space="preserve">La mayor proporción de pacientes egresó viva, lo cual fue similar a lo encontrado por Bermúdez-Ruíz </w:t>
      </w:r>
      <w:r w:rsidRPr="00431926">
        <w:rPr>
          <w:rFonts w:ascii="Verdana" w:eastAsia="Calibri" w:hAnsi="Verdana" w:cs="Arial"/>
          <w:i/>
        </w:rPr>
        <w:t>et al.</w:t>
      </w:r>
      <w:r w:rsidRPr="00431926">
        <w:rPr>
          <w:rFonts w:ascii="Verdana" w:eastAsia="Calibri" w:hAnsi="Verdana" w:cs="Arial"/>
          <w:vertAlign w:val="superscript"/>
        </w:rPr>
        <w:t>15</w:t>
      </w:r>
      <w:r w:rsidRPr="00431926">
        <w:rPr>
          <w:rFonts w:ascii="Verdana" w:eastAsia="Calibri" w:hAnsi="Verdana" w:cs="Arial"/>
        </w:rPr>
        <w:t>, con un 73,68 %. Los autores plantean que este resultado puede deberse a que gran parte de los traumatismos fueron leves, y la mayor mortalidad está asociada a TCE severos.</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Entre las limitantes del estudio se encontró la pequeña muestra estudiada, por lo que se recomienda la realización de estudios con metodología semejante en las diferentes provincias del país.</w:t>
      </w:r>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tabs>
          <w:tab w:val="left" w:pos="9356"/>
        </w:tabs>
        <w:spacing w:after="0" w:line="360" w:lineRule="auto"/>
        <w:ind w:right="48"/>
        <w:jc w:val="both"/>
        <w:rPr>
          <w:rFonts w:ascii="Verdana" w:eastAsia="Calibri" w:hAnsi="Verdana" w:cs="Arial"/>
          <w:b/>
        </w:rPr>
      </w:pPr>
      <w:r w:rsidRPr="00431926">
        <w:rPr>
          <w:rFonts w:ascii="Verdana" w:eastAsia="Calibri" w:hAnsi="Verdana" w:cs="Arial"/>
          <w:b/>
        </w:rPr>
        <w:t>CONCLUSIONES</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rPr>
        <w:t>Los pacientes en edad media del sexo masculino, con TCE leve fueron los que predominaron. La mayoría de los pacientes egresó vivo y la principal causa de traumatismo fueron los accidentes de tráfico.</w:t>
      </w:r>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tabs>
          <w:tab w:val="left" w:pos="9356"/>
        </w:tabs>
        <w:spacing w:after="0" w:line="360" w:lineRule="auto"/>
        <w:ind w:right="48"/>
        <w:jc w:val="both"/>
        <w:rPr>
          <w:rFonts w:ascii="Verdana" w:eastAsia="Calibri" w:hAnsi="Verdana" w:cs="Arial"/>
          <w:b/>
          <w:lang w:val="en-US"/>
        </w:rPr>
      </w:pPr>
      <w:r w:rsidRPr="00431926">
        <w:rPr>
          <w:rFonts w:ascii="Verdana" w:eastAsia="Calibri" w:hAnsi="Verdana" w:cs="Arial"/>
          <w:b/>
          <w:lang w:val="en-US"/>
        </w:rPr>
        <w:t>REFERENCIAS BIBLIOGRÁFICAS</w:t>
      </w: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Watson-</w:t>
      </w:r>
      <w:proofErr w:type="spellStart"/>
      <w:r w:rsidRPr="00431926">
        <w:rPr>
          <w:rFonts w:ascii="Verdana" w:eastAsia="Calibri" w:hAnsi="Verdana" w:cs="Arial"/>
        </w:rPr>
        <w:t>Hernandez</w:t>
      </w:r>
      <w:proofErr w:type="spellEnd"/>
      <w:r w:rsidRPr="00431926">
        <w:rPr>
          <w:rFonts w:ascii="Verdana" w:eastAsia="Calibri" w:hAnsi="Verdana" w:cs="Arial"/>
        </w:rPr>
        <w:t xml:space="preserve"> RA, Soto-Rodríguez, R. Definición y manejo inicial del Trauma craneoencefálico leve. </w:t>
      </w:r>
      <w:proofErr w:type="spellStart"/>
      <w:r w:rsidRPr="00431926">
        <w:rPr>
          <w:rFonts w:ascii="Verdana" w:eastAsia="Calibri" w:hAnsi="Verdana" w:cs="Arial"/>
        </w:rPr>
        <w:t>Cienc</w:t>
      </w:r>
      <w:proofErr w:type="spellEnd"/>
      <w:r w:rsidRPr="00431926">
        <w:rPr>
          <w:rFonts w:ascii="Verdana" w:eastAsia="Calibri" w:hAnsi="Verdana" w:cs="Arial"/>
        </w:rPr>
        <w:t xml:space="preserve"> y Salud [Internet]. 2021 [citado 23/10/2021]; 5(5):57–64. Disponible en: </w:t>
      </w:r>
      <w:hyperlink r:id="rId13" w:history="1">
        <w:r w:rsidRPr="00431926">
          <w:rPr>
            <w:rFonts w:ascii="Verdana" w:eastAsia="Calibri" w:hAnsi="Verdana" w:cs="Arial"/>
            <w:color w:val="0000FF"/>
            <w:u w:val="single"/>
          </w:rPr>
          <w:t>https://doi.org/10.34192/cienciaysalud.v5i5.336</w:t>
        </w:r>
      </w:hyperlink>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Solarte-Narváez DA. Traumatismo craneoencefálico severo, diferenciación y cuidados específicos. BIC [Internet]. 2021 [citado 23/10/2021]; 8(1):127-30. Disponible en: </w:t>
      </w:r>
      <w:hyperlink r:id="rId14" w:history="1">
        <w:r w:rsidRPr="00431926">
          <w:rPr>
            <w:rFonts w:ascii="Verdana" w:eastAsia="Calibri" w:hAnsi="Verdana" w:cs="Arial"/>
            <w:color w:val="0000FF"/>
            <w:u w:val="single"/>
          </w:rPr>
          <w:t>http://editorial.umariana.edu.co/revistas/index.php/BoletinInformativoCEI/article/view/2562</w:t>
        </w:r>
      </w:hyperlink>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Piñón-García K, Montes-Morales MN, Correa-Borrell M, Pozo-Romero JA, Almeida-Esquivel Y. Factores de riesgo asociados a la mortalidad en pacientes con trauma craneoencefálico agudo. </w:t>
      </w:r>
      <w:proofErr w:type="spellStart"/>
      <w:r w:rsidRPr="00431926">
        <w:rPr>
          <w:rFonts w:ascii="Verdana" w:eastAsia="Calibri" w:hAnsi="Verdana" w:cs="Arial"/>
        </w:rPr>
        <w:t>Rev</w:t>
      </w:r>
      <w:proofErr w:type="spellEnd"/>
      <w:r w:rsidRPr="00431926">
        <w:rPr>
          <w:rFonts w:ascii="Verdana" w:eastAsia="Calibri" w:hAnsi="Verdana" w:cs="Arial"/>
        </w:rPr>
        <w:t xml:space="preserve"> </w:t>
      </w:r>
      <w:proofErr w:type="spellStart"/>
      <w:r w:rsidRPr="00431926">
        <w:rPr>
          <w:rFonts w:ascii="Verdana" w:eastAsia="Calibri" w:hAnsi="Verdana" w:cs="Arial"/>
        </w:rPr>
        <w:t>cub</w:t>
      </w:r>
      <w:proofErr w:type="spellEnd"/>
      <w:r w:rsidRPr="00431926">
        <w:rPr>
          <w:rFonts w:ascii="Verdana" w:eastAsia="Calibri" w:hAnsi="Verdana" w:cs="Arial"/>
        </w:rPr>
        <w:t xml:space="preserve"> </w:t>
      </w:r>
      <w:proofErr w:type="spellStart"/>
      <w:r w:rsidRPr="00431926">
        <w:rPr>
          <w:rFonts w:ascii="Verdana" w:eastAsia="Calibri" w:hAnsi="Verdana" w:cs="Arial"/>
        </w:rPr>
        <w:t>anestesiol</w:t>
      </w:r>
      <w:proofErr w:type="spellEnd"/>
      <w:r w:rsidRPr="00431926">
        <w:rPr>
          <w:rFonts w:ascii="Verdana" w:eastAsia="Calibri" w:hAnsi="Verdana" w:cs="Arial"/>
        </w:rPr>
        <w:t xml:space="preserve"> </w:t>
      </w:r>
      <w:proofErr w:type="spellStart"/>
      <w:r w:rsidRPr="00431926">
        <w:rPr>
          <w:rFonts w:ascii="Verdana" w:eastAsia="Calibri" w:hAnsi="Verdana" w:cs="Arial"/>
        </w:rPr>
        <w:t>reanim</w:t>
      </w:r>
      <w:proofErr w:type="spellEnd"/>
      <w:r w:rsidRPr="00431926">
        <w:rPr>
          <w:rFonts w:ascii="Verdana" w:eastAsia="Calibri" w:hAnsi="Verdana" w:cs="Arial"/>
        </w:rPr>
        <w:t xml:space="preserve"> [Internet]. 2020 [citado 23/10/2021]; 19(3):625-632. Disponible en: </w:t>
      </w:r>
      <w:hyperlink r:id="rId15" w:history="1">
        <w:r w:rsidRPr="00431926">
          <w:rPr>
            <w:rFonts w:ascii="Verdana" w:eastAsia="Calibri" w:hAnsi="Verdana" w:cs="Arial"/>
            <w:color w:val="0000FF"/>
            <w:u w:val="single"/>
          </w:rPr>
          <w:t>http://scielo.sld.cu/scielo.php?script=sci_arttext&amp;pid=S1726-67182020000300005&amp;lng=es</w:t>
        </w:r>
      </w:hyperlink>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Rodríguez-Ramos E, Pérez-Ortiz L, Lorenzo-Rodríguez T. Caracterización del trauma craneal por agresión, en matanzas. </w:t>
      </w:r>
      <w:proofErr w:type="spellStart"/>
      <w:r w:rsidRPr="00431926">
        <w:rPr>
          <w:rFonts w:ascii="Verdana" w:eastAsia="Calibri" w:hAnsi="Verdana" w:cs="Arial"/>
        </w:rPr>
        <w:t>Rev</w:t>
      </w:r>
      <w:proofErr w:type="spellEnd"/>
      <w:r w:rsidRPr="00431926">
        <w:rPr>
          <w:rFonts w:ascii="Verdana" w:eastAsia="Calibri" w:hAnsi="Verdana" w:cs="Arial"/>
        </w:rPr>
        <w:t xml:space="preserve"> </w:t>
      </w:r>
      <w:proofErr w:type="spellStart"/>
      <w:r w:rsidRPr="00431926">
        <w:rPr>
          <w:rFonts w:ascii="Verdana" w:eastAsia="Calibri" w:hAnsi="Verdana" w:cs="Arial"/>
        </w:rPr>
        <w:t>Med</w:t>
      </w:r>
      <w:proofErr w:type="spellEnd"/>
      <w:r w:rsidRPr="00431926">
        <w:rPr>
          <w:rFonts w:ascii="Verdana" w:eastAsia="Calibri" w:hAnsi="Verdana" w:cs="Arial"/>
        </w:rPr>
        <w:t xml:space="preserve"> Electrón [Internet]. 2017 [citado 23/10/2021]; 37(6):123-143. Disponible en: </w:t>
      </w:r>
      <w:hyperlink r:id="rId16" w:history="1">
        <w:r w:rsidRPr="00431926">
          <w:rPr>
            <w:rFonts w:ascii="Verdana" w:eastAsia="Calibri" w:hAnsi="Verdana" w:cs="Arial"/>
            <w:color w:val="0000FF"/>
            <w:u w:val="single"/>
          </w:rPr>
          <w:t>http://scielo.sld.cu/scielo.php?script=sci_arttext&amp;pid=S1684-18242015000600003&amp;lang=es</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García-Molina A, </w:t>
      </w:r>
      <w:proofErr w:type="spellStart"/>
      <w:r w:rsidRPr="00431926">
        <w:rPr>
          <w:rFonts w:ascii="Verdana" w:eastAsia="Calibri" w:hAnsi="Verdana" w:cs="Arial"/>
        </w:rPr>
        <w:t>Enseñat-Cantallops</w:t>
      </w:r>
      <w:proofErr w:type="spellEnd"/>
      <w:r w:rsidRPr="00431926">
        <w:rPr>
          <w:rFonts w:ascii="Verdana" w:eastAsia="Calibri" w:hAnsi="Verdana" w:cs="Arial"/>
        </w:rPr>
        <w:t xml:space="preserve"> A, Sánchez-Carrión R, Roig-Rovira T. Variabilidad interindividual en la recuperación después de un traumatismo craneoencefálico: efecto de la reserva cognitiva. </w:t>
      </w:r>
      <w:proofErr w:type="spellStart"/>
      <w:r w:rsidRPr="00431926">
        <w:rPr>
          <w:rFonts w:ascii="Verdana" w:eastAsia="Calibri" w:hAnsi="Verdana" w:cs="Arial"/>
        </w:rPr>
        <w:t>Med</w:t>
      </w:r>
      <w:proofErr w:type="spellEnd"/>
      <w:r w:rsidRPr="00431926">
        <w:rPr>
          <w:rFonts w:ascii="Verdana" w:eastAsia="Calibri" w:hAnsi="Verdana" w:cs="Arial"/>
        </w:rPr>
        <w:t xml:space="preserve"> </w:t>
      </w:r>
      <w:proofErr w:type="spellStart"/>
      <w:r w:rsidRPr="00431926">
        <w:rPr>
          <w:rFonts w:ascii="Verdana" w:eastAsia="Calibri" w:hAnsi="Verdana" w:cs="Arial"/>
        </w:rPr>
        <w:t>Clin</w:t>
      </w:r>
      <w:proofErr w:type="spellEnd"/>
      <w:r w:rsidRPr="00431926">
        <w:rPr>
          <w:rFonts w:ascii="Verdana" w:eastAsia="Calibri" w:hAnsi="Verdana" w:cs="Arial"/>
        </w:rPr>
        <w:t xml:space="preserve"> (</w:t>
      </w:r>
      <w:proofErr w:type="spellStart"/>
      <w:r w:rsidRPr="00431926">
        <w:rPr>
          <w:rFonts w:ascii="Verdana" w:eastAsia="Calibri" w:hAnsi="Verdana" w:cs="Arial"/>
        </w:rPr>
        <w:t>Barc</w:t>
      </w:r>
      <w:proofErr w:type="spellEnd"/>
      <w:r w:rsidRPr="00431926">
        <w:rPr>
          <w:rFonts w:ascii="Verdana" w:eastAsia="Calibri" w:hAnsi="Verdana" w:cs="Arial"/>
        </w:rPr>
        <w:t xml:space="preserve">) [Internet]. 2016 [citado 23/10/2021]; 140(12):527-31. Disponible en: </w:t>
      </w:r>
      <w:hyperlink r:id="rId17" w:history="1">
        <w:r w:rsidRPr="00431926">
          <w:rPr>
            <w:rFonts w:ascii="Verdana" w:eastAsia="Calibri" w:hAnsi="Verdana" w:cs="Arial"/>
            <w:color w:val="0000FF"/>
            <w:u w:val="single"/>
          </w:rPr>
          <w:t>https://ur.booksc.eu/book/25607916/ed474f</w:t>
        </w:r>
      </w:hyperlink>
      <w:r w:rsidRPr="00431926">
        <w:rPr>
          <w:rFonts w:ascii="Verdana" w:eastAsia="Calibri" w:hAnsi="Verdana" w:cs="Arial"/>
        </w:rPr>
        <w:t xml:space="preserve"> </w:t>
      </w:r>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Prado-Guzmán K, González-Ortiz J, Acosta-Barreto MR. Comparación de los procesos de la cognición social entre adultos con trauma craneoencefálico leve moderado y severo. </w:t>
      </w:r>
      <w:proofErr w:type="spellStart"/>
      <w:r w:rsidRPr="00431926">
        <w:rPr>
          <w:rFonts w:ascii="Verdana" w:eastAsia="Calibri" w:hAnsi="Verdana" w:cs="Arial"/>
        </w:rPr>
        <w:t>Psychol</w:t>
      </w:r>
      <w:proofErr w:type="spellEnd"/>
      <w:r w:rsidRPr="00431926">
        <w:rPr>
          <w:rFonts w:ascii="Verdana" w:eastAsia="Calibri" w:hAnsi="Verdana" w:cs="Arial"/>
        </w:rPr>
        <w:t xml:space="preserve">. av. </w:t>
      </w:r>
      <w:proofErr w:type="spellStart"/>
      <w:r w:rsidRPr="00431926">
        <w:rPr>
          <w:rFonts w:ascii="Verdana" w:eastAsia="Calibri" w:hAnsi="Verdana" w:cs="Arial"/>
        </w:rPr>
        <w:t>discip</w:t>
      </w:r>
      <w:proofErr w:type="spellEnd"/>
      <w:r w:rsidRPr="00431926">
        <w:rPr>
          <w:rFonts w:ascii="Verdana" w:eastAsia="Calibri" w:hAnsi="Verdana" w:cs="Arial"/>
        </w:rPr>
        <w:t xml:space="preserve">. [Internet]. 2017 [citado 23/10/2021]; 11(2):12-21. Disponible en: </w:t>
      </w:r>
      <w:hyperlink r:id="rId18" w:history="1">
        <w:r w:rsidRPr="00431926">
          <w:rPr>
            <w:rFonts w:ascii="Verdana" w:eastAsia="Calibri" w:hAnsi="Verdana" w:cs="Arial"/>
            <w:color w:val="0000FF"/>
            <w:u w:val="single"/>
          </w:rPr>
          <w:t>http://www.scielo.org.co/scielo.php?script=sci_arttext&amp;pid=S1900-23862017000200057&amp;lang=es</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Quijano-Martínez MC, Cuervo-Cresta MT. Alteraciones cognoscitivas después de un trauma craneoencefálico. </w:t>
      </w:r>
      <w:proofErr w:type="spellStart"/>
      <w:r w:rsidRPr="00431926">
        <w:rPr>
          <w:rFonts w:ascii="Verdana" w:eastAsia="Calibri" w:hAnsi="Verdana" w:cs="Arial"/>
        </w:rPr>
        <w:t>Act</w:t>
      </w:r>
      <w:proofErr w:type="spellEnd"/>
      <w:r w:rsidRPr="00431926">
        <w:rPr>
          <w:rFonts w:ascii="Verdana" w:eastAsia="Calibri" w:hAnsi="Verdana" w:cs="Arial"/>
        </w:rPr>
        <w:t xml:space="preserve"> </w:t>
      </w:r>
      <w:proofErr w:type="spellStart"/>
      <w:r w:rsidRPr="00431926">
        <w:rPr>
          <w:rFonts w:ascii="Verdana" w:eastAsia="Calibri" w:hAnsi="Verdana" w:cs="Arial"/>
        </w:rPr>
        <w:t>Colomb</w:t>
      </w:r>
      <w:proofErr w:type="spellEnd"/>
      <w:r w:rsidRPr="00431926">
        <w:rPr>
          <w:rFonts w:ascii="Verdana" w:eastAsia="Calibri" w:hAnsi="Verdana" w:cs="Arial"/>
        </w:rPr>
        <w:t xml:space="preserve"> </w:t>
      </w:r>
      <w:proofErr w:type="spellStart"/>
      <w:r w:rsidRPr="00431926">
        <w:rPr>
          <w:rFonts w:ascii="Verdana" w:eastAsia="Calibri" w:hAnsi="Verdana" w:cs="Arial"/>
        </w:rPr>
        <w:t>Psic</w:t>
      </w:r>
      <w:proofErr w:type="spellEnd"/>
      <w:r w:rsidRPr="00431926">
        <w:rPr>
          <w:rFonts w:ascii="Verdana" w:eastAsia="Calibri" w:hAnsi="Verdana" w:cs="Arial"/>
        </w:rPr>
        <w:t xml:space="preserve">. [Internet]. 2011 [citado 23/10/2021]; 14(1):71-80. Disponible en: </w:t>
      </w:r>
      <w:hyperlink r:id="rId19" w:history="1">
        <w:r w:rsidRPr="00431926">
          <w:rPr>
            <w:rFonts w:ascii="Verdana" w:eastAsia="Calibri" w:hAnsi="Verdana" w:cs="Arial"/>
            <w:color w:val="0000FF"/>
            <w:u w:val="single"/>
          </w:rPr>
          <w:t>http://www.scielo.org.co/scielo.php?script=sci_arttext&amp;pid=S0123-91552011000100007</w:t>
        </w:r>
      </w:hyperlink>
      <w:r w:rsidRPr="00431926">
        <w:rPr>
          <w:rFonts w:ascii="Verdana" w:eastAsia="Calibri" w:hAnsi="Verdana" w:cs="Arial"/>
        </w:rPr>
        <w:t xml:space="preserve"> </w:t>
      </w:r>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Freire-Aragón MD, Rodríguez-Rodríguez A, Egea-Guerrero JJ. Actualización en el traumatismo craneoencefálico leve. </w:t>
      </w:r>
      <w:proofErr w:type="spellStart"/>
      <w:r w:rsidRPr="00431926">
        <w:rPr>
          <w:rFonts w:ascii="Verdana" w:eastAsia="Calibri" w:hAnsi="Verdana" w:cs="Arial"/>
        </w:rPr>
        <w:t>Med</w:t>
      </w:r>
      <w:proofErr w:type="spellEnd"/>
      <w:r w:rsidRPr="00431926">
        <w:rPr>
          <w:rFonts w:ascii="Verdana" w:eastAsia="Calibri" w:hAnsi="Verdana" w:cs="Arial"/>
        </w:rPr>
        <w:t xml:space="preserve"> </w:t>
      </w:r>
      <w:proofErr w:type="spellStart"/>
      <w:r w:rsidRPr="00431926">
        <w:rPr>
          <w:rFonts w:ascii="Verdana" w:eastAsia="Calibri" w:hAnsi="Verdana" w:cs="Arial"/>
        </w:rPr>
        <w:t>Clin</w:t>
      </w:r>
      <w:proofErr w:type="spellEnd"/>
      <w:r w:rsidRPr="00431926">
        <w:rPr>
          <w:rFonts w:ascii="Verdana" w:eastAsia="Calibri" w:hAnsi="Verdana" w:cs="Arial"/>
        </w:rPr>
        <w:t xml:space="preserve">. [Internet]. 2017 [citado 23/10/2021]; 149(3):122-127. Disponible en: </w:t>
      </w:r>
      <w:hyperlink r:id="rId20" w:history="1">
        <w:r w:rsidRPr="00431926">
          <w:rPr>
            <w:rFonts w:ascii="Verdana" w:eastAsia="Calibri" w:hAnsi="Verdana" w:cs="Arial"/>
            <w:color w:val="0000FF"/>
            <w:u w:val="single"/>
          </w:rPr>
          <w:t>https://pubmed.ncbi.nlm.nih.gov/28571951/</w:t>
        </w:r>
      </w:hyperlink>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Herrera-Martínez MP, Ariza-Hernández AG, Rodríguez-Cantillo JJ, Pacheco-</w:t>
      </w:r>
      <w:proofErr w:type="spellStart"/>
      <w:r w:rsidRPr="00431926">
        <w:rPr>
          <w:rFonts w:ascii="Verdana" w:eastAsia="Calibri" w:hAnsi="Verdana" w:cs="Arial"/>
        </w:rPr>
        <w:t>Hernandez</w:t>
      </w:r>
      <w:proofErr w:type="spellEnd"/>
      <w:r w:rsidRPr="00431926">
        <w:rPr>
          <w:rFonts w:ascii="Verdana" w:eastAsia="Calibri" w:hAnsi="Verdana" w:cs="Arial"/>
        </w:rPr>
        <w:t xml:space="preserve"> A. Epidemiología del trauma craneoencefálico. </w:t>
      </w:r>
      <w:proofErr w:type="spellStart"/>
      <w:r w:rsidRPr="00431926">
        <w:rPr>
          <w:rFonts w:ascii="Verdana" w:eastAsia="Calibri" w:hAnsi="Verdana" w:cs="Arial"/>
        </w:rPr>
        <w:t>Rev</w:t>
      </w:r>
      <w:proofErr w:type="spellEnd"/>
      <w:r w:rsidRPr="00431926">
        <w:rPr>
          <w:rFonts w:ascii="Verdana" w:eastAsia="Calibri" w:hAnsi="Verdana" w:cs="Arial"/>
        </w:rPr>
        <w:t xml:space="preserve"> </w:t>
      </w:r>
      <w:proofErr w:type="spellStart"/>
      <w:r w:rsidRPr="00431926">
        <w:rPr>
          <w:rFonts w:ascii="Verdana" w:eastAsia="Calibri" w:hAnsi="Verdana" w:cs="Arial"/>
        </w:rPr>
        <w:t>Cub</w:t>
      </w:r>
      <w:proofErr w:type="spellEnd"/>
      <w:r w:rsidRPr="00431926">
        <w:rPr>
          <w:rFonts w:ascii="Verdana" w:eastAsia="Calibri" w:hAnsi="Verdana" w:cs="Arial"/>
        </w:rPr>
        <w:t xml:space="preserve"> </w:t>
      </w:r>
      <w:proofErr w:type="spellStart"/>
      <w:r w:rsidRPr="00431926">
        <w:rPr>
          <w:rFonts w:ascii="Verdana" w:eastAsia="Calibri" w:hAnsi="Verdana" w:cs="Arial"/>
        </w:rPr>
        <w:t>Med</w:t>
      </w:r>
      <w:proofErr w:type="spellEnd"/>
      <w:r w:rsidRPr="00431926">
        <w:rPr>
          <w:rFonts w:ascii="Verdana" w:eastAsia="Calibri" w:hAnsi="Verdana" w:cs="Arial"/>
        </w:rPr>
        <w:t xml:space="preserve"> </w:t>
      </w:r>
      <w:proofErr w:type="spellStart"/>
      <w:r w:rsidRPr="00431926">
        <w:rPr>
          <w:rFonts w:ascii="Verdana" w:eastAsia="Calibri" w:hAnsi="Verdana" w:cs="Arial"/>
        </w:rPr>
        <w:t>Int</w:t>
      </w:r>
      <w:proofErr w:type="spellEnd"/>
      <w:r w:rsidRPr="00431926">
        <w:rPr>
          <w:rFonts w:ascii="Verdana" w:eastAsia="Calibri" w:hAnsi="Verdana" w:cs="Arial"/>
        </w:rPr>
        <w:t xml:space="preserve"> </w:t>
      </w:r>
      <w:proofErr w:type="spellStart"/>
      <w:r w:rsidRPr="00431926">
        <w:rPr>
          <w:rFonts w:ascii="Verdana" w:eastAsia="Calibri" w:hAnsi="Verdana" w:cs="Arial"/>
        </w:rPr>
        <w:t>Emerg</w:t>
      </w:r>
      <w:proofErr w:type="spellEnd"/>
      <w:r w:rsidRPr="00431926">
        <w:rPr>
          <w:rFonts w:ascii="Verdana" w:eastAsia="Calibri" w:hAnsi="Verdana" w:cs="Arial"/>
        </w:rPr>
        <w:t xml:space="preserve"> [Internet]. 2018 [citado 23/10/2021]; 17(2):3-6. Disponible en: </w:t>
      </w:r>
      <w:hyperlink r:id="rId21" w:history="1">
        <w:r w:rsidRPr="00431926">
          <w:rPr>
            <w:rFonts w:ascii="Verdana" w:eastAsia="Calibri" w:hAnsi="Verdana" w:cs="Arial"/>
            <w:color w:val="0000FF"/>
            <w:u w:val="single"/>
          </w:rPr>
          <w:t>https://www.medigraphic.com/cgi-bin/new/resumen.cgi?IDARTICULO=87399</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Cruz-López AM, Ugalde-Valladolid A, Aparicio-</w:t>
      </w:r>
      <w:proofErr w:type="spellStart"/>
      <w:r w:rsidRPr="00431926">
        <w:rPr>
          <w:rFonts w:ascii="Verdana" w:eastAsia="Calibri" w:hAnsi="Verdana" w:cs="Arial"/>
        </w:rPr>
        <w:t>Ambriz</w:t>
      </w:r>
      <w:proofErr w:type="spellEnd"/>
      <w:r w:rsidRPr="00431926">
        <w:rPr>
          <w:rFonts w:ascii="Verdana" w:eastAsia="Calibri" w:hAnsi="Verdana" w:cs="Arial"/>
        </w:rPr>
        <w:t xml:space="preserve"> CA, Contreras-Landeros LY, </w:t>
      </w:r>
      <w:proofErr w:type="spellStart"/>
      <w:r w:rsidRPr="00431926">
        <w:rPr>
          <w:rFonts w:ascii="Verdana" w:eastAsia="Calibri" w:hAnsi="Verdana" w:cs="Arial"/>
        </w:rPr>
        <w:t>Carnalla</w:t>
      </w:r>
      <w:proofErr w:type="spellEnd"/>
      <w:r w:rsidRPr="00431926">
        <w:rPr>
          <w:rFonts w:ascii="Verdana" w:eastAsia="Calibri" w:hAnsi="Verdana" w:cs="Arial"/>
        </w:rPr>
        <w:t xml:space="preserve">-Cortes M, </w:t>
      </w:r>
      <w:proofErr w:type="spellStart"/>
      <w:r w:rsidRPr="00431926">
        <w:rPr>
          <w:rFonts w:ascii="Verdana" w:eastAsia="Calibri" w:hAnsi="Verdana" w:cs="Arial"/>
        </w:rPr>
        <w:t>Choreño</w:t>
      </w:r>
      <w:proofErr w:type="spellEnd"/>
      <w:r w:rsidRPr="00431926">
        <w:rPr>
          <w:rFonts w:ascii="Verdana" w:eastAsia="Calibri" w:hAnsi="Verdana" w:cs="Arial"/>
        </w:rPr>
        <w:t xml:space="preserve">-Parra JA, et al. Abordaje del paciente con traumatismo craneoencefálico: un enfoque para el médico de primer contacto. </w:t>
      </w:r>
      <w:proofErr w:type="spellStart"/>
      <w:r w:rsidRPr="00431926">
        <w:rPr>
          <w:rFonts w:ascii="Verdana" w:eastAsia="Calibri" w:hAnsi="Verdana" w:cs="Arial"/>
        </w:rPr>
        <w:t>Atenc</w:t>
      </w:r>
      <w:proofErr w:type="spellEnd"/>
      <w:r w:rsidRPr="00431926">
        <w:rPr>
          <w:rFonts w:ascii="Verdana" w:eastAsia="Calibri" w:hAnsi="Verdana" w:cs="Arial"/>
        </w:rPr>
        <w:t xml:space="preserve"> </w:t>
      </w:r>
      <w:proofErr w:type="spellStart"/>
      <w:r w:rsidRPr="00431926">
        <w:rPr>
          <w:rFonts w:ascii="Verdana" w:eastAsia="Calibri" w:hAnsi="Verdana" w:cs="Arial"/>
        </w:rPr>
        <w:t>Famil</w:t>
      </w:r>
      <w:proofErr w:type="spellEnd"/>
      <w:r w:rsidRPr="00431926">
        <w:rPr>
          <w:rFonts w:ascii="Verdana" w:eastAsia="Calibri" w:hAnsi="Verdana" w:cs="Arial"/>
        </w:rPr>
        <w:t xml:space="preserve"> [Internet]. 2018 [citado 23/10/2021]; 26(1):28-33. Disponible: </w:t>
      </w:r>
      <w:hyperlink r:id="rId22" w:history="1">
        <w:r w:rsidRPr="00431926">
          <w:rPr>
            <w:rFonts w:ascii="Verdana" w:eastAsia="Calibri" w:hAnsi="Verdana" w:cs="Arial"/>
            <w:color w:val="0000FF"/>
            <w:u w:val="single"/>
          </w:rPr>
          <w:t>http://revistas.unam.mx/index.php/atencion_familiar/article/view/67714</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Bravo-Neira AG, Herrera-Macera SP, Álvarez-Ordoñez WJ, Delgado-Conforme WA. Traumatismo Craneoencefálico: Importancia de su Prevención y Tratamiento. RECIMUNDO [Internet]. 2019 [citado 23/10/2021]; 3(2):467-483. Disponible en: </w:t>
      </w:r>
      <w:hyperlink r:id="rId23" w:history="1">
        <w:r w:rsidRPr="00431926">
          <w:rPr>
            <w:rFonts w:ascii="Verdana" w:eastAsia="Calibri" w:hAnsi="Verdana" w:cs="Arial"/>
            <w:color w:val="0000FF"/>
            <w:u w:val="single"/>
          </w:rPr>
          <w:t>http://www.recimundo.com/~recimund/index.php/es/article/view/457</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Amado-</w:t>
      </w:r>
      <w:proofErr w:type="spellStart"/>
      <w:r w:rsidRPr="00431926">
        <w:rPr>
          <w:rFonts w:ascii="Verdana" w:eastAsia="Calibri" w:hAnsi="Verdana" w:cs="Arial"/>
        </w:rPr>
        <w:t>Donéstevez</w:t>
      </w:r>
      <w:proofErr w:type="spellEnd"/>
      <w:r w:rsidRPr="00431926">
        <w:rPr>
          <w:rFonts w:ascii="Verdana" w:eastAsia="Calibri" w:hAnsi="Verdana" w:cs="Arial"/>
        </w:rPr>
        <w:t xml:space="preserve"> de </w:t>
      </w:r>
      <w:proofErr w:type="spellStart"/>
      <w:r w:rsidRPr="00431926">
        <w:rPr>
          <w:rFonts w:ascii="Verdana" w:eastAsia="Calibri" w:hAnsi="Verdana" w:cs="Arial"/>
        </w:rPr>
        <w:t>Mendaro</w:t>
      </w:r>
      <w:proofErr w:type="spellEnd"/>
      <w:r w:rsidRPr="00431926">
        <w:rPr>
          <w:rFonts w:ascii="Verdana" w:eastAsia="Calibri" w:hAnsi="Verdana" w:cs="Arial"/>
        </w:rPr>
        <w:t xml:space="preserve"> AR, Cañizares-Luna O, Alba-Pérez LC, </w:t>
      </w:r>
      <w:proofErr w:type="spellStart"/>
      <w:r w:rsidRPr="00431926">
        <w:rPr>
          <w:rFonts w:ascii="Verdana" w:eastAsia="Calibri" w:hAnsi="Verdana" w:cs="Arial"/>
        </w:rPr>
        <w:t>Alegret</w:t>
      </w:r>
      <w:proofErr w:type="spellEnd"/>
      <w:r w:rsidRPr="00431926">
        <w:rPr>
          <w:rFonts w:ascii="Verdana" w:eastAsia="Calibri" w:hAnsi="Verdana" w:cs="Arial"/>
        </w:rPr>
        <w:t xml:space="preserve">-Rodríguez M. Caracterización neuropsicológica de pacientes con trauma craneoencefálico frontal leve y moderado. Acta </w:t>
      </w:r>
      <w:proofErr w:type="spellStart"/>
      <w:r w:rsidRPr="00431926">
        <w:rPr>
          <w:rFonts w:ascii="Verdana" w:eastAsia="Calibri" w:hAnsi="Verdana" w:cs="Arial"/>
        </w:rPr>
        <w:t>Med</w:t>
      </w:r>
      <w:proofErr w:type="spellEnd"/>
      <w:r w:rsidRPr="00431926">
        <w:rPr>
          <w:rFonts w:ascii="Verdana" w:eastAsia="Calibri" w:hAnsi="Verdana" w:cs="Arial"/>
        </w:rPr>
        <w:t xml:space="preserve"> del Cent [Internet]. 2017 [citado 23/10/2021]; 11(2):4-9. Disponible en: </w:t>
      </w:r>
      <w:hyperlink r:id="rId24" w:history="1">
        <w:r w:rsidRPr="00431926">
          <w:rPr>
            <w:rFonts w:ascii="Verdana" w:eastAsia="Calibri" w:hAnsi="Verdana" w:cs="Arial"/>
            <w:color w:val="0000FF"/>
            <w:u w:val="single"/>
          </w:rPr>
          <w:t>https://www.medigraphic.com/cgi-bin/new/resumenI.cgi?IDARTICULO=71425</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Amado-</w:t>
      </w:r>
      <w:proofErr w:type="spellStart"/>
      <w:r w:rsidRPr="00431926">
        <w:rPr>
          <w:rFonts w:ascii="Verdana" w:eastAsia="Calibri" w:hAnsi="Verdana" w:cs="Arial"/>
        </w:rPr>
        <w:t>Donéstevez</w:t>
      </w:r>
      <w:proofErr w:type="spellEnd"/>
      <w:r w:rsidRPr="00431926">
        <w:rPr>
          <w:rFonts w:ascii="Verdana" w:eastAsia="Calibri" w:hAnsi="Verdana" w:cs="Arial"/>
        </w:rPr>
        <w:t xml:space="preserve"> de </w:t>
      </w:r>
      <w:proofErr w:type="spellStart"/>
      <w:r w:rsidRPr="00431926">
        <w:rPr>
          <w:rFonts w:ascii="Verdana" w:eastAsia="Calibri" w:hAnsi="Verdana" w:cs="Arial"/>
        </w:rPr>
        <w:t>Mendaro</w:t>
      </w:r>
      <w:proofErr w:type="spellEnd"/>
      <w:r w:rsidRPr="00431926">
        <w:rPr>
          <w:rFonts w:ascii="Verdana" w:eastAsia="Calibri" w:hAnsi="Verdana" w:cs="Arial"/>
        </w:rPr>
        <w:t xml:space="preserve"> AR, Cañizares-Luna O, Alba-Pérez LC, </w:t>
      </w:r>
      <w:proofErr w:type="spellStart"/>
      <w:r w:rsidRPr="00431926">
        <w:rPr>
          <w:rFonts w:ascii="Verdana" w:eastAsia="Calibri" w:hAnsi="Verdana" w:cs="Arial"/>
        </w:rPr>
        <w:t>Alegret</w:t>
      </w:r>
      <w:proofErr w:type="spellEnd"/>
      <w:r w:rsidRPr="00431926">
        <w:rPr>
          <w:rFonts w:ascii="Verdana" w:eastAsia="Calibri" w:hAnsi="Verdana" w:cs="Arial"/>
        </w:rPr>
        <w:t xml:space="preserve">-Rodríguez M. Caracterización epidemiológica y neurológica del traumatismo </w:t>
      </w:r>
      <w:r w:rsidRPr="00431926">
        <w:rPr>
          <w:rFonts w:ascii="Verdana" w:eastAsia="Calibri" w:hAnsi="Verdana" w:cs="Arial"/>
        </w:rPr>
        <w:lastRenderedPageBreak/>
        <w:t xml:space="preserve">craneoencefálico frontal durante cinco años en Villa Clara. </w:t>
      </w:r>
      <w:proofErr w:type="spellStart"/>
      <w:r w:rsidRPr="00431926">
        <w:rPr>
          <w:rFonts w:ascii="Verdana" w:eastAsia="Calibri" w:hAnsi="Verdana" w:cs="Arial"/>
        </w:rPr>
        <w:t>Medicentro</w:t>
      </w:r>
      <w:proofErr w:type="spellEnd"/>
      <w:r w:rsidRPr="00431926">
        <w:rPr>
          <w:rFonts w:ascii="Verdana" w:eastAsia="Calibri" w:hAnsi="Verdana" w:cs="Arial"/>
        </w:rPr>
        <w:t xml:space="preserve"> </w:t>
      </w:r>
      <w:proofErr w:type="spellStart"/>
      <w:r w:rsidRPr="00431926">
        <w:rPr>
          <w:rFonts w:ascii="Verdana" w:eastAsia="Calibri" w:hAnsi="Verdana" w:cs="Arial"/>
        </w:rPr>
        <w:t>Electr</w:t>
      </w:r>
      <w:proofErr w:type="spellEnd"/>
      <w:r w:rsidRPr="00431926">
        <w:rPr>
          <w:rFonts w:ascii="Verdana" w:eastAsia="Calibri" w:hAnsi="Verdana" w:cs="Arial"/>
        </w:rPr>
        <w:t xml:space="preserve"> [Internet]. 2017 [citado 30/09/2021]; 21(1):30-38. Disponible en: </w:t>
      </w:r>
      <w:hyperlink r:id="rId25" w:history="1">
        <w:r w:rsidRPr="00431926">
          <w:rPr>
            <w:rFonts w:ascii="Verdana" w:eastAsia="Calibri" w:hAnsi="Verdana" w:cs="Arial"/>
            <w:color w:val="0000FF"/>
            <w:u w:val="single"/>
          </w:rPr>
          <w:t>http://scielo.sld.cu/scielo.php?script=sci_arttext&amp;pid=S1029-30432017000100005&amp;lng=es</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Ortega-</w:t>
      </w:r>
      <w:proofErr w:type="spellStart"/>
      <w:r w:rsidRPr="00431926">
        <w:rPr>
          <w:rFonts w:ascii="Verdana" w:eastAsia="Calibri" w:hAnsi="Verdana" w:cs="Arial"/>
        </w:rPr>
        <w:t>Zufiría</w:t>
      </w:r>
      <w:proofErr w:type="spellEnd"/>
      <w:r w:rsidRPr="00431926">
        <w:rPr>
          <w:rFonts w:ascii="Verdana" w:eastAsia="Calibri" w:hAnsi="Verdana" w:cs="Arial"/>
        </w:rPr>
        <w:t xml:space="preserve"> JM, Lomillos-Prieto N, Choque-Cuba B, </w:t>
      </w:r>
      <w:proofErr w:type="spellStart"/>
      <w:r w:rsidRPr="00431926">
        <w:rPr>
          <w:rFonts w:ascii="Verdana" w:eastAsia="Calibri" w:hAnsi="Verdana" w:cs="Arial"/>
        </w:rPr>
        <w:t>Tamarit-Degenhardt</w:t>
      </w:r>
      <w:proofErr w:type="spellEnd"/>
      <w:r w:rsidRPr="00431926">
        <w:rPr>
          <w:rFonts w:ascii="Verdana" w:eastAsia="Calibri" w:hAnsi="Verdana" w:cs="Arial"/>
        </w:rPr>
        <w:t xml:space="preserve"> M, Poveda-Núñez P, López-Serrano MR, et al. Traumatismo craneoencefálico leve. </w:t>
      </w:r>
      <w:proofErr w:type="spellStart"/>
      <w:r w:rsidRPr="00431926">
        <w:rPr>
          <w:rFonts w:ascii="Verdana" w:eastAsia="Calibri" w:hAnsi="Verdana" w:cs="Arial"/>
        </w:rPr>
        <w:t>Surgical</w:t>
      </w:r>
      <w:proofErr w:type="spellEnd"/>
      <w:r w:rsidRPr="00431926">
        <w:rPr>
          <w:rFonts w:ascii="Verdana" w:eastAsia="Calibri" w:hAnsi="Verdana" w:cs="Arial"/>
        </w:rPr>
        <w:t xml:space="preserve"> </w:t>
      </w:r>
      <w:proofErr w:type="spellStart"/>
      <w:r w:rsidRPr="00431926">
        <w:rPr>
          <w:rFonts w:ascii="Verdana" w:eastAsia="Calibri" w:hAnsi="Verdana" w:cs="Arial"/>
        </w:rPr>
        <w:t>Neurology</w:t>
      </w:r>
      <w:proofErr w:type="spellEnd"/>
      <w:r w:rsidRPr="00431926">
        <w:rPr>
          <w:rFonts w:ascii="Verdana" w:eastAsia="Calibri" w:hAnsi="Verdana" w:cs="Arial"/>
        </w:rPr>
        <w:t xml:space="preserve"> International 9 [Internet]. 2018 [citado 30/09/2021]; 28(1):28-68. Disponible en: </w:t>
      </w:r>
      <w:hyperlink r:id="rId26" w:history="1">
        <w:r w:rsidRPr="00431926">
          <w:rPr>
            <w:rFonts w:ascii="Verdana" w:eastAsia="Calibri" w:hAnsi="Verdana" w:cs="Arial"/>
            <w:color w:val="0000FF"/>
            <w:u w:val="single"/>
          </w:rPr>
          <w:t>https://www.ncbi.nlm.nih.gov/pmc/articles/PMC5799943/</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Bermúdez-Ruíz JA, Merlán-Martínez M, </w:t>
      </w:r>
      <w:proofErr w:type="spellStart"/>
      <w:r w:rsidRPr="00431926">
        <w:rPr>
          <w:rFonts w:ascii="Verdana" w:eastAsia="Calibri" w:hAnsi="Verdana" w:cs="Arial"/>
        </w:rPr>
        <w:t>Vitón</w:t>
      </w:r>
      <w:proofErr w:type="spellEnd"/>
      <w:r w:rsidRPr="00431926">
        <w:rPr>
          <w:rFonts w:ascii="Verdana" w:eastAsia="Calibri" w:hAnsi="Verdana" w:cs="Arial"/>
        </w:rPr>
        <w:t xml:space="preserve">-Castillo AA, </w:t>
      </w:r>
      <w:proofErr w:type="spellStart"/>
      <w:r w:rsidRPr="00431926">
        <w:rPr>
          <w:rFonts w:ascii="Verdana" w:eastAsia="Calibri" w:hAnsi="Verdana" w:cs="Arial"/>
        </w:rPr>
        <w:t>Brunet</w:t>
      </w:r>
      <w:proofErr w:type="spellEnd"/>
      <w:r w:rsidRPr="00431926">
        <w:rPr>
          <w:rFonts w:ascii="Verdana" w:eastAsia="Calibri" w:hAnsi="Verdana" w:cs="Arial"/>
        </w:rPr>
        <w:t xml:space="preserve">-Liste JV, Lara-Merlán LM. Caracterización de pacientes con traumatismo craneoencefálico severo atendidos en el Hospital General Docente “Arnaldo </w:t>
      </w:r>
      <w:proofErr w:type="spellStart"/>
      <w:r w:rsidRPr="00431926">
        <w:rPr>
          <w:rFonts w:ascii="Verdana" w:eastAsia="Calibri" w:hAnsi="Verdana" w:cs="Arial"/>
        </w:rPr>
        <w:t>Milián</w:t>
      </w:r>
      <w:proofErr w:type="spellEnd"/>
      <w:r w:rsidRPr="00431926">
        <w:rPr>
          <w:rFonts w:ascii="Verdana" w:eastAsia="Calibri" w:hAnsi="Verdana" w:cs="Arial"/>
        </w:rPr>
        <w:t xml:space="preserve"> Castro”. Universidad Médica Pinareña [Internet]. 2020 [citado 30/09/2021]; 16(1). Disponible en: </w:t>
      </w:r>
      <w:hyperlink r:id="rId27" w:history="1">
        <w:r w:rsidRPr="00431926">
          <w:rPr>
            <w:rFonts w:ascii="Verdana" w:eastAsia="Calibri" w:hAnsi="Verdana" w:cs="Arial"/>
            <w:color w:val="0000FF"/>
            <w:u w:val="single"/>
          </w:rPr>
          <w:t>https://www.medigraphic.com/cgi-bin/new/resumen.cgi?IDARTICULO=93288</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r w:rsidRPr="00431926">
        <w:rPr>
          <w:rFonts w:ascii="Verdana" w:eastAsia="Calibri" w:hAnsi="Verdana" w:cs="Arial"/>
        </w:rPr>
        <w:t xml:space="preserve">Sierra-Benítez EM, León-Pérez MQ, Rodríguez-Ramos E, Pérez-Ortiz L. Caracterización clínico-quirúrgico, </w:t>
      </w:r>
      <w:proofErr w:type="spellStart"/>
      <w:r w:rsidRPr="00431926">
        <w:rPr>
          <w:rFonts w:ascii="Verdana" w:eastAsia="Calibri" w:hAnsi="Verdana" w:cs="Arial"/>
        </w:rPr>
        <w:t>neuroimagenológico</w:t>
      </w:r>
      <w:proofErr w:type="spellEnd"/>
      <w:r w:rsidRPr="00431926">
        <w:rPr>
          <w:rFonts w:ascii="Verdana" w:eastAsia="Calibri" w:hAnsi="Verdana" w:cs="Arial"/>
        </w:rPr>
        <w:t xml:space="preserve"> y por </w:t>
      </w:r>
      <w:proofErr w:type="spellStart"/>
      <w:r w:rsidRPr="00431926">
        <w:rPr>
          <w:rFonts w:ascii="Verdana" w:eastAsia="Calibri" w:hAnsi="Verdana" w:cs="Arial"/>
        </w:rPr>
        <w:t>neuromonitorización</w:t>
      </w:r>
      <w:proofErr w:type="spellEnd"/>
      <w:r w:rsidRPr="00431926">
        <w:rPr>
          <w:rFonts w:ascii="Verdana" w:eastAsia="Calibri" w:hAnsi="Verdana" w:cs="Arial"/>
        </w:rPr>
        <w:t xml:space="preserve"> del trauma craneoencefálico en la provincia matanzas. 2016-2018. </w:t>
      </w:r>
      <w:proofErr w:type="spellStart"/>
      <w:r w:rsidRPr="00431926">
        <w:rPr>
          <w:rFonts w:ascii="Verdana" w:eastAsia="Calibri" w:hAnsi="Verdana" w:cs="Arial"/>
        </w:rPr>
        <w:t>Rev</w:t>
      </w:r>
      <w:proofErr w:type="spellEnd"/>
      <w:r w:rsidRPr="00431926">
        <w:rPr>
          <w:rFonts w:ascii="Verdana" w:eastAsia="Calibri" w:hAnsi="Verdana" w:cs="Arial"/>
        </w:rPr>
        <w:t xml:space="preserve"> </w:t>
      </w:r>
      <w:proofErr w:type="spellStart"/>
      <w:r w:rsidRPr="00431926">
        <w:rPr>
          <w:rFonts w:ascii="Verdana" w:eastAsia="Calibri" w:hAnsi="Verdana" w:cs="Arial"/>
        </w:rPr>
        <w:t>Méd</w:t>
      </w:r>
      <w:proofErr w:type="spellEnd"/>
      <w:r w:rsidRPr="00431926">
        <w:rPr>
          <w:rFonts w:ascii="Verdana" w:eastAsia="Calibri" w:hAnsi="Verdana" w:cs="Arial"/>
        </w:rPr>
        <w:t xml:space="preserve"> Electrón [Internet]. 2019 [citado 23/10/2021]</w:t>
      </w:r>
      <w:proofErr w:type="gramStart"/>
      <w:r w:rsidRPr="00431926">
        <w:rPr>
          <w:rFonts w:ascii="Verdana" w:eastAsia="Calibri" w:hAnsi="Verdana" w:cs="Arial"/>
        </w:rPr>
        <w:t>;41</w:t>
      </w:r>
      <w:proofErr w:type="gramEnd"/>
      <w:r w:rsidRPr="00431926">
        <w:rPr>
          <w:rFonts w:ascii="Verdana" w:eastAsia="Calibri" w:hAnsi="Verdana" w:cs="Arial"/>
        </w:rPr>
        <w:t xml:space="preserve">(2):368-381. Disponible en: </w:t>
      </w:r>
      <w:hyperlink r:id="rId28" w:history="1">
        <w:r w:rsidRPr="00431926">
          <w:rPr>
            <w:rFonts w:ascii="Verdana" w:eastAsia="Calibri" w:hAnsi="Verdana" w:cs="Arial"/>
            <w:color w:val="0000FF"/>
            <w:u w:val="single"/>
          </w:rPr>
          <w:t>https://www.medigraphic.com/cgi-bin/new/resumen.cgi?IDARTICULO=88123</w:t>
        </w:r>
      </w:hyperlink>
    </w:p>
    <w:p w:rsidR="00431926" w:rsidRPr="00431926" w:rsidRDefault="00431926" w:rsidP="00431926">
      <w:pPr>
        <w:tabs>
          <w:tab w:val="left" w:pos="9356"/>
        </w:tabs>
        <w:spacing w:line="360" w:lineRule="auto"/>
        <w:ind w:right="48"/>
        <w:contextualSpacing/>
        <w:rPr>
          <w:rFonts w:ascii="Verdana" w:eastAsia="Calibri" w:hAnsi="Verdana" w:cs="Arial"/>
        </w:rPr>
      </w:pPr>
    </w:p>
    <w:p w:rsidR="00431926" w:rsidRPr="00431926" w:rsidRDefault="00431926" w:rsidP="00431926">
      <w:pPr>
        <w:numPr>
          <w:ilvl w:val="0"/>
          <w:numId w:val="1"/>
        </w:numPr>
        <w:tabs>
          <w:tab w:val="left" w:pos="9356"/>
        </w:tabs>
        <w:spacing w:after="0" w:line="360" w:lineRule="auto"/>
        <w:ind w:left="0" w:right="48"/>
        <w:contextualSpacing/>
        <w:jc w:val="both"/>
        <w:rPr>
          <w:rFonts w:ascii="Verdana" w:eastAsia="Calibri" w:hAnsi="Verdana" w:cs="Arial"/>
        </w:rPr>
      </w:pPr>
      <w:proofErr w:type="spellStart"/>
      <w:r w:rsidRPr="00431926">
        <w:rPr>
          <w:rFonts w:ascii="Verdana" w:eastAsia="Calibri" w:hAnsi="Verdana" w:cs="Arial"/>
        </w:rPr>
        <w:t>Quintanal</w:t>
      </w:r>
      <w:proofErr w:type="spellEnd"/>
      <w:r w:rsidRPr="00431926">
        <w:rPr>
          <w:rFonts w:ascii="Verdana" w:eastAsia="Calibri" w:hAnsi="Verdana" w:cs="Arial"/>
        </w:rPr>
        <w:t xml:space="preserve">-Cordero N, Felipe-Morán A, </w:t>
      </w:r>
      <w:proofErr w:type="spellStart"/>
      <w:r w:rsidRPr="00431926">
        <w:rPr>
          <w:rFonts w:ascii="Verdana" w:eastAsia="Calibri" w:hAnsi="Verdana" w:cs="Arial"/>
        </w:rPr>
        <w:t>Tápanes</w:t>
      </w:r>
      <w:proofErr w:type="spellEnd"/>
      <w:r w:rsidRPr="00431926">
        <w:rPr>
          <w:rFonts w:ascii="Verdana" w:eastAsia="Calibri" w:hAnsi="Verdana" w:cs="Arial"/>
        </w:rPr>
        <w:t xml:space="preserve">-Domínguez A, Rodríguez-De la Paz N, Cañizares-Marrero C, Prince-López J. Traumatismo craneoencefálico: estudio de cinco años. </w:t>
      </w:r>
      <w:proofErr w:type="spellStart"/>
      <w:r w:rsidRPr="00431926">
        <w:rPr>
          <w:rFonts w:ascii="Verdana" w:eastAsia="Calibri" w:hAnsi="Verdana" w:cs="Arial"/>
        </w:rPr>
        <w:t>Rev</w:t>
      </w:r>
      <w:proofErr w:type="spellEnd"/>
      <w:r w:rsidRPr="00431926">
        <w:rPr>
          <w:rFonts w:ascii="Verdana" w:eastAsia="Calibri" w:hAnsi="Verdana" w:cs="Arial"/>
        </w:rPr>
        <w:t xml:space="preserve"> </w:t>
      </w:r>
      <w:proofErr w:type="spellStart"/>
      <w:r w:rsidRPr="00431926">
        <w:rPr>
          <w:rFonts w:ascii="Verdana" w:eastAsia="Calibri" w:hAnsi="Verdana" w:cs="Arial"/>
        </w:rPr>
        <w:t>Cub</w:t>
      </w:r>
      <w:proofErr w:type="spellEnd"/>
      <w:r w:rsidRPr="00431926">
        <w:rPr>
          <w:rFonts w:ascii="Verdana" w:eastAsia="Calibri" w:hAnsi="Verdana" w:cs="Arial"/>
        </w:rPr>
        <w:t xml:space="preserve"> </w:t>
      </w:r>
      <w:proofErr w:type="spellStart"/>
      <w:r w:rsidRPr="00431926">
        <w:rPr>
          <w:rFonts w:ascii="Verdana" w:eastAsia="Calibri" w:hAnsi="Verdana" w:cs="Arial"/>
        </w:rPr>
        <w:t>Med</w:t>
      </w:r>
      <w:proofErr w:type="spellEnd"/>
      <w:r w:rsidRPr="00431926">
        <w:rPr>
          <w:rFonts w:ascii="Verdana" w:eastAsia="Calibri" w:hAnsi="Verdana" w:cs="Arial"/>
        </w:rPr>
        <w:t xml:space="preserve"> Mil  [Internet]. 2006 [citado 30/09/2021]; 35(2). Disponible en: </w:t>
      </w:r>
      <w:hyperlink r:id="rId29" w:history="1">
        <w:r w:rsidRPr="00431926">
          <w:rPr>
            <w:rFonts w:ascii="Verdana" w:eastAsia="Calibri" w:hAnsi="Verdana" w:cs="Arial"/>
            <w:color w:val="0000FF"/>
            <w:u w:val="single"/>
          </w:rPr>
          <w:t>http://scielo.sld.cu/scielo.php?script=sci_arttext&amp;pid=S0138-65572006000200003&amp;lng=es</w:t>
        </w:r>
      </w:hyperlink>
    </w:p>
    <w:p w:rsidR="00431926" w:rsidRPr="00431926" w:rsidRDefault="00431926" w:rsidP="00431926">
      <w:pPr>
        <w:tabs>
          <w:tab w:val="left" w:pos="9356"/>
        </w:tabs>
        <w:spacing w:after="0" w:line="360" w:lineRule="auto"/>
        <w:ind w:right="48"/>
        <w:jc w:val="both"/>
        <w:rPr>
          <w:rFonts w:ascii="Verdana" w:eastAsia="Calibri" w:hAnsi="Verdana" w:cs="Times New Roman"/>
          <w:lang w:val="es-MX"/>
        </w:rPr>
      </w:pPr>
    </w:p>
    <w:p w:rsidR="00431926" w:rsidRPr="00431926" w:rsidRDefault="00431926" w:rsidP="00431926">
      <w:pPr>
        <w:tabs>
          <w:tab w:val="left" w:pos="9356"/>
        </w:tabs>
        <w:spacing w:after="0" w:line="360" w:lineRule="auto"/>
        <w:ind w:right="48"/>
        <w:jc w:val="both"/>
        <w:rPr>
          <w:rFonts w:ascii="Verdana" w:eastAsia="Calibri" w:hAnsi="Verdana" w:cs="Times New Roman"/>
          <w:b/>
          <w:lang w:val="es-MX"/>
        </w:rPr>
      </w:pPr>
      <w:r w:rsidRPr="00431926">
        <w:rPr>
          <w:rFonts w:ascii="Verdana" w:eastAsia="Calibri" w:hAnsi="Verdana" w:cs="Times New Roman"/>
          <w:b/>
          <w:lang w:val="es-MX"/>
        </w:rPr>
        <w:t>ANEXOS</w:t>
      </w: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 xml:space="preserve">Tabla 1. </w:t>
      </w:r>
      <w:r w:rsidRPr="00431926">
        <w:rPr>
          <w:rFonts w:ascii="Verdana" w:eastAsia="Calibri" w:hAnsi="Verdana" w:cs="Arial"/>
        </w:rPr>
        <w:t xml:space="preserve">Distribución según edad y sexo de los pacientes con TCE. Hospital Universitario “Gustavo </w:t>
      </w:r>
      <w:proofErr w:type="spellStart"/>
      <w:r w:rsidRPr="00431926">
        <w:rPr>
          <w:rFonts w:ascii="Verdana" w:eastAsia="Calibri" w:hAnsi="Verdana" w:cs="Arial"/>
        </w:rPr>
        <w:t>Aldereguía</w:t>
      </w:r>
      <w:proofErr w:type="spellEnd"/>
      <w:r w:rsidRPr="00431926">
        <w:rPr>
          <w:rFonts w:ascii="Verdana" w:eastAsia="Calibri" w:hAnsi="Verdana" w:cs="Arial"/>
        </w:rPr>
        <w:t xml:space="preserve"> Lima”, Cienfuegos, Cuba. Enero-noviembre, 2018</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2727"/>
        <w:gridCol w:w="1145"/>
        <w:gridCol w:w="1071"/>
        <w:gridCol w:w="1143"/>
        <w:gridCol w:w="1070"/>
        <w:gridCol w:w="1090"/>
        <w:gridCol w:w="1040"/>
      </w:tblGrid>
      <w:tr w:rsidR="00431926" w:rsidRPr="00431926" w:rsidTr="008536B2">
        <w:trPr>
          <w:jc w:val="center"/>
        </w:trPr>
        <w:tc>
          <w:tcPr>
            <w:tcW w:w="2727" w:type="dxa"/>
            <w:vMerge w:val="restart"/>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Edad</w:t>
            </w:r>
          </w:p>
        </w:tc>
        <w:tc>
          <w:tcPr>
            <w:tcW w:w="2216"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Sexo Masculino</w:t>
            </w:r>
          </w:p>
        </w:tc>
        <w:tc>
          <w:tcPr>
            <w:tcW w:w="2213"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Sexo Femenino</w:t>
            </w:r>
          </w:p>
        </w:tc>
        <w:tc>
          <w:tcPr>
            <w:tcW w:w="2130"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Total</w:t>
            </w:r>
          </w:p>
        </w:tc>
      </w:tr>
      <w:tr w:rsidR="00431926" w:rsidRPr="00431926" w:rsidTr="008536B2">
        <w:trPr>
          <w:jc w:val="center"/>
        </w:trPr>
        <w:tc>
          <w:tcPr>
            <w:tcW w:w="2727" w:type="dxa"/>
            <w:vMerge/>
            <w:tcBorders>
              <w:left w:val="nil"/>
              <w:right w:val="nil"/>
            </w:tcBorders>
            <w:shd w:val="clear" w:color="auto" w:fill="DFD8E8"/>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lang w:val="en-US"/>
              </w:rPr>
              <w:t xml:space="preserve">21-40 </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11</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64,71</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9</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60</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20</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62,5</w:t>
            </w:r>
          </w:p>
        </w:tc>
      </w:tr>
      <w:tr w:rsidR="00431926" w:rsidRPr="00431926" w:rsidTr="008536B2">
        <w:trPr>
          <w:jc w:val="center"/>
        </w:trPr>
        <w:tc>
          <w:tcPr>
            <w:tcW w:w="2727" w:type="dxa"/>
            <w:tcBorders>
              <w:left w:val="nil"/>
              <w:right w:val="nil"/>
            </w:tcBorders>
            <w:shd w:val="clear" w:color="auto" w:fill="DFD8E8"/>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 xml:space="preserve">41-60 </w:t>
            </w: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23,53</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26,67</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8</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25</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 xml:space="preserve">61-80 </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5,88</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13,33</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9,38</w:t>
            </w:r>
          </w:p>
        </w:tc>
      </w:tr>
      <w:tr w:rsidR="00431926" w:rsidRPr="00431926" w:rsidTr="008536B2">
        <w:trPr>
          <w:jc w:val="center"/>
        </w:trPr>
        <w:tc>
          <w:tcPr>
            <w:tcW w:w="2727" w:type="dxa"/>
            <w:tcBorders>
              <w:left w:val="nil"/>
              <w:right w:val="nil"/>
            </w:tcBorders>
            <w:shd w:val="clear" w:color="auto" w:fill="DFD8E8"/>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 xml:space="preserve">Más de 80 </w:t>
            </w: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5,88</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0</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0</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3,13</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Total</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17</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53,13</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15</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46,88</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32</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100</w:t>
            </w:r>
          </w:p>
        </w:tc>
      </w:tr>
    </w:tbl>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 xml:space="preserve">Fuente: </w:t>
      </w:r>
      <w:r w:rsidRPr="00431926">
        <w:rPr>
          <w:rFonts w:ascii="Verdana" w:eastAsia="Calibri" w:hAnsi="Verdana" w:cs="Arial"/>
        </w:rPr>
        <w:t xml:space="preserve">historias clínicas individuales de los pacientes. </w:t>
      </w:r>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 xml:space="preserve">Tabla 2. </w:t>
      </w:r>
      <w:r w:rsidRPr="00431926">
        <w:rPr>
          <w:rFonts w:ascii="Verdana" w:eastAsia="Calibri" w:hAnsi="Verdana" w:cs="Arial"/>
        </w:rPr>
        <w:t>Distribución según sexo de la clasificación del TCE según la escala de Glasgow</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2727"/>
        <w:gridCol w:w="1145"/>
        <w:gridCol w:w="1071"/>
        <w:gridCol w:w="1143"/>
        <w:gridCol w:w="1070"/>
        <w:gridCol w:w="1090"/>
        <w:gridCol w:w="1040"/>
      </w:tblGrid>
      <w:tr w:rsidR="00431926" w:rsidRPr="00431926" w:rsidTr="008536B2">
        <w:trPr>
          <w:jc w:val="center"/>
        </w:trPr>
        <w:tc>
          <w:tcPr>
            <w:tcW w:w="2727" w:type="dxa"/>
            <w:vMerge w:val="restart"/>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Clasificación según la escala de Glasgow</w:t>
            </w:r>
          </w:p>
        </w:tc>
        <w:tc>
          <w:tcPr>
            <w:tcW w:w="2216"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Sexo Masculino</w:t>
            </w:r>
          </w:p>
        </w:tc>
        <w:tc>
          <w:tcPr>
            <w:tcW w:w="2213"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Sexo Femenino</w:t>
            </w:r>
          </w:p>
        </w:tc>
        <w:tc>
          <w:tcPr>
            <w:tcW w:w="2130"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Total</w:t>
            </w:r>
          </w:p>
        </w:tc>
      </w:tr>
      <w:tr w:rsidR="00431926" w:rsidRPr="00431926" w:rsidTr="008536B2">
        <w:trPr>
          <w:jc w:val="center"/>
        </w:trPr>
        <w:tc>
          <w:tcPr>
            <w:tcW w:w="2727" w:type="dxa"/>
            <w:vMerge/>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rPr>
                <w:rFonts w:ascii="Verdana" w:eastAsia="Calibri" w:hAnsi="Verdana" w:cs="Arial"/>
                <w:b/>
                <w:bCs/>
                <w:color w:val="5F497A"/>
              </w:rPr>
            </w:pPr>
            <w:r w:rsidRPr="00431926">
              <w:rPr>
                <w:rFonts w:ascii="Verdana" w:eastAsia="Calibri" w:hAnsi="Verdana" w:cs="Arial"/>
                <w:b/>
                <w:bCs/>
                <w:color w:val="5F497A"/>
              </w:rPr>
              <w:t>Leve</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13</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76,47</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8</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53,33</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21</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65,63</w:t>
            </w:r>
          </w:p>
        </w:tc>
      </w:tr>
      <w:tr w:rsidR="00431926" w:rsidRPr="00431926" w:rsidTr="008536B2">
        <w:trPr>
          <w:jc w:val="center"/>
        </w:trPr>
        <w:tc>
          <w:tcPr>
            <w:tcW w:w="2727" w:type="dxa"/>
            <w:tcBorders>
              <w:left w:val="nil"/>
              <w:right w:val="nil"/>
            </w:tcBorders>
            <w:shd w:val="clear" w:color="auto" w:fill="DFD8E8"/>
          </w:tcPr>
          <w:p w:rsidR="00431926" w:rsidRPr="00431926" w:rsidRDefault="00431926" w:rsidP="00431926">
            <w:pPr>
              <w:tabs>
                <w:tab w:val="left" w:pos="9356"/>
              </w:tabs>
              <w:spacing w:after="0" w:line="360" w:lineRule="auto"/>
              <w:ind w:right="48"/>
              <w:rPr>
                <w:rFonts w:ascii="Verdana" w:eastAsia="Calibri" w:hAnsi="Verdana" w:cs="Arial"/>
                <w:b/>
                <w:bCs/>
                <w:color w:val="5F497A"/>
              </w:rPr>
            </w:pPr>
            <w:r w:rsidRPr="00431926">
              <w:rPr>
                <w:rFonts w:ascii="Verdana" w:eastAsia="Calibri" w:hAnsi="Verdana" w:cs="Arial"/>
                <w:b/>
                <w:bCs/>
                <w:color w:val="5F497A"/>
              </w:rPr>
              <w:t>Moderada</w:t>
            </w: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17,65</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33,33</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8</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25</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rPr>
                <w:rFonts w:ascii="Verdana" w:eastAsia="Calibri" w:hAnsi="Verdana" w:cs="Arial"/>
                <w:b/>
                <w:bCs/>
                <w:color w:val="5F497A"/>
              </w:rPr>
            </w:pPr>
            <w:r w:rsidRPr="00431926">
              <w:rPr>
                <w:rFonts w:ascii="Verdana" w:eastAsia="Calibri" w:hAnsi="Verdana" w:cs="Arial"/>
                <w:b/>
                <w:bCs/>
                <w:color w:val="5F497A"/>
              </w:rPr>
              <w:t>Grave</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5,88</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13,33</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9,38</w:t>
            </w:r>
          </w:p>
        </w:tc>
      </w:tr>
      <w:tr w:rsidR="00431926" w:rsidRPr="00431926" w:rsidTr="008536B2">
        <w:trPr>
          <w:jc w:val="center"/>
        </w:trPr>
        <w:tc>
          <w:tcPr>
            <w:tcW w:w="2727" w:type="dxa"/>
            <w:tcBorders>
              <w:left w:val="nil"/>
              <w:right w:val="nil"/>
            </w:tcBorders>
            <w:shd w:val="clear" w:color="auto" w:fill="DFD8E8"/>
          </w:tcPr>
          <w:p w:rsidR="00431926" w:rsidRPr="00431926" w:rsidRDefault="00431926" w:rsidP="00431926">
            <w:pPr>
              <w:tabs>
                <w:tab w:val="left" w:pos="9356"/>
              </w:tabs>
              <w:spacing w:after="0" w:line="360" w:lineRule="auto"/>
              <w:ind w:right="48"/>
              <w:rPr>
                <w:rFonts w:ascii="Verdana" w:eastAsia="Calibri" w:hAnsi="Verdana" w:cs="Arial"/>
                <w:b/>
                <w:bCs/>
                <w:color w:val="5F497A"/>
              </w:rPr>
            </w:pPr>
            <w:r w:rsidRPr="00431926">
              <w:rPr>
                <w:rFonts w:ascii="Verdana" w:eastAsia="Calibri" w:hAnsi="Verdana" w:cs="Arial"/>
                <w:b/>
                <w:bCs/>
                <w:color w:val="5F497A"/>
              </w:rPr>
              <w:t>Total</w:t>
            </w: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17</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53,13</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15</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46,88</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32</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100</w:t>
            </w:r>
          </w:p>
        </w:tc>
      </w:tr>
    </w:tbl>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 xml:space="preserve">Fuente: </w:t>
      </w:r>
      <w:r w:rsidRPr="00431926">
        <w:rPr>
          <w:rFonts w:ascii="Verdana" w:eastAsia="Calibri" w:hAnsi="Verdana" w:cs="Arial"/>
        </w:rPr>
        <w:t xml:space="preserve">historias clínicas individuales de los pacientes. </w:t>
      </w:r>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 xml:space="preserve">Tabla 3. </w:t>
      </w:r>
      <w:r w:rsidRPr="00431926">
        <w:rPr>
          <w:rFonts w:ascii="Verdana" w:eastAsia="Calibri" w:hAnsi="Verdana" w:cs="Arial"/>
        </w:rPr>
        <w:t>Distribución según sexo de las causas de los TCE</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2727"/>
        <w:gridCol w:w="1145"/>
        <w:gridCol w:w="1071"/>
        <w:gridCol w:w="1143"/>
        <w:gridCol w:w="1070"/>
        <w:gridCol w:w="1090"/>
        <w:gridCol w:w="1040"/>
      </w:tblGrid>
      <w:tr w:rsidR="00431926" w:rsidRPr="00431926" w:rsidTr="008536B2">
        <w:trPr>
          <w:jc w:val="center"/>
        </w:trPr>
        <w:tc>
          <w:tcPr>
            <w:tcW w:w="2727" w:type="dxa"/>
            <w:vMerge w:val="restart"/>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Causas de los TCE</w:t>
            </w:r>
          </w:p>
        </w:tc>
        <w:tc>
          <w:tcPr>
            <w:tcW w:w="2216"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Sexo Masculino</w:t>
            </w:r>
          </w:p>
        </w:tc>
        <w:tc>
          <w:tcPr>
            <w:tcW w:w="2213"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Sexo Femenino</w:t>
            </w:r>
          </w:p>
        </w:tc>
        <w:tc>
          <w:tcPr>
            <w:tcW w:w="2130"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Total</w:t>
            </w:r>
          </w:p>
        </w:tc>
      </w:tr>
      <w:tr w:rsidR="00431926" w:rsidRPr="00431926" w:rsidTr="008536B2">
        <w:trPr>
          <w:jc w:val="center"/>
        </w:trPr>
        <w:tc>
          <w:tcPr>
            <w:tcW w:w="2727" w:type="dxa"/>
            <w:vMerge/>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Agresiones</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5,88</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20</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12,5</w:t>
            </w:r>
          </w:p>
        </w:tc>
      </w:tr>
      <w:tr w:rsidR="00431926" w:rsidRPr="00431926" w:rsidTr="008536B2">
        <w:trPr>
          <w:jc w:val="center"/>
        </w:trPr>
        <w:tc>
          <w:tcPr>
            <w:tcW w:w="2727" w:type="dxa"/>
            <w:tcBorders>
              <w:left w:val="nil"/>
              <w:right w:val="nil"/>
            </w:tcBorders>
            <w:shd w:val="clear" w:color="auto" w:fill="DFD8E8"/>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Accidentes laborales y deportivos</w:t>
            </w: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23,53</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13,33</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6</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18,75</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Accidentes de tráfico</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7</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41,18</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6</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40</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13</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40,63</w:t>
            </w:r>
          </w:p>
        </w:tc>
      </w:tr>
      <w:tr w:rsidR="00431926" w:rsidRPr="00431926" w:rsidTr="008536B2">
        <w:trPr>
          <w:jc w:val="center"/>
        </w:trPr>
        <w:tc>
          <w:tcPr>
            <w:tcW w:w="2727" w:type="dxa"/>
            <w:tcBorders>
              <w:left w:val="nil"/>
              <w:right w:val="nil"/>
            </w:tcBorders>
            <w:shd w:val="clear" w:color="auto" w:fill="DFD8E8"/>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Caídas</w:t>
            </w: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29,41</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26,66</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9</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28,13</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Total</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17</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53,13</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15</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46,88</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32</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100</w:t>
            </w:r>
          </w:p>
        </w:tc>
      </w:tr>
    </w:tbl>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 xml:space="preserve">Fuente: </w:t>
      </w:r>
      <w:r w:rsidRPr="00431926">
        <w:rPr>
          <w:rFonts w:ascii="Verdana" w:eastAsia="Calibri" w:hAnsi="Verdana" w:cs="Arial"/>
        </w:rPr>
        <w:t xml:space="preserve">historias clínicas individuales de los pacientes. </w:t>
      </w:r>
    </w:p>
    <w:p w:rsidR="00431926" w:rsidRPr="00431926" w:rsidRDefault="00431926" w:rsidP="00431926">
      <w:pPr>
        <w:tabs>
          <w:tab w:val="left" w:pos="9356"/>
        </w:tabs>
        <w:spacing w:after="0" w:line="360" w:lineRule="auto"/>
        <w:ind w:right="48"/>
        <w:jc w:val="both"/>
        <w:rPr>
          <w:rFonts w:ascii="Verdana" w:eastAsia="Calibri" w:hAnsi="Verdana" w:cs="Arial"/>
        </w:rPr>
      </w:pPr>
    </w:p>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lastRenderedPageBreak/>
        <w:t xml:space="preserve">Tabla 4. </w:t>
      </w:r>
      <w:r w:rsidRPr="00431926">
        <w:rPr>
          <w:rFonts w:ascii="Verdana" w:eastAsia="Calibri" w:hAnsi="Verdana" w:cs="Arial"/>
        </w:rPr>
        <w:t>Distribución según sexo del estado al egreso de los pacientes con TCE</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2727"/>
        <w:gridCol w:w="1145"/>
        <w:gridCol w:w="1071"/>
        <w:gridCol w:w="1143"/>
        <w:gridCol w:w="1070"/>
        <w:gridCol w:w="1090"/>
        <w:gridCol w:w="1040"/>
      </w:tblGrid>
      <w:tr w:rsidR="00431926" w:rsidRPr="00431926" w:rsidTr="008536B2">
        <w:trPr>
          <w:jc w:val="center"/>
        </w:trPr>
        <w:tc>
          <w:tcPr>
            <w:tcW w:w="2727" w:type="dxa"/>
            <w:vMerge w:val="restart"/>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Estado del paciente al egreso</w:t>
            </w:r>
          </w:p>
        </w:tc>
        <w:tc>
          <w:tcPr>
            <w:tcW w:w="2216"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Sexo Masculino</w:t>
            </w:r>
          </w:p>
        </w:tc>
        <w:tc>
          <w:tcPr>
            <w:tcW w:w="2213"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Sexo Femenino</w:t>
            </w:r>
          </w:p>
        </w:tc>
        <w:tc>
          <w:tcPr>
            <w:tcW w:w="2130" w:type="dxa"/>
            <w:gridSpan w:val="2"/>
            <w:tcBorders>
              <w:top w:val="single" w:sz="8" w:space="0" w:color="8064A2"/>
              <w:left w:val="nil"/>
              <w:bottom w:val="single" w:sz="8" w:space="0" w:color="8064A2"/>
              <w:right w:val="nil"/>
            </w:tcBorders>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r w:rsidRPr="00431926">
              <w:rPr>
                <w:rFonts w:ascii="Verdana" w:eastAsia="Calibri" w:hAnsi="Verdana" w:cs="Arial"/>
                <w:b/>
                <w:bCs/>
                <w:color w:val="5F497A"/>
              </w:rPr>
              <w:t>Total</w:t>
            </w:r>
          </w:p>
        </w:tc>
      </w:tr>
      <w:tr w:rsidR="00431926" w:rsidRPr="00431926" w:rsidTr="008536B2">
        <w:trPr>
          <w:jc w:val="center"/>
        </w:trPr>
        <w:tc>
          <w:tcPr>
            <w:tcW w:w="2727" w:type="dxa"/>
            <w:vMerge/>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bCs/>
                <w:color w:val="5F497A"/>
              </w:rPr>
            </w:pP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No.</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b/>
                <w:color w:val="5F497A"/>
              </w:rPr>
            </w:pPr>
            <w:r w:rsidRPr="00431926">
              <w:rPr>
                <w:rFonts w:ascii="Verdana" w:eastAsia="Calibri" w:hAnsi="Verdana" w:cs="Arial"/>
                <w:b/>
                <w:color w:val="5F497A"/>
              </w:rPr>
              <w:t>%</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Vivos</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16</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94,11</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15</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100</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31</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96,88</w:t>
            </w:r>
          </w:p>
        </w:tc>
      </w:tr>
      <w:tr w:rsidR="00431926" w:rsidRPr="00431926" w:rsidTr="008536B2">
        <w:trPr>
          <w:jc w:val="center"/>
        </w:trPr>
        <w:tc>
          <w:tcPr>
            <w:tcW w:w="2727" w:type="dxa"/>
            <w:tcBorders>
              <w:left w:val="nil"/>
              <w:right w:val="nil"/>
            </w:tcBorders>
            <w:shd w:val="clear" w:color="auto" w:fill="DFD8E8"/>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Fallecidos</w:t>
            </w:r>
          </w:p>
        </w:tc>
        <w:tc>
          <w:tcPr>
            <w:tcW w:w="1145"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w:t>
            </w:r>
          </w:p>
        </w:tc>
        <w:tc>
          <w:tcPr>
            <w:tcW w:w="1071"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5,88</w:t>
            </w:r>
          </w:p>
        </w:tc>
        <w:tc>
          <w:tcPr>
            <w:tcW w:w="1143"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0</w:t>
            </w:r>
          </w:p>
        </w:tc>
        <w:tc>
          <w:tcPr>
            <w:tcW w:w="107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0</w:t>
            </w:r>
          </w:p>
        </w:tc>
        <w:tc>
          <w:tcPr>
            <w:tcW w:w="109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w:t>
            </w:r>
          </w:p>
        </w:tc>
        <w:tc>
          <w:tcPr>
            <w:tcW w:w="1040" w:type="dxa"/>
            <w:tcBorders>
              <w:left w:val="nil"/>
              <w:right w:val="nil"/>
            </w:tcBorders>
            <w:shd w:val="clear" w:color="auto" w:fill="DFD8E8"/>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3,13</w:t>
            </w:r>
          </w:p>
        </w:tc>
      </w:tr>
      <w:tr w:rsidR="00431926" w:rsidRPr="00431926" w:rsidTr="008536B2">
        <w:trPr>
          <w:jc w:val="center"/>
        </w:trPr>
        <w:tc>
          <w:tcPr>
            <w:tcW w:w="2727" w:type="dxa"/>
            <w:shd w:val="clear" w:color="auto" w:fill="auto"/>
          </w:tcPr>
          <w:p w:rsidR="00431926" w:rsidRPr="00431926" w:rsidRDefault="00431926" w:rsidP="00431926">
            <w:pPr>
              <w:tabs>
                <w:tab w:val="left" w:pos="9356"/>
              </w:tabs>
              <w:spacing w:after="0" w:line="360" w:lineRule="auto"/>
              <w:ind w:right="48"/>
              <w:jc w:val="both"/>
              <w:rPr>
                <w:rFonts w:ascii="Verdana" w:eastAsia="Calibri" w:hAnsi="Verdana" w:cs="Arial"/>
                <w:b/>
                <w:bCs/>
                <w:color w:val="5F497A"/>
              </w:rPr>
            </w:pPr>
            <w:r w:rsidRPr="00431926">
              <w:rPr>
                <w:rFonts w:ascii="Verdana" w:eastAsia="Calibri" w:hAnsi="Verdana" w:cs="Arial"/>
                <w:b/>
                <w:bCs/>
                <w:color w:val="5F497A"/>
              </w:rPr>
              <w:t>Total</w:t>
            </w:r>
          </w:p>
        </w:tc>
        <w:tc>
          <w:tcPr>
            <w:tcW w:w="1145"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17</w:t>
            </w:r>
          </w:p>
        </w:tc>
        <w:tc>
          <w:tcPr>
            <w:tcW w:w="1071"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53,13</w:t>
            </w:r>
          </w:p>
        </w:tc>
        <w:tc>
          <w:tcPr>
            <w:tcW w:w="1143"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15</w:t>
            </w:r>
          </w:p>
        </w:tc>
        <w:tc>
          <w:tcPr>
            <w:tcW w:w="107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46,88</w:t>
            </w:r>
          </w:p>
        </w:tc>
        <w:tc>
          <w:tcPr>
            <w:tcW w:w="109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32</w:t>
            </w:r>
          </w:p>
        </w:tc>
        <w:tc>
          <w:tcPr>
            <w:tcW w:w="1040" w:type="dxa"/>
            <w:shd w:val="clear" w:color="auto" w:fill="auto"/>
          </w:tcPr>
          <w:p w:rsidR="00431926" w:rsidRPr="00431926" w:rsidRDefault="00431926" w:rsidP="00431926">
            <w:pPr>
              <w:tabs>
                <w:tab w:val="left" w:pos="9356"/>
              </w:tabs>
              <w:spacing w:after="0" w:line="360" w:lineRule="auto"/>
              <w:ind w:right="48"/>
              <w:jc w:val="center"/>
              <w:rPr>
                <w:rFonts w:ascii="Verdana" w:eastAsia="Calibri" w:hAnsi="Verdana" w:cs="Arial"/>
                <w:color w:val="5F497A"/>
              </w:rPr>
            </w:pPr>
            <w:r w:rsidRPr="00431926">
              <w:rPr>
                <w:rFonts w:ascii="Verdana" w:eastAsia="Calibri" w:hAnsi="Verdana" w:cs="Arial"/>
                <w:color w:val="5F497A"/>
              </w:rPr>
              <w:t>100</w:t>
            </w:r>
          </w:p>
        </w:tc>
      </w:tr>
    </w:tbl>
    <w:p w:rsidR="00431926" w:rsidRPr="00431926" w:rsidRDefault="00431926" w:rsidP="00431926">
      <w:pPr>
        <w:tabs>
          <w:tab w:val="left" w:pos="9356"/>
        </w:tabs>
        <w:spacing w:after="0" w:line="360" w:lineRule="auto"/>
        <w:ind w:right="48"/>
        <w:jc w:val="both"/>
        <w:rPr>
          <w:rFonts w:ascii="Verdana" w:eastAsia="Calibri" w:hAnsi="Verdana" w:cs="Arial"/>
        </w:rPr>
      </w:pPr>
      <w:r w:rsidRPr="00431926">
        <w:rPr>
          <w:rFonts w:ascii="Verdana" w:eastAsia="Calibri" w:hAnsi="Verdana" w:cs="Arial"/>
          <w:b/>
        </w:rPr>
        <w:t xml:space="preserve">Fuente: </w:t>
      </w:r>
      <w:r w:rsidRPr="00431926">
        <w:rPr>
          <w:rFonts w:ascii="Verdana" w:eastAsia="Calibri" w:hAnsi="Verdana" w:cs="Arial"/>
        </w:rPr>
        <w:t xml:space="preserve">historias clínicas individuales de los pacientes. </w:t>
      </w:r>
    </w:p>
    <w:p w:rsidR="00431926" w:rsidRPr="00431926" w:rsidRDefault="00431926" w:rsidP="00431926">
      <w:pPr>
        <w:tabs>
          <w:tab w:val="left" w:pos="9356"/>
        </w:tabs>
        <w:spacing w:after="0" w:line="360" w:lineRule="auto"/>
        <w:ind w:right="48"/>
        <w:jc w:val="both"/>
        <w:rPr>
          <w:rFonts w:ascii="Verdana" w:eastAsia="Calibri" w:hAnsi="Verdana" w:cs="Times New Roman"/>
          <w:lang w:val="es-MX"/>
        </w:rPr>
      </w:pPr>
    </w:p>
    <w:p w:rsidR="000F226A" w:rsidRDefault="000F226A"/>
    <w:sectPr w:rsidR="000F226A" w:rsidSect="007D22A0">
      <w:footerReference w:type="default" r:id="rId3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B05" w:rsidRDefault="00FA0B05">
      <w:pPr>
        <w:spacing w:after="0" w:line="240" w:lineRule="auto"/>
      </w:pPr>
      <w:r>
        <w:separator/>
      </w:r>
    </w:p>
  </w:endnote>
  <w:endnote w:type="continuationSeparator" w:id="0">
    <w:p w:rsidR="00FA0B05" w:rsidRDefault="00FA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3F" w:rsidRDefault="00417034">
    <w:pPr>
      <w:pStyle w:val="Piedepgina"/>
      <w:jc w:val="right"/>
    </w:pPr>
    <w:r>
      <w:fldChar w:fldCharType="begin"/>
    </w:r>
    <w:r>
      <w:instrText>PAGE   \* MERGEFORMAT</w:instrText>
    </w:r>
    <w:r>
      <w:fldChar w:fldCharType="separate"/>
    </w:r>
    <w:r w:rsidR="00BB07EA">
      <w:rPr>
        <w:noProof/>
      </w:rPr>
      <w:t>1</w:t>
    </w:r>
    <w:r>
      <w:fldChar w:fldCharType="end"/>
    </w:r>
  </w:p>
  <w:p w:rsidR="0023723F" w:rsidRDefault="00FA0B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B05" w:rsidRDefault="00FA0B05">
      <w:pPr>
        <w:spacing w:after="0" w:line="240" w:lineRule="auto"/>
      </w:pPr>
      <w:r>
        <w:separator/>
      </w:r>
    </w:p>
  </w:footnote>
  <w:footnote w:type="continuationSeparator" w:id="0">
    <w:p w:rsidR="00FA0B05" w:rsidRDefault="00FA0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D3B"/>
    <w:multiLevelType w:val="hybridMultilevel"/>
    <w:tmpl w:val="6C022B4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26"/>
    <w:rsid w:val="000F226A"/>
    <w:rsid w:val="00417034"/>
    <w:rsid w:val="00431926"/>
    <w:rsid w:val="00BB07EA"/>
    <w:rsid w:val="00FA0B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4319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31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4319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3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763-6132" TargetMode="External"/><Relationship Id="rId13" Type="http://schemas.openxmlformats.org/officeDocument/2006/relationships/hyperlink" Target="https://doi.org/10.34192/cienciaysalud.v5i5.336" TargetMode="External"/><Relationship Id="rId18" Type="http://schemas.openxmlformats.org/officeDocument/2006/relationships/hyperlink" Target="http://www.scielo.org.co/scielo.php?script=sci_arttext&amp;pid=S1900-23862017000200057&amp;lang=es" TargetMode="External"/><Relationship Id="rId26" Type="http://schemas.openxmlformats.org/officeDocument/2006/relationships/hyperlink" Target="https://www.ncbi.nlm.nih.gov/pmc/articles/PMC5799943/" TargetMode="External"/><Relationship Id="rId3" Type="http://schemas.microsoft.com/office/2007/relationships/stylesWithEffects" Target="stylesWithEffects.xml"/><Relationship Id="rId21" Type="http://schemas.openxmlformats.org/officeDocument/2006/relationships/hyperlink" Target="https://www.medigraphic.com/cgi-bin/new/resumen.cgi?IDARTICULO=87399" TargetMode="External"/><Relationship Id="rId7" Type="http://schemas.openxmlformats.org/officeDocument/2006/relationships/endnotes" Target="endnotes.xml"/><Relationship Id="rId12" Type="http://schemas.openxmlformats.org/officeDocument/2006/relationships/hyperlink" Target="https://orcid.org/0000-0001-6256-9604" TargetMode="External"/><Relationship Id="rId17" Type="http://schemas.openxmlformats.org/officeDocument/2006/relationships/hyperlink" Target="https://ur.booksc.eu/book/25607916/ed474f" TargetMode="External"/><Relationship Id="rId25" Type="http://schemas.openxmlformats.org/officeDocument/2006/relationships/hyperlink" Target="http://scielo.sld.cu/scielo.php?script=sci_arttext&amp;pid=S1029-30432017000100005&amp;lng=es" TargetMode="External"/><Relationship Id="rId2" Type="http://schemas.openxmlformats.org/officeDocument/2006/relationships/styles" Target="styles.xml"/><Relationship Id="rId16" Type="http://schemas.openxmlformats.org/officeDocument/2006/relationships/hyperlink" Target="http://scielo.sld.cu/scielo.php?script=sci_arttext&amp;pid=S1684-18242015000600003&amp;lang=es" TargetMode="External"/><Relationship Id="rId20" Type="http://schemas.openxmlformats.org/officeDocument/2006/relationships/hyperlink" Target="https://pubmed.ncbi.nlm.nih.gov/28571951/" TargetMode="External"/><Relationship Id="rId29" Type="http://schemas.openxmlformats.org/officeDocument/2006/relationships/hyperlink" Target="http://scielo.sld.cu/scielo.php?script=sci_arttext&amp;pid=S0138-65572006000200003&amp;lng=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1-5768-1968" TargetMode="External"/><Relationship Id="rId24" Type="http://schemas.openxmlformats.org/officeDocument/2006/relationships/hyperlink" Target="https://www.medigraphic.com/cgi-bin/new/resumenI.cgi?IDARTICULO=714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elo.sld.cu/scielo.php?script=sci_arttext&amp;pid=S1726-67182020000300005&amp;lng=es" TargetMode="External"/><Relationship Id="rId23" Type="http://schemas.openxmlformats.org/officeDocument/2006/relationships/hyperlink" Target="http://www.recimundo.com/~recimund/index.php/es/article/view/457" TargetMode="External"/><Relationship Id="rId28" Type="http://schemas.openxmlformats.org/officeDocument/2006/relationships/hyperlink" Target="https://www.medigraphic.com/cgi-bin/new/resumen.cgi?IDARTICULO=88123" TargetMode="External"/><Relationship Id="rId10" Type="http://schemas.openxmlformats.org/officeDocument/2006/relationships/hyperlink" Target="https://orcid.org/0000-0002-5757-8474" TargetMode="External"/><Relationship Id="rId19" Type="http://schemas.openxmlformats.org/officeDocument/2006/relationships/hyperlink" Target="http://www.scielo.org.co/scielo.php?script=sci_arttext&amp;pid=S0123-9155201100010000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ms567.3@gmail.com." TargetMode="External"/><Relationship Id="rId14" Type="http://schemas.openxmlformats.org/officeDocument/2006/relationships/hyperlink" Target="http://editorial.umariana.edu.co/revistas/index.php/BoletinInformativoCEI/article/view/2562" TargetMode="External"/><Relationship Id="rId22" Type="http://schemas.openxmlformats.org/officeDocument/2006/relationships/hyperlink" Target="http://revistas.unam.mx/index.php/atencion_familiar/article/view/67714" TargetMode="External"/><Relationship Id="rId27" Type="http://schemas.openxmlformats.org/officeDocument/2006/relationships/hyperlink" Target="https://www.medigraphic.com/cgi-bin/new/resumen.cgi?IDARTICULO=93288"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3328</Words>
  <Characters>18308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3</cp:revision>
  <dcterms:created xsi:type="dcterms:W3CDTF">2022-12-03T02:05:00Z</dcterms:created>
  <dcterms:modified xsi:type="dcterms:W3CDTF">2022-12-03T03:01:00Z</dcterms:modified>
</cp:coreProperties>
</file>