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D05A" w14:textId="3C68D80C" w:rsidR="001234B2" w:rsidRDefault="00715F97" w:rsidP="001234B2">
      <w:pPr>
        <w:tabs>
          <w:tab w:val="left" w:pos="2268"/>
        </w:tabs>
        <w:spacing w:after="0" w:line="360" w:lineRule="auto"/>
        <w:ind w:right="-376"/>
        <w:rPr>
          <w:b/>
          <w:color w:val="C45911"/>
          <w:sz w:val="32"/>
          <w:szCs w:val="32"/>
        </w:rPr>
      </w:pPr>
      <w:bookmarkStart w:id="0" w:name="_Hlk121212630"/>
      <w:bookmarkEnd w:id="0"/>
      <w:r w:rsidRPr="00CC65AB">
        <w:rPr>
          <w:rFonts w:ascii="Times New Roman" w:hAnsi="Times New Roman"/>
          <w:sz w:val="28"/>
          <w:szCs w:val="28"/>
          <w:lang w:val="es-ES"/>
        </w:rPr>
        <w:t xml:space="preserve"> </w:t>
      </w:r>
      <w:proofErr w:type="spellStart"/>
      <w:r w:rsidR="001234B2" w:rsidRPr="00D83BAE">
        <w:rPr>
          <w:b/>
          <w:color w:val="C45911"/>
          <w:sz w:val="32"/>
          <w:szCs w:val="32"/>
        </w:rPr>
        <w:t>Morfovirtual</w:t>
      </w:r>
      <w:proofErr w:type="spellEnd"/>
      <w:r w:rsidR="001234B2" w:rsidRPr="00D83BAE">
        <w:rPr>
          <w:b/>
          <w:color w:val="C45911"/>
          <w:sz w:val="32"/>
          <w:szCs w:val="32"/>
        </w:rPr>
        <w:t xml:space="preserve"> 2022</w:t>
      </w:r>
    </w:p>
    <w:p w14:paraId="24F022C8" w14:textId="5F137ED0" w:rsidR="001234B2" w:rsidRPr="009B5DB1" w:rsidRDefault="001234B2" w:rsidP="001234B2">
      <w:pPr>
        <w:tabs>
          <w:tab w:val="left" w:pos="2268"/>
        </w:tabs>
        <w:spacing w:after="0" w:line="360" w:lineRule="auto"/>
        <w:ind w:right="-376"/>
        <w:rPr>
          <w:b/>
          <w:color w:val="C45911"/>
          <w:sz w:val="32"/>
          <w:szCs w:val="32"/>
        </w:rPr>
      </w:pPr>
      <w:r w:rsidRPr="009B5DB1">
        <w:rPr>
          <w:b/>
          <w:color w:val="C45911"/>
          <w:sz w:val="32"/>
          <w:szCs w:val="32"/>
        </w:rPr>
        <w:t xml:space="preserve">VI </w:t>
      </w:r>
      <w:proofErr w:type="spellStart"/>
      <w:r w:rsidRPr="009B5DB1">
        <w:rPr>
          <w:b/>
          <w:color w:val="C45911"/>
          <w:sz w:val="32"/>
          <w:szCs w:val="32"/>
        </w:rPr>
        <w:t>Congreso</w:t>
      </w:r>
      <w:proofErr w:type="spellEnd"/>
      <w:r w:rsidRPr="009B5DB1">
        <w:rPr>
          <w:b/>
          <w:color w:val="C45911"/>
          <w:sz w:val="32"/>
          <w:szCs w:val="32"/>
        </w:rPr>
        <w:t xml:space="preserve"> virtual de </w:t>
      </w:r>
      <w:proofErr w:type="spellStart"/>
      <w:r w:rsidRPr="009B5DB1">
        <w:rPr>
          <w:b/>
          <w:color w:val="C45911"/>
          <w:sz w:val="32"/>
          <w:szCs w:val="32"/>
        </w:rPr>
        <w:t>Ciencias</w:t>
      </w:r>
      <w:proofErr w:type="spellEnd"/>
      <w:r w:rsidRPr="009B5DB1">
        <w:rPr>
          <w:b/>
          <w:color w:val="C45911"/>
          <w:sz w:val="32"/>
          <w:szCs w:val="32"/>
        </w:rPr>
        <w:t xml:space="preserve"> </w:t>
      </w:r>
      <w:proofErr w:type="spellStart"/>
      <w:r w:rsidRPr="009B5DB1">
        <w:rPr>
          <w:b/>
          <w:color w:val="C45911"/>
          <w:sz w:val="32"/>
          <w:szCs w:val="32"/>
        </w:rPr>
        <w:t>Morfológicas</w:t>
      </w:r>
      <w:proofErr w:type="spellEnd"/>
      <w:r w:rsidRPr="009B5DB1">
        <w:rPr>
          <w:b/>
          <w:color w:val="C45911"/>
          <w:sz w:val="32"/>
          <w:szCs w:val="32"/>
        </w:rPr>
        <w:t>.</w:t>
      </w:r>
    </w:p>
    <w:p w14:paraId="2B73223B" w14:textId="77777777" w:rsidR="001234B2" w:rsidRPr="009B5DB1" w:rsidRDefault="001234B2" w:rsidP="001234B2">
      <w:pPr>
        <w:spacing w:after="0" w:line="360" w:lineRule="auto"/>
        <w:ind w:left="-425"/>
        <w:rPr>
          <w:b/>
          <w:color w:val="C45911"/>
          <w:sz w:val="32"/>
          <w:szCs w:val="32"/>
        </w:rPr>
      </w:pPr>
      <w:proofErr w:type="spellStart"/>
      <w:r w:rsidRPr="009B5DB1">
        <w:rPr>
          <w:b/>
          <w:color w:val="C45911"/>
          <w:sz w:val="32"/>
          <w:szCs w:val="32"/>
        </w:rPr>
        <w:t>Sexta</w:t>
      </w:r>
      <w:proofErr w:type="spellEnd"/>
      <w:r w:rsidRPr="009B5DB1">
        <w:rPr>
          <w:b/>
          <w:color w:val="C45911"/>
          <w:sz w:val="32"/>
          <w:szCs w:val="32"/>
        </w:rPr>
        <w:t xml:space="preserve"> Jornada Científica de la </w:t>
      </w:r>
      <w:proofErr w:type="spellStart"/>
      <w:r w:rsidRPr="009B5DB1">
        <w:rPr>
          <w:b/>
          <w:color w:val="C45911"/>
          <w:sz w:val="32"/>
          <w:szCs w:val="32"/>
        </w:rPr>
        <w:t>Cátedra</w:t>
      </w:r>
      <w:proofErr w:type="spellEnd"/>
      <w:r w:rsidRPr="009B5DB1">
        <w:rPr>
          <w:b/>
          <w:color w:val="C45911"/>
          <w:sz w:val="32"/>
          <w:szCs w:val="32"/>
        </w:rPr>
        <w:t xml:space="preserve"> Santiago Ramón y </w:t>
      </w:r>
      <w:proofErr w:type="spellStart"/>
      <w:r w:rsidRPr="009B5DB1">
        <w:rPr>
          <w:b/>
          <w:color w:val="C45911"/>
          <w:sz w:val="32"/>
          <w:szCs w:val="32"/>
        </w:rPr>
        <w:t>Cajal</w:t>
      </w:r>
      <w:proofErr w:type="spellEnd"/>
      <w:r w:rsidRPr="009B5DB1">
        <w:rPr>
          <w:b/>
          <w:color w:val="C45911"/>
          <w:sz w:val="32"/>
          <w:szCs w:val="32"/>
        </w:rPr>
        <w:t>.</w:t>
      </w:r>
    </w:p>
    <w:p w14:paraId="3E67A729" w14:textId="38096FE4" w:rsidR="00A04FEE" w:rsidRPr="001234B2" w:rsidRDefault="00A04FEE" w:rsidP="001234B2">
      <w:pPr>
        <w:spacing w:line="360" w:lineRule="auto"/>
        <w:rPr>
          <w:rFonts w:ascii="Times New Roman" w:hAnsi="Times New Roman"/>
          <w:sz w:val="28"/>
          <w:szCs w:val="28"/>
          <w:lang w:val="es-ES"/>
        </w:rPr>
      </w:pPr>
      <w:r w:rsidRPr="002B58E3">
        <w:rPr>
          <w:rFonts w:ascii="Verdana" w:hAnsi="Verdana"/>
          <w:b/>
          <w:sz w:val="28"/>
          <w:szCs w:val="28"/>
          <w:lang w:val="es-ES"/>
        </w:rPr>
        <w:t xml:space="preserve">TÍTULO: </w:t>
      </w:r>
      <w:r w:rsidR="00CB76B1">
        <w:rPr>
          <w:rFonts w:ascii="Verdana" w:hAnsi="Verdana"/>
          <w:b/>
          <w:sz w:val="28"/>
          <w:szCs w:val="28"/>
          <w:lang w:val="es-ES"/>
        </w:rPr>
        <w:t xml:space="preserve">MARCADORES DEL </w:t>
      </w:r>
      <w:r w:rsidR="00B000D3" w:rsidRPr="002B58E3">
        <w:rPr>
          <w:rFonts w:ascii="Verdana" w:hAnsi="Verdana"/>
          <w:b/>
          <w:sz w:val="28"/>
          <w:szCs w:val="28"/>
          <w:lang w:val="es-ES"/>
        </w:rPr>
        <w:t xml:space="preserve">RIESGO CARDIOVASCULAR EN PORTADORES DE SÍNDROME METABÓLICO </w:t>
      </w:r>
    </w:p>
    <w:p w14:paraId="2984AA42" w14:textId="18080C6C" w:rsidR="00B000D3" w:rsidRDefault="001234B2" w:rsidP="001234B2">
      <w:pPr>
        <w:spacing w:after="0" w:line="360" w:lineRule="auto"/>
        <w:ind w:left="-425"/>
        <w:jc w:val="both"/>
        <w:rPr>
          <w:rFonts w:ascii="Verdana" w:hAnsi="Verdana" w:cs="Calibri"/>
        </w:rPr>
      </w:pPr>
      <w:r w:rsidRPr="001234B2">
        <w:rPr>
          <w:rFonts w:ascii="Verdana" w:hAnsi="Verdana"/>
          <w:b/>
        </w:rPr>
        <w:t xml:space="preserve">Autor: </w:t>
      </w:r>
      <w:r w:rsidRPr="001234B2">
        <w:rPr>
          <w:rFonts w:ascii="Verdana" w:hAnsi="Verdana"/>
          <w:b/>
        </w:rPr>
        <w:t xml:space="preserve">Dra.C Liuba Luisa </w:t>
      </w:r>
      <w:proofErr w:type="spellStart"/>
      <w:r w:rsidRPr="001234B2">
        <w:rPr>
          <w:rFonts w:ascii="Verdana" w:hAnsi="Verdana"/>
          <w:b/>
        </w:rPr>
        <w:t>Arteche</w:t>
      </w:r>
      <w:proofErr w:type="spellEnd"/>
      <w:r w:rsidRPr="001234B2">
        <w:rPr>
          <w:rFonts w:ascii="Verdana" w:hAnsi="Verdana"/>
          <w:b/>
        </w:rPr>
        <w:t xml:space="preserve"> Hidalgo. </w:t>
      </w:r>
      <w:proofErr w:type="spellStart"/>
      <w:r w:rsidRPr="001234B2">
        <w:rPr>
          <w:rFonts w:ascii="Verdana" w:hAnsi="Verdana"/>
          <w:b/>
        </w:rPr>
        <w:t>Especialista</w:t>
      </w:r>
      <w:proofErr w:type="spellEnd"/>
      <w:r w:rsidRPr="001234B2">
        <w:rPr>
          <w:rFonts w:ascii="Verdana" w:hAnsi="Verdana"/>
          <w:b/>
        </w:rPr>
        <w:t xml:space="preserve"> de II </w:t>
      </w:r>
      <w:proofErr w:type="spellStart"/>
      <w:r w:rsidRPr="001234B2">
        <w:rPr>
          <w:rFonts w:ascii="Verdana" w:hAnsi="Verdana"/>
          <w:b/>
        </w:rPr>
        <w:t>grado</w:t>
      </w:r>
      <w:proofErr w:type="spellEnd"/>
      <w:r w:rsidRPr="001234B2">
        <w:rPr>
          <w:rFonts w:ascii="Verdana" w:hAnsi="Verdana"/>
          <w:b/>
        </w:rPr>
        <w:t xml:space="preserve"> en </w:t>
      </w:r>
      <w:proofErr w:type="spellStart"/>
      <w:r>
        <w:rPr>
          <w:rFonts w:ascii="Verdana" w:hAnsi="Verdana"/>
          <w:b/>
        </w:rPr>
        <w:t>M</w:t>
      </w:r>
      <w:r w:rsidRPr="001234B2">
        <w:rPr>
          <w:rFonts w:ascii="Verdana" w:hAnsi="Verdana"/>
          <w:b/>
        </w:rPr>
        <w:t>edicina</w:t>
      </w:r>
      <w:proofErr w:type="spellEnd"/>
      <w:r w:rsidRPr="001234B2">
        <w:rPr>
          <w:rFonts w:ascii="Verdana" w:hAnsi="Verdana"/>
          <w:b/>
        </w:rPr>
        <w:t xml:space="preserve"> General </w:t>
      </w:r>
      <w:r>
        <w:rPr>
          <w:rFonts w:ascii="Verdana" w:hAnsi="Verdana"/>
          <w:b/>
        </w:rPr>
        <w:t>I</w:t>
      </w:r>
      <w:r w:rsidRPr="001234B2">
        <w:rPr>
          <w:rFonts w:ascii="Verdana" w:hAnsi="Verdana"/>
          <w:b/>
        </w:rPr>
        <w:t xml:space="preserve">ntegral, </w:t>
      </w:r>
      <w:proofErr w:type="spellStart"/>
      <w:r w:rsidRPr="001234B2">
        <w:rPr>
          <w:rFonts w:ascii="Verdana" w:hAnsi="Verdana"/>
          <w:b/>
        </w:rPr>
        <w:t>Departemento</w:t>
      </w:r>
      <w:proofErr w:type="spellEnd"/>
      <w:r w:rsidRPr="001234B2">
        <w:rPr>
          <w:rFonts w:ascii="Verdana" w:hAnsi="Verdana"/>
          <w:b/>
        </w:rPr>
        <w:t xml:space="preserve"> de </w:t>
      </w:r>
      <w:proofErr w:type="spellStart"/>
      <w:r w:rsidRPr="001234B2">
        <w:rPr>
          <w:rFonts w:ascii="Verdana" w:hAnsi="Verdana"/>
          <w:b/>
        </w:rPr>
        <w:t>Formación</w:t>
      </w:r>
      <w:proofErr w:type="spellEnd"/>
      <w:r w:rsidRPr="001234B2">
        <w:rPr>
          <w:rFonts w:ascii="Verdana" w:hAnsi="Verdana"/>
          <w:b/>
        </w:rPr>
        <w:t xml:space="preserve"> </w:t>
      </w:r>
      <w:proofErr w:type="spellStart"/>
      <w:r w:rsidRPr="001234B2">
        <w:rPr>
          <w:rFonts w:ascii="Verdana" w:hAnsi="Verdana"/>
          <w:b/>
        </w:rPr>
        <w:t>Académica</w:t>
      </w:r>
      <w:proofErr w:type="spellEnd"/>
      <w:r w:rsidRPr="001234B2">
        <w:rPr>
          <w:rFonts w:ascii="Verdana" w:hAnsi="Verdana"/>
          <w:b/>
        </w:rPr>
        <w:t xml:space="preserve"> de </w:t>
      </w:r>
      <w:proofErr w:type="spellStart"/>
      <w:r w:rsidRPr="001234B2">
        <w:rPr>
          <w:rFonts w:ascii="Verdana" w:hAnsi="Verdana"/>
          <w:b/>
        </w:rPr>
        <w:t>Posgrado</w:t>
      </w:r>
      <w:proofErr w:type="spellEnd"/>
      <w:r w:rsidRPr="001234B2">
        <w:rPr>
          <w:rFonts w:ascii="Verdana" w:hAnsi="Verdana"/>
          <w:b/>
        </w:rPr>
        <w:t xml:space="preserve">, Universidad de </w:t>
      </w:r>
      <w:proofErr w:type="spellStart"/>
      <w:r w:rsidRPr="001234B2">
        <w:rPr>
          <w:rFonts w:ascii="Verdana" w:hAnsi="Verdana"/>
          <w:b/>
        </w:rPr>
        <w:t>Ciencias</w:t>
      </w:r>
      <w:proofErr w:type="spellEnd"/>
      <w:r w:rsidRPr="001234B2">
        <w:rPr>
          <w:rFonts w:ascii="Verdana" w:hAnsi="Verdana"/>
          <w:b/>
        </w:rPr>
        <w:t xml:space="preserve"> </w:t>
      </w:r>
      <w:proofErr w:type="spellStart"/>
      <w:r w:rsidRPr="001234B2">
        <w:rPr>
          <w:rFonts w:ascii="Verdana" w:hAnsi="Verdana"/>
          <w:b/>
        </w:rPr>
        <w:t>Médicas</w:t>
      </w:r>
      <w:proofErr w:type="spellEnd"/>
      <w:r w:rsidRPr="001234B2">
        <w:rPr>
          <w:rFonts w:ascii="Verdana" w:hAnsi="Verdana"/>
          <w:b/>
        </w:rPr>
        <w:t xml:space="preserve"> de las FAR. La Habana, Cuba. </w:t>
      </w:r>
      <w:r w:rsidRPr="001234B2">
        <w:rPr>
          <w:rFonts w:ascii="Verdana" w:hAnsi="Verdana"/>
        </w:rPr>
        <w:t xml:space="preserve">e-mail </w:t>
      </w:r>
      <w:hyperlink r:id="rId8" w:history="1">
        <w:r w:rsidRPr="001234B2">
          <w:rPr>
            <w:rStyle w:val="Hipervnculo"/>
            <w:rFonts w:ascii="Verdana" w:hAnsi="Verdana"/>
          </w:rPr>
          <w:t>liubarteche</w:t>
        </w:r>
        <w:r w:rsidRPr="001234B2">
          <w:rPr>
            <w:rStyle w:val="Hipervnculo"/>
            <w:rFonts w:ascii="Verdana" w:hAnsi="Verdana" w:cs="Calibri"/>
          </w:rPr>
          <w:t>@infomed.sld.cu</w:t>
        </w:r>
      </w:hyperlink>
    </w:p>
    <w:p w14:paraId="07D13E57" w14:textId="77777777" w:rsidR="001234B2" w:rsidRPr="001234B2" w:rsidRDefault="001234B2" w:rsidP="001234B2">
      <w:pPr>
        <w:spacing w:after="0" w:line="360" w:lineRule="auto"/>
        <w:ind w:left="-425"/>
        <w:jc w:val="both"/>
        <w:rPr>
          <w:rFonts w:ascii="Verdana" w:hAnsi="Verdana" w:cs="Calibri"/>
        </w:rPr>
      </w:pPr>
    </w:p>
    <w:p w14:paraId="61848210" w14:textId="48C9602A" w:rsidR="00A04FEE" w:rsidRDefault="00A04FEE" w:rsidP="007D3421">
      <w:pPr>
        <w:pStyle w:val="Sinespaciado"/>
        <w:spacing w:line="276" w:lineRule="auto"/>
        <w:jc w:val="both"/>
        <w:rPr>
          <w:rFonts w:ascii="Verdana" w:hAnsi="Verdana" w:cs="Times New Roman"/>
          <w:lang w:val="es-ES"/>
        </w:rPr>
      </w:pPr>
      <w:r w:rsidRPr="001234B2">
        <w:rPr>
          <w:rFonts w:ascii="Verdana" w:hAnsi="Verdana" w:cs="Times New Roman"/>
          <w:lang w:val="es-ES"/>
        </w:rPr>
        <w:t>RESUMEN</w:t>
      </w:r>
    </w:p>
    <w:p w14:paraId="707B0685" w14:textId="77777777" w:rsidR="001234B2" w:rsidRPr="001234B2" w:rsidRDefault="001234B2" w:rsidP="007D3421">
      <w:pPr>
        <w:pStyle w:val="Sinespaciado"/>
        <w:spacing w:line="276" w:lineRule="auto"/>
        <w:jc w:val="both"/>
        <w:rPr>
          <w:rFonts w:ascii="Verdana" w:hAnsi="Verdana" w:cs="Times New Roman"/>
          <w:lang w:val="es-ES"/>
        </w:rPr>
      </w:pPr>
    </w:p>
    <w:p w14:paraId="2B59DEC9" w14:textId="77777777" w:rsidR="007548EE" w:rsidRDefault="000C7350" w:rsidP="007D3421">
      <w:pPr>
        <w:pStyle w:val="Sinespaciado"/>
        <w:spacing w:line="276" w:lineRule="auto"/>
        <w:jc w:val="both"/>
        <w:rPr>
          <w:rFonts w:ascii="Verdana" w:hAnsi="Verdana" w:cs="Times New Roman"/>
          <w:lang w:val="es-ES"/>
        </w:rPr>
      </w:pPr>
      <w:r w:rsidRPr="001234B2">
        <w:rPr>
          <w:rFonts w:ascii="Verdana" w:hAnsi="Verdana" w:cs="Times New Roman"/>
          <w:b/>
          <w:bCs/>
          <w:lang w:val="es-ES"/>
        </w:rPr>
        <w:t>Introducción.</w:t>
      </w:r>
      <w:r w:rsidRPr="001234B2">
        <w:rPr>
          <w:rFonts w:ascii="Verdana" w:hAnsi="Verdana" w:cs="Times New Roman"/>
          <w:lang w:val="es-ES"/>
        </w:rPr>
        <w:t xml:space="preserve"> </w:t>
      </w:r>
      <w:r w:rsidR="00715F97" w:rsidRPr="001234B2">
        <w:rPr>
          <w:rFonts w:ascii="Verdana" w:hAnsi="Verdana" w:cs="Times New Roman"/>
          <w:lang w:val="es-ES"/>
        </w:rPr>
        <w:t>El síndrome metabólico es predictor de la morbi</w:t>
      </w:r>
      <w:r w:rsidR="00A529C7" w:rsidRPr="001234B2">
        <w:rPr>
          <w:rFonts w:ascii="Verdana" w:hAnsi="Verdana" w:cs="Times New Roman"/>
          <w:lang w:val="es-ES"/>
        </w:rPr>
        <w:t>lidad y mortalidad</w:t>
      </w:r>
      <w:r w:rsidR="00715F97" w:rsidRPr="001234B2">
        <w:rPr>
          <w:rFonts w:ascii="Verdana" w:hAnsi="Verdana" w:cs="Times New Roman"/>
          <w:lang w:val="es-ES"/>
        </w:rPr>
        <w:t xml:space="preserve"> cardiovascular, </w:t>
      </w:r>
      <w:r w:rsidR="00CB76B1" w:rsidRPr="001234B2">
        <w:rPr>
          <w:rFonts w:ascii="Verdana" w:hAnsi="Verdana" w:cs="Times New Roman"/>
          <w:lang w:val="es-ES"/>
        </w:rPr>
        <w:t xml:space="preserve">hábitos y </w:t>
      </w:r>
      <w:r w:rsidR="00715F97" w:rsidRPr="001234B2">
        <w:rPr>
          <w:rFonts w:ascii="Verdana" w:hAnsi="Verdana" w:cs="Times New Roman"/>
          <w:lang w:val="es-ES"/>
        </w:rPr>
        <w:t>estilos de vida</w:t>
      </w:r>
      <w:r w:rsidR="004E5749" w:rsidRPr="001234B2">
        <w:rPr>
          <w:rFonts w:ascii="Verdana" w:hAnsi="Verdana" w:cs="Times New Roman"/>
          <w:lang w:val="es-ES"/>
        </w:rPr>
        <w:t xml:space="preserve"> </w:t>
      </w:r>
      <w:r w:rsidR="00715F97" w:rsidRPr="001234B2">
        <w:rPr>
          <w:rFonts w:ascii="Verdana" w:hAnsi="Verdana" w:cs="Times New Roman"/>
          <w:lang w:val="es-ES"/>
        </w:rPr>
        <w:t xml:space="preserve">son importantes en su expresión, </w:t>
      </w:r>
      <w:r w:rsidR="00891DD3" w:rsidRPr="001234B2">
        <w:rPr>
          <w:rFonts w:ascii="Verdana" w:hAnsi="Verdana" w:cs="Times New Roman"/>
          <w:lang w:val="es-ES"/>
        </w:rPr>
        <w:t xml:space="preserve">en su etiología, progresión y complicaciones. </w:t>
      </w:r>
      <w:r w:rsidR="00CB76B1" w:rsidRPr="001234B2">
        <w:rPr>
          <w:rFonts w:ascii="Verdana" w:hAnsi="Verdana" w:cs="Times New Roman"/>
          <w:lang w:val="es-ES"/>
        </w:rPr>
        <w:t>La búsqueda de</w:t>
      </w:r>
      <w:r w:rsidR="00891DD3" w:rsidRPr="001234B2">
        <w:rPr>
          <w:rFonts w:ascii="Verdana" w:hAnsi="Verdana" w:cs="Times New Roman"/>
          <w:lang w:val="es-ES"/>
        </w:rPr>
        <w:t xml:space="preserve"> mejores predictores de riesgo, </w:t>
      </w:r>
      <w:r w:rsidR="00CB76B1" w:rsidRPr="001234B2">
        <w:rPr>
          <w:rFonts w:ascii="Verdana" w:hAnsi="Verdana" w:cs="Times New Roman"/>
          <w:lang w:val="es-ES"/>
        </w:rPr>
        <w:t xml:space="preserve">por ser </w:t>
      </w:r>
      <w:r w:rsidR="005332ED" w:rsidRPr="001234B2">
        <w:rPr>
          <w:rFonts w:ascii="Verdana" w:hAnsi="Verdana" w:cs="Times New Roman"/>
          <w:lang w:val="es-ES"/>
        </w:rPr>
        <w:t xml:space="preserve">la enfermedad cardiovascular </w:t>
      </w:r>
      <w:r w:rsidR="00CB76B1" w:rsidRPr="001234B2">
        <w:rPr>
          <w:rFonts w:ascii="Verdana" w:hAnsi="Verdana" w:cs="Times New Roman"/>
          <w:lang w:val="es-ES"/>
        </w:rPr>
        <w:t xml:space="preserve">la primera causa de muerte en Cuba y el mundo, es prioridad de los </w:t>
      </w:r>
      <w:r w:rsidR="00891DD3" w:rsidRPr="001234B2">
        <w:rPr>
          <w:rFonts w:ascii="Verdana" w:hAnsi="Verdana" w:cs="Times New Roman"/>
          <w:lang w:val="es-ES"/>
        </w:rPr>
        <w:t xml:space="preserve">servicios de salud. </w:t>
      </w:r>
    </w:p>
    <w:p w14:paraId="5AD94017" w14:textId="77777777" w:rsidR="007548EE" w:rsidRDefault="000C7350" w:rsidP="007D3421">
      <w:pPr>
        <w:pStyle w:val="Sinespaciado"/>
        <w:spacing w:line="276" w:lineRule="auto"/>
        <w:jc w:val="both"/>
        <w:rPr>
          <w:rFonts w:ascii="Verdana" w:hAnsi="Verdana" w:cs="Times New Roman"/>
          <w:b/>
          <w:bCs/>
          <w:lang w:val="es-ES"/>
        </w:rPr>
      </w:pPr>
      <w:r w:rsidRPr="001234B2">
        <w:rPr>
          <w:rFonts w:ascii="Verdana" w:hAnsi="Verdana" w:cs="Times New Roman"/>
          <w:b/>
          <w:bCs/>
          <w:lang w:val="es-ES"/>
        </w:rPr>
        <w:t>Objetivo.</w:t>
      </w:r>
      <w:r w:rsidRPr="001234B2">
        <w:rPr>
          <w:rFonts w:ascii="Verdana" w:hAnsi="Verdana" w:cs="Times New Roman"/>
          <w:lang w:val="es-ES"/>
        </w:rPr>
        <w:t xml:space="preserve"> Determinar marcadores mejores predictores del riesgo cardiovascular en </w:t>
      </w:r>
      <w:r w:rsidR="00CB76B1" w:rsidRPr="001234B2">
        <w:rPr>
          <w:rFonts w:ascii="Verdana" w:hAnsi="Verdana" w:cs="Times New Roman"/>
          <w:lang w:val="es-ES"/>
        </w:rPr>
        <w:t>p</w:t>
      </w:r>
      <w:r w:rsidR="001B3472" w:rsidRPr="001234B2">
        <w:rPr>
          <w:rFonts w:ascii="Verdana" w:hAnsi="Verdana" w:cs="Times New Roman"/>
          <w:lang w:val="es-ES"/>
        </w:rPr>
        <w:t>ortadores de</w:t>
      </w:r>
      <w:r w:rsidR="00CB76B1" w:rsidRPr="001234B2">
        <w:rPr>
          <w:rFonts w:ascii="Verdana" w:hAnsi="Verdana" w:cs="Times New Roman"/>
          <w:lang w:val="es-ES"/>
        </w:rPr>
        <w:t xml:space="preserve"> </w:t>
      </w:r>
      <w:r w:rsidRPr="001234B2">
        <w:rPr>
          <w:rFonts w:ascii="Verdana" w:hAnsi="Verdana" w:cs="Times New Roman"/>
          <w:lang w:val="es-ES"/>
        </w:rPr>
        <w:t>síndrome metabólico</w:t>
      </w:r>
      <w:r w:rsidRPr="001234B2">
        <w:rPr>
          <w:rFonts w:ascii="Verdana" w:hAnsi="Verdana" w:cs="Times New Roman"/>
          <w:b/>
          <w:bCs/>
          <w:lang w:val="es-ES"/>
        </w:rPr>
        <w:t xml:space="preserve">. </w:t>
      </w:r>
    </w:p>
    <w:p w14:paraId="55AAB9DC" w14:textId="77777777" w:rsidR="007548EE" w:rsidRDefault="000C7350" w:rsidP="007D3421">
      <w:pPr>
        <w:pStyle w:val="Sinespaciado"/>
        <w:spacing w:line="276" w:lineRule="auto"/>
        <w:jc w:val="both"/>
        <w:rPr>
          <w:rFonts w:ascii="Verdana" w:hAnsi="Verdana" w:cs="Times New Roman"/>
          <w:lang w:val="es-ES"/>
        </w:rPr>
      </w:pPr>
      <w:r w:rsidRPr="001234B2">
        <w:rPr>
          <w:rFonts w:ascii="Verdana" w:hAnsi="Verdana" w:cs="Times New Roman"/>
          <w:b/>
          <w:bCs/>
          <w:lang w:val="es-ES"/>
        </w:rPr>
        <w:t>Métodos</w:t>
      </w:r>
      <w:r w:rsidRPr="001234B2">
        <w:rPr>
          <w:rFonts w:ascii="Verdana" w:hAnsi="Verdana" w:cs="Times New Roman"/>
          <w:lang w:val="es-ES"/>
        </w:rPr>
        <w:t xml:space="preserve">. </w:t>
      </w:r>
      <w:r w:rsidR="00715F97" w:rsidRPr="001234B2">
        <w:rPr>
          <w:rFonts w:ascii="Verdana" w:hAnsi="Verdana" w:cs="Times New Roman"/>
          <w:lang w:val="es-ES"/>
        </w:rPr>
        <w:t xml:space="preserve">Se realizó un estudio </w:t>
      </w:r>
      <w:r w:rsidR="00A529C7" w:rsidRPr="001234B2">
        <w:rPr>
          <w:rFonts w:ascii="Verdana" w:hAnsi="Verdana" w:cs="Times New Roman"/>
          <w:lang w:val="es-ES"/>
        </w:rPr>
        <w:t>observacional descriptivo de corte transversal en</w:t>
      </w:r>
      <w:r w:rsidR="00946D0D" w:rsidRPr="001234B2">
        <w:rPr>
          <w:rFonts w:ascii="Verdana" w:hAnsi="Verdana" w:cs="Times New Roman"/>
          <w:lang w:val="es-ES"/>
        </w:rPr>
        <w:t xml:space="preserve"> 60 pacientes</w:t>
      </w:r>
      <w:r w:rsidR="00A529C7" w:rsidRPr="001234B2">
        <w:rPr>
          <w:rFonts w:ascii="Verdana" w:hAnsi="Verdana" w:cs="Times New Roman"/>
          <w:lang w:val="es-ES"/>
        </w:rPr>
        <w:t>, mayores de 45 años</w:t>
      </w:r>
      <w:r w:rsidR="00033C06" w:rsidRPr="001234B2">
        <w:rPr>
          <w:rFonts w:ascii="Verdana" w:hAnsi="Verdana" w:cs="Times New Roman"/>
          <w:lang w:val="es-ES"/>
        </w:rPr>
        <w:t>,</w:t>
      </w:r>
      <w:r w:rsidR="00715F97" w:rsidRPr="001234B2">
        <w:rPr>
          <w:rFonts w:ascii="Verdana" w:hAnsi="Verdana" w:cs="Times New Roman"/>
          <w:lang w:val="es-ES"/>
        </w:rPr>
        <w:t xml:space="preserve"> </w:t>
      </w:r>
      <w:r w:rsidR="001B3472" w:rsidRPr="001234B2">
        <w:rPr>
          <w:rFonts w:ascii="Verdana" w:hAnsi="Verdana" w:cs="Times New Roman"/>
          <w:lang w:val="es-ES"/>
        </w:rPr>
        <w:t xml:space="preserve">con </w:t>
      </w:r>
      <w:r w:rsidR="001B3472" w:rsidRPr="001234B2">
        <w:rPr>
          <w:rFonts w:ascii="Verdana" w:eastAsiaTheme="majorEastAsia" w:hAnsi="Verdana" w:cs="Times New Roman"/>
          <w:color w:val="000000" w:themeColor="text1"/>
          <w:kern w:val="24"/>
          <w:lang w:val="es-ES"/>
        </w:rPr>
        <w:t>s</w:t>
      </w:r>
      <w:r w:rsidR="00715F97" w:rsidRPr="001234B2">
        <w:rPr>
          <w:rFonts w:ascii="Verdana" w:eastAsiaTheme="majorEastAsia" w:hAnsi="Verdana" w:cs="Times New Roman"/>
          <w:color w:val="000000" w:themeColor="text1"/>
          <w:kern w:val="24"/>
          <w:lang w:val="es-ES"/>
        </w:rPr>
        <w:t xml:space="preserve">índrome </w:t>
      </w:r>
      <w:r w:rsidR="00F938BD" w:rsidRPr="001234B2">
        <w:rPr>
          <w:rFonts w:ascii="Verdana" w:eastAsiaTheme="majorEastAsia" w:hAnsi="Verdana" w:cs="Times New Roman"/>
          <w:color w:val="000000" w:themeColor="text1"/>
          <w:kern w:val="24"/>
          <w:lang w:val="es-ES"/>
        </w:rPr>
        <w:t>metabólico (</w:t>
      </w:r>
      <w:r w:rsidR="00133C41" w:rsidRPr="001234B2">
        <w:rPr>
          <w:rFonts w:ascii="Verdana" w:hAnsi="Verdana" w:cs="Times New Roman"/>
          <w:lang w:val="es-ES"/>
        </w:rPr>
        <w:t>cuatro</w:t>
      </w:r>
      <w:r w:rsidR="00715F97" w:rsidRPr="001234B2">
        <w:rPr>
          <w:rFonts w:ascii="Verdana" w:hAnsi="Verdana" w:cs="Times New Roman"/>
          <w:lang w:val="es-ES"/>
        </w:rPr>
        <w:t xml:space="preserve"> de los parámetros</w:t>
      </w:r>
      <w:r w:rsidR="00033C06" w:rsidRPr="001234B2">
        <w:rPr>
          <w:rFonts w:ascii="Verdana" w:hAnsi="Verdana" w:cs="Times New Roman"/>
          <w:lang w:val="es-ES"/>
        </w:rPr>
        <w:t xml:space="preserve"> </w:t>
      </w:r>
      <w:r w:rsidR="00715F97" w:rsidRPr="001234B2">
        <w:rPr>
          <w:rFonts w:ascii="Verdana" w:hAnsi="Verdana" w:cs="Times New Roman"/>
          <w:lang w:val="es-ES"/>
        </w:rPr>
        <w:t>diagnóstico</w:t>
      </w:r>
      <w:r w:rsidR="00F938BD" w:rsidRPr="001234B2">
        <w:rPr>
          <w:rFonts w:ascii="Verdana" w:hAnsi="Verdana" w:cs="Times New Roman"/>
          <w:lang w:val="es-ES"/>
        </w:rPr>
        <w:t>s</w:t>
      </w:r>
      <w:r w:rsidR="001B3472" w:rsidRPr="001234B2">
        <w:rPr>
          <w:rFonts w:ascii="Verdana" w:hAnsi="Verdana" w:cs="Times New Roman"/>
          <w:lang w:val="es-ES"/>
        </w:rPr>
        <w:t>)</w:t>
      </w:r>
      <w:r w:rsidR="00033C06" w:rsidRPr="001234B2">
        <w:rPr>
          <w:rFonts w:ascii="Verdana" w:hAnsi="Verdana" w:cs="Times New Roman"/>
          <w:lang w:val="es-ES"/>
        </w:rPr>
        <w:t xml:space="preserve">, </w:t>
      </w:r>
      <w:r w:rsidR="00033C06" w:rsidRPr="001234B2">
        <w:rPr>
          <w:rFonts w:ascii="Verdana" w:eastAsiaTheme="majorEastAsia" w:hAnsi="Verdana" w:cs="Times New Roman"/>
          <w:color w:val="000000" w:themeColor="text1"/>
          <w:kern w:val="24"/>
          <w:lang w:val="es-ES"/>
        </w:rPr>
        <w:t>en el hospital Dr. Luis Díaz Soto.</w:t>
      </w:r>
      <w:r w:rsidR="00033C06" w:rsidRPr="001234B2">
        <w:rPr>
          <w:rFonts w:ascii="Verdana" w:hAnsi="Verdana" w:cs="Times New Roman"/>
          <w:lang w:val="es-ES"/>
        </w:rPr>
        <w:t xml:space="preserve"> </w:t>
      </w:r>
      <w:r w:rsidR="00715F97" w:rsidRPr="001234B2">
        <w:rPr>
          <w:rFonts w:ascii="Verdana" w:hAnsi="Verdana" w:cs="Times New Roman"/>
          <w:lang w:val="es-ES"/>
        </w:rPr>
        <w:t>Se determinaron</w:t>
      </w:r>
      <w:r w:rsidR="005332ED" w:rsidRPr="001234B2">
        <w:rPr>
          <w:rFonts w:ascii="Verdana" w:hAnsi="Verdana" w:cs="Times New Roman"/>
          <w:lang w:val="es-ES"/>
        </w:rPr>
        <w:t xml:space="preserve"> niveles de</w:t>
      </w:r>
      <w:r w:rsidR="00610FEC" w:rsidRPr="001234B2">
        <w:rPr>
          <w:rFonts w:ascii="Verdana" w:hAnsi="Verdana" w:cs="Times New Roman"/>
          <w:lang w:val="es-ES"/>
        </w:rPr>
        <w:t xml:space="preserve"> </w:t>
      </w:r>
      <w:r w:rsidR="004E5749" w:rsidRPr="001234B2">
        <w:rPr>
          <w:rFonts w:ascii="Verdana" w:hAnsi="Verdana" w:cs="Times New Roman"/>
          <w:lang w:val="es-ES"/>
        </w:rPr>
        <w:t>Triglicéridos</w:t>
      </w:r>
      <w:r w:rsidR="0043754A" w:rsidRPr="001234B2">
        <w:rPr>
          <w:rFonts w:ascii="Verdana" w:hAnsi="Verdana" w:cs="Times New Roman"/>
          <w:lang w:val="es-ES"/>
        </w:rPr>
        <w:t>, Colesterol</w:t>
      </w:r>
      <w:r w:rsidR="00891DD3" w:rsidRPr="001234B2">
        <w:rPr>
          <w:rFonts w:ascii="Verdana" w:hAnsi="Verdana" w:cs="Times New Roman"/>
          <w:lang w:val="es-ES"/>
        </w:rPr>
        <w:t>, Apolipoproteína</w:t>
      </w:r>
      <w:r w:rsidR="00033C06" w:rsidRPr="001234B2">
        <w:rPr>
          <w:rFonts w:ascii="Verdana" w:hAnsi="Verdana" w:cs="Times New Roman"/>
          <w:lang w:val="es-ES"/>
        </w:rPr>
        <w:t xml:space="preserve">s </w:t>
      </w:r>
      <w:r w:rsidR="00B000D3" w:rsidRPr="001234B2">
        <w:rPr>
          <w:rFonts w:ascii="Verdana" w:hAnsi="Verdana" w:cs="Times New Roman"/>
          <w:lang w:val="es-ES"/>
        </w:rPr>
        <w:t xml:space="preserve">e índices aterogénicos (ApoB/ApoA, ApoB/CT) como mejores predictores del riesgo </w:t>
      </w:r>
      <w:r w:rsidR="00CB76B1" w:rsidRPr="001234B2">
        <w:rPr>
          <w:rFonts w:ascii="Verdana" w:hAnsi="Verdana" w:cs="Times New Roman"/>
          <w:lang w:val="es-ES"/>
        </w:rPr>
        <w:t xml:space="preserve">cardiovascular, </w:t>
      </w:r>
      <w:r w:rsidR="00F938BD" w:rsidRPr="001234B2">
        <w:rPr>
          <w:rFonts w:ascii="Verdana" w:hAnsi="Verdana" w:cs="Times New Roman"/>
          <w:lang w:val="es-ES"/>
        </w:rPr>
        <w:t xml:space="preserve">para el procesamiento y análisis de los resultados, se utilizó la estadística paramétrica y no paramétrica </w:t>
      </w:r>
      <w:r w:rsidR="00CB76B1" w:rsidRPr="001234B2">
        <w:rPr>
          <w:rFonts w:ascii="Verdana" w:hAnsi="Verdana" w:cs="Times New Roman"/>
          <w:lang w:val="es-ES"/>
        </w:rPr>
        <w:t>se</w:t>
      </w:r>
      <w:r w:rsidR="00A529C7" w:rsidRPr="001234B2">
        <w:rPr>
          <w:rFonts w:ascii="Verdana" w:hAnsi="Verdana" w:cs="Times New Roman"/>
          <w:lang w:val="es-ES"/>
        </w:rPr>
        <w:t xml:space="preserve"> </w:t>
      </w:r>
      <w:r w:rsidR="00033C06" w:rsidRPr="001234B2">
        <w:rPr>
          <w:rFonts w:ascii="Verdana" w:hAnsi="Verdana" w:cs="Times New Roman"/>
          <w:lang w:val="es-ES"/>
        </w:rPr>
        <w:t xml:space="preserve">cumplió con </w:t>
      </w:r>
      <w:r w:rsidR="00A529C7" w:rsidRPr="001234B2">
        <w:rPr>
          <w:rFonts w:ascii="Verdana" w:hAnsi="Verdana" w:cs="Times New Roman"/>
          <w:lang w:val="es-ES"/>
        </w:rPr>
        <w:t>los principios de la ética en las investigaciones biomédicas</w:t>
      </w:r>
      <w:r w:rsidR="00F938BD" w:rsidRPr="001234B2">
        <w:rPr>
          <w:rFonts w:ascii="Verdana" w:hAnsi="Verdana" w:cs="Times New Roman"/>
          <w:lang w:val="es-ES"/>
        </w:rPr>
        <w:t>.</w:t>
      </w:r>
      <w:r w:rsidR="00946D0D" w:rsidRPr="001234B2">
        <w:rPr>
          <w:rFonts w:ascii="Verdana" w:hAnsi="Verdana" w:cs="Times New Roman"/>
          <w:lang w:val="es-ES"/>
        </w:rPr>
        <w:t xml:space="preserve"> </w:t>
      </w:r>
    </w:p>
    <w:p w14:paraId="1CC894C4" w14:textId="308FE7D2" w:rsidR="007548EE" w:rsidRDefault="000C7350" w:rsidP="007D3421">
      <w:pPr>
        <w:pStyle w:val="Sinespaciado"/>
        <w:spacing w:line="276" w:lineRule="auto"/>
        <w:jc w:val="both"/>
        <w:rPr>
          <w:rFonts w:ascii="Verdana" w:hAnsi="Verdana" w:cs="Times New Roman"/>
          <w:bCs/>
          <w:lang w:val="es-ES"/>
        </w:rPr>
      </w:pPr>
      <w:r w:rsidRPr="001234B2">
        <w:rPr>
          <w:rFonts w:ascii="Verdana" w:hAnsi="Verdana" w:cs="Times New Roman"/>
          <w:b/>
          <w:bCs/>
          <w:lang w:val="es-ES"/>
        </w:rPr>
        <w:t>Resultados</w:t>
      </w:r>
      <w:r w:rsidRPr="001234B2">
        <w:rPr>
          <w:rFonts w:ascii="Verdana" w:hAnsi="Verdana" w:cs="Times New Roman"/>
          <w:lang w:val="es-ES"/>
        </w:rPr>
        <w:t xml:space="preserve">. </w:t>
      </w:r>
      <w:r w:rsidR="00D37446" w:rsidRPr="001234B2">
        <w:rPr>
          <w:rFonts w:ascii="Verdana" w:hAnsi="Verdana" w:cs="Times New Roman"/>
          <w:lang w:val="es-ES"/>
        </w:rPr>
        <w:t xml:space="preserve"> </w:t>
      </w:r>
      <w:r w:rsidR="005332ED" w:rsidRPr="001234B2">
        <w:rPr>
          <w:rFonts w:ascii="Verdana" w:hAnsi="Verdana" w:cs="Times New Roman"/>
          <w:lang w:val="es-ES"/>
        </w:rPr>
        <w:t xml:space="preserve">Existió aumento en los predictores </w:t>
      </w:r>
      <w:r w:rsidR="00BF2B24" w:rsidRPr="001234B2">
        <w:rPr>
          <w:rFonts w:ascii="Verdana" w:hAnsi="Verdana" w:cs="Times New Roman"/>
          <w:lang w:val="es-ES"/>
        </w:rPr>
        <w:t>proaterogénicos</w:t>
      </w:r>
      <w:r w:rsidR="00BF2B24">
        <w:rPr>
          <w:rFonts w:ascii="Verdana" w:hAnsi="Verdana" w:cs="Times New Roman"/>
          <w:lang w:val="es-ES"/>
        </w:rPr>
        <w:t>,</w:t>
      </w:r>
      <w:r w:rsidR="005332ED" w:rsidRPr="001234B2">
        <w:rPr>
          <w:rFonts w:ascii="Verdana" w:hAnsi="Verdana" w:cs="Times New Roman"/>
          <w:lang w:val="es-ES"/>
        </w:rPr>
        <w:t xml:space="preserve"> disminución en los antiaterogénicos y un elevado riesgo de </w:t>
      </w:r>
      <w:r w:rsidR="00BF2B24">
        <w:rPr>
          <w:rFonts w:ascii="Verdana" w:hAnsi="Verdana" w:cs="Times New Roman"/>
          <w:lang w:val="es-ES"/>
        </w:rPr>
        <w:t>enfermedad cardiovascular.</w:t>
      </w:r>
      <w:r w:rsidR="005332ED" w:rsidRPr="001234B2">
        <w:rPr>
          <w:rFonts w:ascii="Verdana" w:hAnsi="Verdana" w:cs="Times New Roman"/>
          <w:bCs/>
          <w:lang w:val="es-ES"/>
        </w:rPr>
        <w:t xml:space="preserve"> </w:t>
      </w:r>
    </w:p>
    <w:p w14:paraId="4520BB34" w14:textId="450BDE62" w:rsidR="005332ED" w:rsidRPr="001234B2" w:rsidRDefault="005332ED" w:rsidP="007D3421">
      <w:pPr>
        <w:pStyle w:val="Sinespaciado"/>
        <w:spacing w:line="276" w:lineRule="auto"/>
        <w:jc w:val="both"/>
        <w:rPr>
          <w:rFonts w:ascii="Verdana" w:hAnsi="Verdana" w:cs="Times New Roman"/>
          <w:lang w:val="es-ES"/>
        </w:rPr>
      </w:pPr>
      <w:r w:rsidRPr="001234B2">
        <w:rPr>
          <w:rFonts w:ascii="Verdana" w:hAnsi="Verdana" w:cs="Times New Roman"/>
          <w:b/>
          <w:bCs/>
          <w:lang w:val="es-ES"/>
        </w:rPr>
        <w:t>C</w:t>
      </w:r>
      <w:r w:rsidR="000C7350" w:rsidRPr="001234B2">
        <w:rPr>
          <w:rFonts w:ascii="Verdana" w:hAnsi="Verdana" w:cs="Times New Roman"/>
          <w:b/>
          <w:bCs/>
          <w:lang w:val="es-ES"/>
        </w:rPr>
        <w:t>onclusiones.</w:t>
      </w:r>
      <w:r w:rsidR="000C7350" w:rsidRPr="001234B2">
        <w:rPr>
          <w:rFonts w:ascii="Verdana" w:hAnsi="Verdana" w:cs="Times New Roman"/>
          <w:lang w:val="es-ES"/>
        </w:rPr>
        <w:t xml:space="preserve"> </w:t>
      </w:r>
      <w:r w:rsidRPr="001234B2">
        <w:rPr>
          <w:rFonts w:ascii="Verdana" w:hAnsi="Verdana" w:cs="Times New Roman"/>
          <w:lang w:val="es-ES"/>
        </w:rPr>
        <w:t xml:space="preserve">Las apolipoproteínas e índices aterogénicos, constituyen mejores predictores de riesgo </w:t>
      </w:r>
      <w:r w:rsidR="00276A07">
        <w:rPr>
          <w:rFonts w:ascii="Verdana" w:hAnsi="Verdana" w:cs="Times New Roman"/>
          <w:lang w:val="es-ES"/>
        </w:rPr>
        <w:t xml:space="preserve">cardiovascular, </w:t>
      </w:r>
      <w:r w:rsidRPr="001234B2">
        <w:rPr>
          <w:rFonts w:ascii="Verdana" w:hAnsi="Verdana" w:cs="Times New Roman"/>
          <w:lang w:val="es-ES"/>
        </w:rPr>
        <w:t>al expresar el balance entre las partículas pro y antiater</w:t>
      </w:r>
      <w:r w:rsidR="00276A07">
        <w:rPr>
          <w:rFonts w:ascii="Verdana" w:hAnsi="Verdana" w:cs="Times New Roman"/>
          <w:lang w:val="es-ES"/>
        </w:rPr>
        <w:t>o</w:t>
      </w:r>
      <w:r w:rsidRPr="001234B2">
        <w:rPr>
          <w:rFonts w:ascii="Verdana" w:hAnsi="Verdana" w:cs="Times New Roman"/>
          <w:lang w:val="es-ES"/>
        </w:rPr>
        <w:t>génicas plasmáticas.</w:t>
      </w:r>
    </w:p>
    <w:p w14:paraId="17699DB2" w14:textId="64B3145A" w:rsidR="00715F97" w:rsidRPr="00CC65AB" w:rsidRDefault="005332ED" w:rsidP="007D3421">
      <w:pPr>
        <w:pStyle w:val="Sinespaciado"/>
        <w:spacing w:line="276" w:lineRule="auto"/>
        <w:jc w:val="both"/>
        <w:rPr>
          <w:rFonts w:ascii="Times New Roman" w:hAnsi="Times New Roman"/>
          <w:sz w:val="28"/>
          <w:szCs w:val="28"/>
          <w:lang w:val="es-ES"/>
        </w:rPr>
      </w:pPr>
      <w:r w:rsidRPr="00C01A01">
        <w:rPr>
          <w:sz w:val="24"/>
          <w:szCs w:val="24"/>
          <w:lang w:val="es-ES"/>
        </w:rPr>
        <w:t xml:space="preserve"> </w:t>
      </w:r>
    </w:p>
    <w:p w14:paraId="5FED9CAF" w14:textId="52379391" w:rsidR="00B000D3" w:rsidRPr="007D3421" w:rsidRDefault="002A16E9" w:rsidP="007D3421">
      <w:pPr>
        <w:tabs>
          <w:tab w:val="left" w:pos="2430"/>
        </w:tabs>
        <w:jc w:val="both"/>
        <w:rPr>
          <w:rFonts w:ascii="Verdana" w:hAnsi="Verdana"/>
          <w:lang w:val="es-ES"/>
        </w:rPr>
      </w:pPr>
      <w:r w:rsidRPr="001234B2">
        <w:rPr>
          <w:rFonts w:ascii="Verdana" w:hAnsi="Verdana"/>
          <w:lang w:val="es-ES"/>
        </w:rPr>
        <w:t>Palabras clave: síndrome metabólico</w:t>
      </w:r>
      <w:r w:rsidR="007548EE">
        <w:rPr>
          <w:rFonts w:ascii="Verdana" w:hAnsi="Verdana"/>
          <w:lang w:val="es-ES"/>
        </w:rPr>
        <w:t>;</w:t>
      </w:r>
      <w:r w:rsidRPr="001234B2">
        <w:rPr>
          <w:rFonts w:ascii="Verdana" w:hAnsi="Verdana"/>
          <w:lang w:val="es-ES"/>
        </w:rPr>
        <w:t xml:space="preserve"> </w:t>
      </w:r>
      <w:r w:rsidR="00CB76B1" w:rsidRPr="001234B2">
        <w:rPr>
          <w:rFonts w:ascii="Verdana" w:hAnsi="Verdana"/>
          <w:lang w:val="es-ES"/>
        </w:rPr>
        <w:t>predictores de riesgo</w:t>
      </w:r>
      <w:r w:rsidR="007548EE">
        <w:rPr>
          <w:rFonts w:ascii="Verdana" w:hAnsi="Verdana"/>
          <w:lang w:val="es-ES"/>
        </w:rPr>
        <w:t>;</w:t>
      </w:r>
      <w:r w:rsidRPr="001234B2">
        <w:rPr>
          <w:rFonts w:ascii="Verdana" w:hAnsi="Verdana"/>
          <w:lang w:val="es-ES"/>
        </w:rPr>
        <w:t xml:space="preserve"> riesgo cardiovascular.</w:t>
      </w:r>
    </w:p>
    <w:p w14:paraId="095BA71B" w14:textId="1C2663B1" w:rsidR="00A529C7" w:rsidRDefault="00A529C7" w:rsidP="00133C41">
      <w:pPr>
        <w:tabs>
          <w:tab w:val="left" w:pos="8789"/>
        </w:tabs>
        <w:spacing w:line="360" w:lineRule="auto"/>
        <w:ind w:right="142"/>
        <w:rPr>
          <w:rFonts w:ascii="Times New Roman" w:hAnsi="Times New Roman"/>
          <w:sz w:val="24"/>
          <w:szCs w:val="24"/>
          <w:lang w:val="es-ES"/>
        </w:rPr>
      </w:pPr>
    </w:p>
    <w:p w14:paraId="07CB4F93" w14:textId="14E74C24" w:rsidR="00A529C7" w:rsidRPr="001234B2" w:rsidRDefault="002B58E3" w:rsidP="00133C41">
      <w:pPr>
        <w:tabs>
          <w:tab w:val="left" w:pos="8789"/>
        </w:tabs>
        <w:spacing w:line="360" w:lineRule="auto"/>
        <w:ind w:right="142"/>
        <w:rPr>
          <w:rFonts w:ascii="Verdana" w:hAnsi="Verdana"/>
          <w:lang w:val="es-ES"/>
        </w:rPr>
      </w:pPr>
      <w:r w:rsidRPr="001234B2">
        <w:rPr>
          <w:rFonts w:ascii="Verdana" w:hAnsi="Verdana"/>
          <w:lang w:val="es-ES"/>
        </w:rPr>
        <w:t>INTRODUCCIÓN</w:t>
      </w:r>
    </w:p>
    <w:p w14:paraId="08F5A84C" w14:textId="77777777" w:rsidR="002B58E3" w:rsidRPr="001234B2" w:rsidRDefault="002B58E3" w:rsidP="007D3421">
      <w:pPr>
        <w:tabs>
          <w:tab w:val="left" w:pos="8789"/>
        </w:tabs>
        <w:ind w:right="142"/>
        <w:jc w:val="both"/>
        <w:rPr>
          <w:rFonts w:ascii="Verdana" w:hAnsi="Verdana"/>
          <w:lang w:val="es-ES"/>
        </w:rPr>
      </w:pPr>
      <w:r w:rsidRPr="001234B2">
        <w:rPr>
          <w:rFonts w:ascii="Verdana" w:hAnsi="Verdana"/>
          <w:lang w:val="es-ES"/>
        </w:rPr>
        <w:t xml:space="preserve">El síndrome metabólico es considerado un potente factor de riesgo de la morbilidad y mortalidad cardiovascular. </w:t>
      </w:r>
      <w:r w:rsidRPr="001234B2">
        <w:rPr>
          <w:rFonts w:ascii="Verdana" w:hAnsi="Verdana"/>
          <w:vertAlign w:val="superscript"/>
          <w:lang w:val="es-ES"/>
        </w:rPr>
        <w:t xml:space="preserve">(1,2,3) </w:t>
      </w:r>
      <w:r w:rsidRPr="001234B2">
        <w:rPr>
          <w:rFonts w:ascii="Verdana" w:hAnsi="Verdana"/>
          <w:lang w:val="es-ES"/>
        </w:rPr>
        <w:t>En Cuba la tasa de mortalidad por enfermedades crónicas, es la más elevada 769,8 defunciones por 100 000 habitantes y es una de las primeras causas de muerte. Las enfermedades cardiovasculares, ocupan el primer lugar con tasa de 228,2 por 100 000 habitantes, estas expresan el 36,8 % del total de las defunciones del año 2018.</w:t>
      </w:r>
      <w:r w:rsidRPr="001234B2">
        <w:rPr>
          <w:rFonts w:ascii="Verdana" w:hAnsi="Verdana"/>
          <w:vertAlign w:val="superscript"/>
          <w:lang w:val="es-ES"/>
        </w:rPr>
        <w:t xml:space="preserve"> (4)</w:t>
      </w:r>
    </w:p>
    <w:p w14:paraId="53460E73" w14:textId="3924F945" w:rsidR="002B58E3" w:rsidRPr="001234B2" w:rsidRDefault="002B58E3" w:rsidP="007D3421">
      <w:pPr>
        <w:jc w:val="both"/>
        <w:rPr>
          <w:rFonts w:ascii="Verdana" w:hAnsi="Verdana"/>
          <w:vertAlign w:val="superscript"/>
          <w:lang w:val="es-ES"/>
        </w:rPr>
      </w:pPr>
      <w:r w:rsidRPr="001234B2">
        <w:rPr>
          <w:rFonts w:ascii="Verdana" w:hAnsi="Verdana"/>
          <w:lang w:val="es-ES"/>
        </w:rPr>
        <w:t>Debido al impacto negativo del SM sobre la Salud Pública, en los últimos años se han realizado importantes investigaciones que han contribuido al conocimiento del mismo. El diagnóstico temprano de esta afección permitirá aplicar intervenciones precoces para propiciar cambios a estilos de vidas saludables, tratamientos preventivos de las complicaciones cardiovasculares.</w:t>
      </w:r>
      <w:r w:rsidRPr="001234B2">
        <w:rPr>
          <w:rFonts w:ascii="Verdana" w:hAnsi="Verdana"/>
          <w:vertAlign w:val="superscript"/>
          <w:lang w:val="es-ES"/>
        </w:rPr>
        <w:t xml:space="preserve"> (5) </w:t>
      </w:r>
      <w:r w:rsidRPr="001234B2">
        <w:rPr>
          <w:rFonts w:ascii="Verdana" w:hAnsi="Verdana"/>
          <w:lang w:val="es-ES"/>
        </w:rPr>
        <w:t>La incorporación y evaluación de mejores marcadores clínicos como las apolipoproteínas y los índices aterogénicos, contribuirían a aumentar la eficacia en el abordaje del paciente en riesgo.</w:t>
      </w:r>
      <w:r w:rsidRPr="001234B2">
        <w:rPr>
          <w:rFonts w:ascii="Verdana" w:hAnsi="Verdana"/>
          <w:vertAlign w:val="superscript"/>
          <w:lang w:val="es-ES"/>
        </w:rPr>
        <w:t xml:space="preserve"> (5)</w:t>
      </w:r>
      <w:r w:rsidRPr="001234B2">
        <w:rPr>
          <w:rFonts w:ascii="Verdana" w:hAnsi="Verdana"/>
          <w:lang w:val="es-ES"/>
        </w:rPr>
        <w:t xml:space="preserve"> La utilidad demostrada de los índices </w:t>
      </w:r>
      <w:r w:rsidR="003060FE" w:rsidRPr="001234B2">
        <w:rPr>
          <w:rFonts w:ascii="Verdana" w:hAnsi="Verdana"/>
          <w:lang w:val="es-ES"/>
        </w:rPr>
        <w:t>lipoproteicos</w:t>
      </w:r>
      <w:r w:rsidRPr="001234B2">
        <w:rPr>
          <w:rFonts w:ascii="Verdana" w:hAnsi="Verdana"/>
          <w:lang w:val="es-ES"/>
        </w:rPr>
        <w:t xml:space="preserve"> o aterogénicos, los convierte en marcadores útiles para incluirlos en las guías de práctica clínica para el diagnóstico de la aterogenicidad de la dislipemia y la monitorización de la respuesta al tratamiento.</w:t>
      </w:r>
      <w:r w:rsidRPr="001234B2">
        <w:rPr>
          <w:rFonts w:ascii="Verdana" w:hAnsi="Verdana"/>
          <w:vertAlign w:val="superscript"/>
          <w:lang w:val="es-ES"/>
        </w:rPr>
        <w:t xml:space="preserve"> (</w:t>
      </w:r>
      <w:r w:rsidR="00830631">
        <w:rPr>
          <w:rFonts w:ascii="Verdana" w:hAnsi="Verdana"/>
          <w:vertAlign w:val="superscript"/>
          <w:lang w:val="es-ES"/>
        </w:rPr>
        <w:t>6</w:t>
      </w:r>
      <w:r w:rsidRPr="001234B2">
        <w:rPr>
          <w:rFonts w:ascii="Verdana" w:hAnsi="Verdana"/>
          <w:vertAlign w:val="superscript"/>
          <w:lang w:val="es-ES"/>
        </w:rPr>
        <w:t>)</w:t>
      </w:r>
    </w:p>
    <w:p w14:paraId="733FDF18" w14:textId="77777777" w:rsidR="007D3421" w:rsidRDefault="002B58E3" w:rsidP="007D3421">
      <w:pPr>
        <w:pStyle w:val="Descripcin"/>
        <w:spacing w:line="276" w:lineRule="auto"/>
        <w:ind w:firstLine="0"/>
        <w:rPr>
          <w:rFonts w:ascii="Verdana" w:hAnsi="Verdana"/>
          <w:sz w:val="22"/>
          <w:szCs w:val="22"/>
          <w:lang w:val="es-ES"/>
        </w:rPr>
      </w:pPr>
      <w:r w:rsidRPr="001234B2">
        <w:rPr>
          <w:rFonts w:ascii="Verdana" w:hAnsi="Verdana"/>
          <w:sz w:val="22"/>
          <w:szCs w:val="22"/>
          <w:lang w:val="es-ES"/>
        </w:rPr>
        <w:t>La prevalencia de las enfermedades crónicas, en los últimos 20 años, en el mundo y en Cuba, dentro de las que se inserta, el síndrome metabólico y el riesgo de las complicaciones cardiovasculares, constituye una prioridad para los Servicios Médicos.</w:t>
      </w:r>
    </w:p>
    <w:p w14:paraId="115AC5E5" w14:textId="50CA12CB" w:rsidR="002B58E3" w:rsidRPr="00171AE3" w:rsidRDefault="002B58E3" w:rsidP="007D3421">
      <w:pPr>
        <w:pStyle w:val="Descripcin"/>
        <w:spacing w:line="276" w:lineRule="auto"/>
        <w:ind w:firstLine="0"/>
        <w:rPr>
          <w:rFonts w:ascii="Verdana" w:hAnsi="Verdana"/>
          <w:sz w:val="22"/>
          <w:szCs w:val="22"/>
          <w:lang w:val="es-ES"/>
        </w:rPr>
      </w:pPr>
      <w:r w:rsidRPr="001234B2">
        <w:rPr>
          <w:rFonts w:ascii="Verdana" w:hAnsi="Verdana"/>
          <w:sz w:val="22"/>
          <w:szCs w:val="22"/>
          <w:lang w:val="es-ES"/>
        </w:rPr>
        <w:t xml:space="preserve">El Objetivo de la investigación es determinar </w:t>
      </w:r>
      <w:r w:rsidR="003060FE" w:rsidRPr="001234B2">
        <w:rPr>
          <w:rFonts w:ascii="Verdana" w:hAnsi="Verdana"/>
          <w:sz w:val="22"/>
          <w:szCs w:val="22"/>
          <w:lang w:val="es-ES"/>
        </w:rPr>
        <w:t xml:space="preserve">mejores predictores </w:t>
      </w:r>
      <w:r w:rsidRPr="001234B2">
        <w:rPr>
          <w:rFonts w:ascii="Verdana" w:hAnsi="Verdana"/>
          <w:sz w:val="22"/>
          <w:szCs w:val="22"/>
          <w:lang w:val="es-ES"/>
        </w:rPr>
        <w:t xml:space="preserve">del riesgo cardiovascular, </w:t>
      </w:r>
      <w:r w:rsidR="003060FE" w:rsidRPr="001234B2">
        <w:rPr>
          <w:rFonts w:ascii="Verdana" w:hAnsi="Verdana"/>
          <w:sz w:val="22"/>
          <w:szCs w:val="22"/>
          <w:lang w:val="es-ES"/>
        </w:rPr>
        <w:t>para establecer estrategias de prevención y control.</w:t>
      </w:r>
    </w:p>
    <w:p w14:paraId="6909E716" w14:textId="77777777" w:rsidR="007D3421" w:rsidRDefault="007D3421" w:rsidP="00F16EAF">
      <w:pPr>
        <w:tabs>
          <w:tab w:val="left" w:pos="8789"/>
        </w:tabs>
        <w:ind w:right="142"/>
        <w:jc w:val="center"/>
        <w:rPr>
          <w:rFonts w:ascii="Verdana" w:hAnsi="Verdana"/>
          <w:lang w:val="es-ES"/>
        </w:rPr>
      </w:pPr>
    </w:p>
    <w:p w14:paraId="15EA22E4" w14:textId="745E8464" w:rsidR="002B58E3" w:rsidRPr="001234B2" w:rsidRDefault="002B58E3" w:rsidP="00F16EAF">
      <w:pPr>
        <w:tabs>
          <w:tab w:val="left" w:pos="8789"/>
        </w:tabs>
        <w:ind w:right="142"/>
        <w:jc w:val="center"/>
        <w:rPr>
          <w:rFonts w:ascii="Verdana" w:hAnsi="Verdana"/>
          <w:lang w:val="es-ES"/>
        </w:rPr>
      </w:pPr>
      <w:r w:rsidRPr="001234B2">
        <w:rPr>
          <w:rFonts w:ascii="Verdana" w:hAnsi="Verdana"/>
          <w:lang w:val="es-ES"/>
        </w:rPr>
        <w:t xml:space="preserve">II. MÉTODO </w:t>
      </w:r>
    </w:p>
    <w:p w14:paraId="33385F3A" w14:textId="39B568E5" w:rsidR="00A92ACF" w:rsidRPr="001234B2" w:rsidRDefault="002B58E3" w:rsidP="00F16EAF">
      <w:pPr>
        <w:spacing w:before="13" w:after="120"/>
        <w:ind w:right="111"/>
        <w:jc w:val="both"/>
        <w:rPr>
          <w:rFonts w:ascii="Verdana" w:hAnsi="Verdana"/>
          <w:b/>
          <w:spacing w:val="-2"/>
          <w:w w:val="105"/>
          <w:vertAlign w:val="superscript"/>
        </w:rPr>
      </w:pPr>
      <w:r w:rsidRPr="001234B2">
        <w:rPr>
          <w:rFonts w:ascii="Verdana" w:hAnsi="Verdana"/>
          <w:lang w:val="es-ES"/>
        </w:rPr>
        <w:t xml:space="preserve"> Se realizó un estudio </w:t>
      </w:r>
      <w:r w:rsidR="008871F8" w:rsidRPr="001234B2">
        <w:rPr>
          <w:rFonts w:ascii="Verdana" w:hAnsi="Verdana"/>
          <w:lang w:val="es-ES"/>
        </w:rPr>
        <w:t>observacional descriptivo de corte transversal</w:t>
      </w:r>
      <w:r w:rsidRPr="001234B2">
        <w:rPr>
          <w:rFonts w:ascii="Verdana" w:eastAsia="Times New Roman" w:hAnsi="Verdana"/>
          <w:color w:val="000000"/>
          <w:kern w:val="24"/>
          <w:lang w:val="es-ES"/>
        </w:rPr>
        <w:t>,</w:t>
      </w:r>
      <w:r w:rsidRPr="001234B2">
        <w:rPr>
          <w:rFonts w:ascii="Verdana" w:hAnsi="Verdana"/>
          <w:lang w:val="es-ES"/>
        </w:rPr>
        <w:t xml:space="preserve"> </w:t>
      </w:r>
      <w:r w:rsidR="008871F8" w:rsidRPr="001234B2">
        <w:rPr>
          <w:rFonts w:ascii="Verdana" w:hAnsi="Verdana"/>
          <w:lang w:val="es-ES"/>
        </w:rPr>
        <w:t xml:space="preserve">en 60 pacientes </w:t>
      </w:r>
      <w:r w:rsidRPr="001234B2">
        <w:rPr>
          <w:rFonts w:ascii="Verdana" w:hAnsi="Verdana"/>
          <w:lang w:val="es-ES"/>
        </w:rPr>
        <w:t>mayores de 45 años,</w:t>
      </w:r>
      <w:r w:rsidRPr="001234B2">
        <w:rPr>
          <w:rFonts w:ascii="Verdana" w:eastAsia="Times New Roman" w:hAnsi="Verdana"/>
          <w:color w:val="000000"/>
          <w:kern w:val="24"/>
          <w:lang w:val="es-ES"/>
        </w:rPr>
        <w:t xml:space="preserve"> con diagnóstico de síndrome metabólico</w:t>
      </w:r>
      <w:r w:rsidR="008871F8" w:rsidRPr="001234B2">
        <w:rPr>
          <w:rFonts w:ascii="Verdana" w:eastAsia="Times New Roman" w:hAnsi="Verdana"/>
          <w:color w:val="000000"/>
          <w:kern w:val="24"/>
          <w:lang w:val="es-ES"/>
        </w:rPr>
        <w:t xml:space="preserve"> e </w:t>
      </w:r>
      <w:r w:rsidRPr="001234B2">
        <w:rPr>
          <w:rFonts w:ascii="Verdana" w:eastAsia="Times New Roman" w:hAnsi="Verdana"/>
          <w:color w:val="000000"/>
          <w:kern w:val="24"/>
          <w:lang w:val="es-ES"/>
        </w:rPr>
        <w:t>incluidos cuatro</w:t>
      </w:r>
      <w:r w:rsidRPr="001234B2">
        <w:rPr>
          <w:rFonts w:ascii="Verdana" w:hAnsi="Verdana"/>
          <w:lang w:val="es-ES"/>
        </w:rPr>
        <w:t xml:space="preserve"> de </w:t>
      </w:r>
      <w:r w:rsidR="008871F8" w:rsidRPr="001234B2">
        <w:rPr>
          <w:rFonts w:ascii="Verdana" w:hAnsi="Verdana"/>
          <w:lang w:val="es-ES"/>
        </w:rPr>
        <w:t>los</w:t>
      </w:r>
      <w:r w:rsidRPr="001234B2">
        <w:rPr>
          <w:rFonts w:ascii="Verdana" w:hAnsi="Verdana"/>
          <w:lang w:val="es-ES"/>
        </w:rPr>
        <w:t xml:space="preserve"> criterios </w:t>
      </w:r>
      <w:r w:rsidR="008871F8" w:rsidRPr="001234B2">
        <w:rPr>
          <w:rFonts w:ascii="Verdana" w:hAnsi="Verdana"/>
          <w:lang w:val="es-ES"/>
        </w:rPr>
        <w:t xml:space="preserve">para su </w:t>
      </w:r>
      <w:r w:rsidRPr="001234B2">
        <w:rPr>
          <w:rFonts w:ascii="Verdana" w:hAnsi="Verdana"/>
          <w:lang w:val="es-ES"/>
        </w:rPr>
        <w:t>diagnóstico</w:t>
      </w:r>
      <w:r w:rsidR="008871F8" w:rsidRPr="001234B2">
        <w:rPr>
          <w:rFonts w:ascii="Verdana" w:hAnsi="Verdana"/>
          <w:lang w:val="es-ES"/>
        </w:rPr>
        <w:t xml:space="preserve"> (</w:t>
      </w:r>
      <w:r w:rsidR="007B1AC1" w:rsidRPr="001234B2">
        <w:rPr>
          <w:rFonts w:ascii="Verdana" w:hAnsi="Verdana"/>
          <w:lang w:val="es-ES"/>
        </w:rPr>
        <w:t>Hipertriglicerinemia</w:t>
      </w:r>
      <w:r w:rsidRPr="001234B2">
        <w:rPr>
          <w:rFonts w:ascii="Verdana" w:hAnsi="Verdana"/>
          <w:lang w:val="es-ES"/>
        </w:rPr>
        <w:t>, diabetes mellitus, hipertensión arterial, circunferencia abdominal por encima de los parámetros de referencia</w:t>
      </w:r>
      <w:r w:rsidR="008871F8" w:rsidRPr="001234B2">
        <w:rPr>
          <w:rFonts w:ascii="Verdana" w:hAnsi="Verdana"/>
          <w:lang w:val="es-ES"/>
        </w:rPr>
        <w:t>)</w:t>
      </w:r>
      <w:r w:rsidRPr="001234B2">
        <w:rPr>
          <w:rFonts w:ascii="Verdana" w:hAnsi="Verdana"/>
          <w:lang w:val="es-ES"/>
        </w:rPr>
        <w:t>,</w:t>
      </w:r>
      <w:r w:rsidR="008871F8" w:rsidRPr="001234B2">
        <w:rPr>
          <w:rFonts w:ascii="Verdana" w:hAnsi="Verdana"/>
          <w:lang w:val="es-ES"/>
        </w:rPr>
        <w:t>que asistieron al examen médico en el hospital Dr. Luis Díaz Soto,</w:t>
      </w:r>
      <w:r w:rsidRPr="001234B2">
        <w:rPr>
          <w:rFonts w:ascii="Verdana" w:hAnsi="Verdana"/>
          <w:lang w:val="es-ES"/>
        </w:rPr>
        <w:t xml:space="preserve"> se excluyen los que no desean participar en el estudio y no cumplan con los criterios antes mencionados, </w:t>
      </w:r>
      <w:r w:rsidR="008871F8" w:rsidRPr="001234B2">
        <w:rPr>
          <w:rFonts w:ascii="Verdana" w:hAnsi="Verdana"/>
          <w:lang w:val="es-ES"/>
        </w:rPr>
        <w:t xml:space="preserve">se utilizó el </w:t>
      </w:r>
      <w:r w:rsidRPr="001234B2">
        <w:rPr>
          <w:rFonts w:ascii="Verdana" w:hAnsi="Verdana"/>
          <w:lang w:val="es-ES"/>
        </w:rPr>
        <w:t xml:space="preserve">método de muestreo aleatorio simple, </w:t>
      </w:r>
      <w:r w:rsidR="003060FE" w:rsidRPr="001234B2">
        <w:rPr>
          <w:rFonts w:ascii="Verdana" w:hAnsi="Verdana"/>
          <w:lang w:val="es-ES"/>
        </w:rPr>
        <w:t>s</w:t>
      </w:r>
      <w:r w:rsidRPr="001234B2">
        <w:rPr>
          <w:rFonts w:ascii="Verdana" w:hAnsi="Verdana"/>
          <w:lang w:val="es-ES"/>
        </w:rPr>
        <w:t xml:space="preserve">e realizó la toma de muestras de sangre para marcadores hemoquímicos (colesterol y triglicéridos, las apolipoproteínas ApoA y ApoB) y </w:t>
      </w:r>
      <w:r w:rsidRPr="001234B2">
        <w:rPr>
          <w:rFonts w:ascii="Verdana" w:hAnsi="Verdana"/>
          <w:lang w:val="es-ES"/>
        </w:rPr>
        <w:lastRenderedPageBreak/>
        <w:t>los índices aterogénicos (r ApoB/ApoA, r ApoB/CT) como mejores predictores del riesgo cardiovascular</w:t>
      </w:r>
      <w:r w:rsidR="008871F8" w:rsidRPr="001234B2">
        <w:rPr>
          <w:rFonts w:ascii="Verdana" w:hAnsi="Verdana"/>
          <w:lang w:val="es-ES"/>
        </w:rPr>
        <w:t xml:space="preserve"> </w:t>
      </w:r>
      <w:r w:rsidR="00AA4E51" w:rsidRPr="001234B2">
        <w:rPr>
          <w:rFonts w:ascii="Verdana" w:hAnsi="Verdana"/>
          <w:lang w:val="es-ES"/>
        </w:rPr>
        <w:t>.</w:t>
      </w:r>
    </w:p>
    <w:p w14:paraId="52492FB0" w14:textId="58DF0C98" w:rsidR="002B58E3" w:rsidRPr="001234B2" w:rsidRDefault="002B58E3" w:rsidP="00F16EAF">
      <w:pPr>
        <w:tabs>
          <w:tab w:val="left" w:pos="8789"/>
        </w:tabs>
        <w:ind w:right="283"/>
        <w:jc w:val="both"/>
        <w:rPr>
          <w:rFonts w:ascii="Verdana" w:hAnsi="Verdana"/>
          <w:lang w:val="es-ES"/>
        </w:rPr>
      </w:pPr>
      <w:r w:rsidRPr="001234B2">
        <w:rPr>
          <w:rFonts w:ascii="Verdana" w:hAnsi="Verdana"/>
          <w:lang w:val="es-ES"/>
        </w:rPr>
        <w:t xml:space="preserve">La medición de la tensión arterial (TA) y circunferencia abdominal (CA), el interrogatorio sobre </w:t>
      </w:r>
      <w:r w:rsidR="003060FE" w:rsidRPr="001234B2">
        <w:rPr>
          <w:rFonts w:ascii="Verdana" w:hAnsi="Verdana"/>
          <w:lang w:val="es-ES"/>
        </w:rPr>
        <w:t xml:space="preserve">los </w:t>
      </w:r>
      <w:r w:rsidRPr="001234B2">
        <w:rPr>
          <w:rFonts w:ascii="Verdana" w:hAnsi="Verdana"/>
          <w:lang w:val="es-ES"/>
        </w:rPr>
        <w:t xml:space="preserve">hábitos y estilos de vida, fueron recogidos en la planilla de recolección y llevados a una base de datos de Microsoft Excel, automatizada mediante el procesador estadístico SPSS 22.0. </w:t>
      </w:r>
    </w:p>
    <w:p w14:paraId="7E73C6B0" w14:textId="3647C46D" w:rsidR="002B58E3" w:rsidRPr="001234B2" w:rsidRDefault="002B58E3" w:rsidP="00F16EAF">
      <w:pPr>
        <w:ind w:right="27"/>
        <w:jc w:val="both"/>
        <w:rPr>
          <w:rFonts w:ascii="Verdana" w:hAnsi="Verdana"/>
          <w:lang w:val="es-ES"/>
        </w:rPr>
      </w:pPr>
      <w:r w:rsidRPr="001234B2">
        <w:rPr>
          <w:rFonts w:ascii="Verdana" w:hAnsi="Verdana"/>
          <w:lang w:val="es-ES"/>
        </w:rPr>
        <w:t>El comportamiento de las variables se determina en la media aritmética según valores medios de referencia (VMR), con la utilización de la estadística paramétrica y no paramétrica para muestras pequeñas</w:t>
      </w:r>
      <w:r w:rsidR="008871F8" w:rsidRPr="001234B2">
        <w:rPr>
          <w:rFonts w:ascii="Verdana" w:hAnsi="Verdana"/>
          <w:lang w:val="es-ES"/>
        </w:rPr>
        <w:t>, s</w:t>
      </w:r>
      <w:r w:rsidRPr="001234B2">
        <w:rPr>
          <w:rFonts w:ascii="Verdana" w:hAnsi="Verdana"/>
          <w:lang w:val="es-ES"/>
        </w:rPr>
        <w:t xml:space="preserve">e estimó el estadígrafo </w:t>
      </w:r>
      <w:r w:rsidRPr="001234B2">
        <w:rPr>
          <w:rFonts w:ascii="Verdana" w:hAnsi="Verdana"/>
          <w:i/>
          <w:lang w:val="es-ES"/>
        </w:rPr>
        <w:t>Ji cuadrado de Pearson</w:t>
      </w:r>
      <w:r w:rsidRPr="001234B2">
        <w:rPr>
          <w:rFonts w:ascii="Verdana" w:hAnsi="Verdana"/>
          <w:lang w:val="es-ES"/>
        </w:rPr>
        <w:t>. Se cumplieron los aspectos de la declaración de Helsinki,</w:t>
      </w:r>
      <w:r w:rsidRPr="001234B2">
        <w:rPr>
          <w:rFonts w:ascii="Verdana" w:hAnsi="Verdana"/>
          <w:vertAlign w:val="superscript"/>
          <w:lang w:val="es-ES"/>
        </w:rPr>
        <w:t xml:space="preserve"> (7)</w:t>
      </w:r>
      <w:r w:rsidRPr="001234B2">
        <w:rPr>
          <w:rFonts w:ascii="Verdana" w:hAnsi="Verdana"/>
          <w:lang w:val="es-ES"/>
        </w:rPr>
        <w:t xml:space="preserve"> y principios</w:t>
      </w:r>
      <w:r w:rsidR="008871F8" w:rsidRPr="001234B2">
        <w:rPr>
          <w:rFonts w:ascii="Verdana" w:hAnsi="Verdana"/>
          <w:lang w:val="es-ES"/>
        </w:rPr>
        <w:t xml:space="preserve"> de las Buenas Prácticas Clínicas para </w:t>
      </w:r>
      <w:r w:rsidRPr="001234B2">
        <w:rPr>
          <w:rFonts w:ascii="Verdana" w:hAnsi="Verdana"/>
          <w:lang w:val="es-ES"/>
        </w:rPr>
        <w:t>las investigaciones biomédicas.</w:t>
      </w:r>
    </w:p>
    <w:p w14:paraId="7C09914D" w14:textId="16181E9A" w:rsidR="007D3421" w:rsidRPr="007D3421" w:rsidRDefault="002B58E3" w:rsidP="007D3421">
      <w:pPr>
        <w:pStyle w:val="heading1"/>
        <w:numPr>
          <w:ilvl w:val="0"/>
          <w:numId w:val="0"/>
        </w:numPr>
        <w:rPr>
          <w:rFonts w:ascii="Verdana" w:hAnsi="Verdana" w:cs="Times New Roman"/>
          <w:sz w:val="22"/>
          <w:szCs w:val="22"/>
          <w:lang w:val="es-ES"/>
        </w:rPr>
      </w:pPr>
      <w:r w:rsidRPr="001234B2">
        <w:rPr>
          <w:rStyle w:val="AbsatzNormal"/>
          <w:rFonts w:ascii="Verdana" w:hAnsi="Verdana" w:cs="Times New Roman"/>
          <w:sz w:val="22"/>
          <w:szCs w:val="22"/>
          <w:lang w:val="es-ES"/>
        </w:rPr>
        <w:t>iii.Resultados</w:t>
      </w:r>
    </w:p>
    <w:p w14:paraId="02015FBC" w14:textId="5F4CA96C" w:rsidR="003060FE" w:rsidRPr="001234B2" w:rsidRDefault="002B58E3" w:rsidP="00F16EAF">
      <w:pPr>
        <w:autoSpaceDE w:val="0"/>
        <w:autoSpaceDN w:val="0"/>
        <w:adjustRightInd w:val="0"/>
        <w:ind w:right="27"/>
        <w:contextualSpacing/>
        <w:jc w:val="both"/>
        <w:rPr>
          <w:rFonts w:ascii="Verdana" w:hAnsi="Verdana"/>
          <w:lang w:val="es-ES"/>
        </w:rPr>
      </w:pPr>
      <w:r w:rsidRPr="001234B2">
        <w:rPr>
          <w:rFonts w:ascii="Verdana" w:hAnsi="Verdana"/>
          <w:lang w:val="es-ES"/>
        </w:rPr>
        <w:t>En el universo de estudio dentro de los criterios diagnósticos del SM, la totalidad del universo presentaba</w:t>
      </w:r>
      <w:r w:rsidR="008C7434" w:rsidRPr="001234B2">
        <w:rPr>
          <w:rFonts w:ascii="Verdana" w:hAnsi="Verdana"/>
          <w:lang w:val="es-ES"/>
        </w:rPr>
        <w:t xml:space="preserve"> cifras de colesterol dentro de límites normales e</w:t>
      </w:r>
      <w:r w:rsidRPr="001234B2">
        <w:rPr>
          <w:rFonts w:ascii="Verdana" w:hAnsi="Verdana"/>
          <w:lang w:val="es-ES"/>
        </w:rPr>
        <w:t xml:space="preserve"> hipertriglicerinemia</w:t>
      </w:r>
      <w:r w:rsidR="008C7434" w:rsidRPr="001234B2">
        <w:rPr>
          <w:rFonts w:ascii="Verdana" w:hAnsi="Verdana"/>
          <w:lang w:val="es-ES"/>
        </w:rPr>
        <w:t>,</w:t>
      </w:r>
      <w:r w:rsidRPr="001234B2">
        <w:rPr>
          <w:rFonts w:ascii="Verdana" w:hAnsi="Verdana"/>
          <w:lang w:val="es-ES"/>
        </w:rPr>
        <w:t xml:space="preserve"> aumento en medida de circunferencia abdominal</w:t>
      </w:r>
      <w:r w:rsidR="008C7434" w:rsidRPr="001234B2">
        <w:rPr>
          <w:rFonts w:ascii="Verdana" w:hAnsi="Verdana"/>
          <w:lang w:val="es-ES"/>
        </w:rPr>
        <w:t xml:space="preserve"> </w:t>
      </w:r>
      <w:r w:rsidR="00A92ACF" w:rsidRPr="001234B2">
        <w:rPr>
          <w:rFonts w:ascii="Verdana" w:hAnsi="Verdana"/>
          <w:lang w:val="es-ES"/>
        </w:rPr>
        <w:t>y mantenían</w:t>
      </w:r>
      <w:r w:rsidRPr="001234B2">
        <w:rPr>
          <w:rFonts w:ascii="Verdana" w:hAnsi="Verdana"/>
          <w:lang w:val="es-ES"/>
        </w:rPr>
        <w:t xml:space="preserve"> hábitos y estilos de vida poco saludables</w:t>
      </w:r>
      <w:r w:rsidR="003060FE" w:rsidRPr="001234B2">
        <w:rPr>
          <w:rFonts w:ascii="Verdana" w:hAnsi="Verdana"/>
          <w:lang w:val="es-ES"/>
        </w:rPr>
        <w:t>.</w:t>
      </w:r>
    </w:p>
    <w:p w14:paraId="45EADAEA" w14:textId="3356DD89" w:rsidR="005F7C5E" w:rsidRPr="001234B2" w:rsidRDefault="002B58E3" w:rsidP="00F16EAF">
      <w:pPr>
        <w:autoSpaceDE w:val="0"/>
        <w:autoSpaceDN w:val="0"/>
        <w:adjustRightInd w:val="0"/>
        <w:ind w:right="27"/>
        <w:contextualSpacing/>
        <w:jc w:val="both"/>
        <w:rPr>
          <w:rFonts w:ascii="Verdana" w:hAnsi="Verdana"/>
          <w:lang w:val="es-ES"/>
        </w:rPr>
      </w:pPr>
      <w:r w:rsidRPr="001234B2">
        <w:rPr>
          <w:rFonts w:ascii="Verdana" w:hAnsi="Verdana"/>
          <w:lang w:val="es-ES"/>
        </w:rPr>
        <w:t xml:space="preserve">Como mejores predictores del riesgo cardiovascular, se determinó la concentración de ApoA1 </w:t>
      </w:r>
      <w:r w:rsidR="005F7C5E" w:rsidRPr="001234B2">
        <w:rPr>
          <w:rFonts w:ascii="Verdana" w:hAnsi="Verdana"/>
          <w:lang w:val="es-ES"/>
        </w:rPr>
        <w:t xml:space="preserve">y Apo B100 </w:t>
      </w:r>
      <w:r w:rsidRPr="001234B2">
        <w:rPr>
          <w:rFonts w:ascii="Verdana" w:hAnsi="Verdana"/>
          <w:lang w:val="es-ES"/>
        </w:rPr>
        <w:t>según muestra la (</w:t>
      </w:r>
      <w:r w:rsidRPr="001234B2">
        <w:rPr>
          <w:rFonts w:ascii="Verdana" w:hAnsi="Verdana"/>
          <w:bCs/>
          <w:lang w:val="es-ES"/>
        </w:rPr>
        <w:t>fig. 1)</w:t>
      </w:r>
      <w:r w:rsidRPr="001234B2">
        <w:rPr>
          <w:rFonts w:ascii="Verdana" w:hAnsi="Verdana"/>
          <w:lang w:val="es-ES"/>
        </w:rPr>
        <w:t xml:space="preserve">, se aprecia tendencia al aumento </w:t>
      </w:r>
      <w:r w:rsidR="005F7C5E" w:rsidRPr="001234B2">
        <w:rPr>
          <w:rFonts w:ascii="Verdana" w:hAnsi="Verdana"/>
          <w:lang w:val="es-ES"/>
        </w:rPr>
        <w:t>en las Apo B y disminución en las Apo A</w:t>
      </w:r>
    </w:p>
    <w:p w14:paraId="5D952ED8" w14:textId="77777777" w:rsidR="002B58E3" w:rsidRPr="001234B2" w:rsidRDefault="002B58E3" w:rsidP="00F16EAF">
      <w:pPr>
        <w:autoSpaceDE w:val="0"/>
        <w:autoSpaceDN w:val="0"/>
        <w:adjustRightInd w:val="0"/>
        <w:ind w:right="27"/>
        <w:rPr>
          <w:rFonts w:ascii="Verdana" w:hAnsi="Verdana"/>
          <w:bCs/>
          <w:lang w:val="es-ES"/>
        </w:rPr>
      </w:pPr>
    </w:p>
    <w:p w14:paraId="0F9C9A1A" w14:textId="1FA8FC4C" w:rsidR="002B58E3" w:rsidRPr="001234B2" w:rsidRDefault="002B58E3" w:rsidP="001234B2">
      <w:pPr>
        <w:autoSpaceDE w:val="0"/>
        <w:autoSpaceDN w:val="0"/>
        <w:adjustRightInd w:val="0"/>
        <w:ind w:right="27"/>
        <w:rPr>
          <w:rFonts w:ascii="Verdana" w:hAnsi="Verdana"/>
          <w:bCs/>
          <w:lang w:val="es-ES"/>
        </w:rPr>
      </w:pPr>
      <w:r w:rsidRPr="001234B2">
        <w:rPr>
          <w:rFonts w:ascii="Verdana" w:hAnsi="Verdana"/>
          <w:b/>
          <w:lang w:val="es-ES"/>
        </w:rPr>
        <w:t>Figura. 1:</w:t>
      </w:r>
      <w:r w:rsidRPr="001234B2">
        <w:rPr>
          <w:rFonts w:ascii="Verdana" w:hAnsi="Verdana"/>
          <w:b/>
          <w:bCs/>
          <w:lang w:val="es-ES"/>
        </w:rPr>
        <w:t xml:space="preserve"> </w:t>
      </w:r>
      <w:r w:rsidRPr="001234B2">
        <w:rPr>
          <w:rFonts w:ascii="Verdana" w:hAnsi="Verdana"/>
          <w:bCs/>
          <w:lang w:val="es-ES"/>
        </w:rPr>
        <w:t>Concentración de Apolipoproteínas AI</w:t>
      </w:r>
      <w:r w:rsidR="007B1AC1" w:rsidRPr="001234B2">
        <w:rPr>
          <w:rFonts w:ascii="Verdana" w:hAnsi="Verdana"/>
          <w:bCs/>
          <w:lang w:val="es-ES"/>
        </w:rPr>
        <w:t xml:space="preserve"> y B100</w:t>
      </w:r>
      <w:r w:rsidRPr="001234B2">
        <w:rPr>
          <w:rFonts w:ascii="Verdana" w:hAnsi="Verdana"/>
          <w:bCs/>
          <w:lang w:val="es-ES"/>
        </w:rPr>
        <w:t xml:space="preserve"> (media) </w:t>
      </w:r>
      <w:r w:rsidR="005F7C5E" w:rsidRPr="001234B2">
        <w:rPr>
          <w:rFonts w:ascii="Verdana" w:hAnsi="Verdana"/>
          <w:bCs/>
          <w:lang w:val="es-ES"/>
        </w:rPr>
        <w:t>en la muestra de estudio</w:t>
      </w:r>
      <w:r w:rsidR="001234B2">
        <w:rPr>
          <w:rFonts w:ascii="Verdana" w:hAnsi="Verdana"/>
          <w:bCs/>
          <w:lang w:val="es-ES"/>
        </w:rPr>
        <w:t>.</w:t>
      </w:r>
    </w:p>
    <w:p w14:paraId="33B4640F" w14:textId="2AE9BB8A" w:rsidR="005F7C5E" w:rsidRDefault="005F7C5E" w:rsidP="005F7C5E">
      <w:pPr>
        <w:jc w:val="center"/>
        <w:rPr>
          <w:bCs/>
          <w:lang w:val="es-ES"/>
        </w:rPr>
      </w:pPr>
      <w:r>
        <w:rPr>
          <w:noProof/>
        </w:rPr>
        <w:drawing>
          <wp:inline distT="0" distB="0" distL="0" distR="0" wp14:anchorId="2E6F4E0F" wp14:editId="31806EF5">
            <wp:extent cx="5200650" cy="1933575"/>
            <wp:effectExtent l="0" t="0" r="0" b="9525"/>
            <wp:docPr id="9" name="Gráfico 9">
              <a:extLst xmlns:a="http://schemas.openxmlformats.org/drawingml/2006/main">
                <a:ext uri="{FF2B5EF4-FFF2-40B4-BE49-F238E27FC236}">
                  <a16:creationId xmlns:a16="http://schemas.microsoft.com/office/drawing/2014/main" id="{DE291F85-D484-52AE-1943-179F4E4B05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E900C9" w14:textId="2A1AAF88" w:rsidR="008C7434" w:rsidRPr="00AA4E51" w:rsidRDefault="002B58E3" w:rsidP="00AA4E51">
      <w:pPr>
        <w:jc w:val="center"/>
        <w:rPr>
          <w:bCs/>
          <w:lang w:val="es-ES"/>
        </w:rPr>
      </w:pPr>
      <w:r w:rsidRPr="00314128">
        <w:rPr>
          <w:bCs/>
          <w:lang w:val="es-ES"/>
        </w:rPr>
        <w:t>ApoA: Apolipoproteínas A1</w:t>
      </w:r>
      <w:r w:rsidR="005F7C5E">
        <w:rPr>
          <w:bCs/>
          <w:lang w:val="es-ES"/>
        </w:rPr>
        <w:t xml:space="preserve">        ApoB. Apolipoproteína B10</w:t>
      </w:r>
      <w:r w:rsidR="00AA4E51">
        <w:rPr>
          <w:bCs/>
          <w:lang w:val="es-ES"/>
        </w:rPr>
        <w:t>0</w:t>
      </w:r>
    </w:p>
    <w:p w14:paraId="5CDFBBE5" w14:textId="5F392FBB" w:rsidR="002B58E3" w:rsidRPr="001234B2" w:rsidRDefault="002B58E3" w:rsidP="00F16EAF">
      <w:pPr>
        <w:autoSpaceDE w:val="0"/>
        <w:autoSpaceDN w:val="0"/>
        <w:adjustRightInd w:val="0"/>
        <w:ind w:right="27"/>
        <w:jc w:val="both"/>
        <w:rPr>
          <w:rFonts w:ascii="Verdana" w:hAnsi="Verdana"/>
          <w:color w:val="000000"/>
          <w:lang w:val="es-ES"/>
        </w:rPr>
      </w:pPr>
      <w:r w:rsidRPr="001234B2">
        <w:rPr>
          <w:rFonts w:ascii="Verdana" w:hAnsi="Verdana"/>
          <w:lang w:val="es-ES"/>
        </w:rPr>
        <w:t xml:space="preserve">El índice aterogénico es la relación proaterogénica /antiaterogénica, protección /no protección (r ApoBApoA1= 1 decil), las cifras mayores a 1 decil aumentan </w:t>
      </w:r>
      <w:r w:rsidRPr="001234B2">
        <w:rPr>
          <w:rFonts w:ascii="Verdana" w:hAnsi="Verdana"/>
          <w:lang w:val="es-ES"/>
        </w:rPr>
        <w:lastRenderedPageBreak/>
        <w:t xml:space="preserve">el riesgo de enfermar. </w:t>
      </w:r>
      <w:r w:rsidRPr="001234B2">
        <w:rPr>
          <w:rFonts w:ascii="Verdana" w:hAnsi="Verdana"/>
          <w:color w:val="000000"/>
          <w:lang w:val="es-ES"/>
        </w:rPr>
        <w:t xml:space="preserve">En la (fig. </w:t>
      </w:r>
      <w:r w:rsidR="005F7C5E" w:rsidRPr="001234B2">
        <w:rPr>
          <w:rFonts w:ascii="Verdana" w:hAnsi="Verdana"/>
          <w:color w:val="000000"/>
          <w:lang w:val="es-ES"/>
        </w:rPr>
        <w:t>2</w:t>
      </w:r>
      <w:r w:rsidRPr="001234B2">
        <w:rPr>
          <w:rFonts w:ascii="Verdana" w:hAnsi="Verdana"/>
          <w:color w:val="000000"/>
          <w:lang w:val="es-ES"/>
        </w:rPr>
        <w:t xml:space="preserve">) se muestra valores con acercamiento </w:t>
      </w:r>
      <w:r w:rsidR="008C7434" w:rsidRPr="001234B2">
        <w:rPr>
          <w:rFonts w:ascii="Verdana" w:hAnsi="Verdana"/>
          <w:color w:val="000000"/>
          <w:lang w:val="es-ES"/>
        </w:rPr>
        <w:t>1,</w:t>
      </w:r>
      <w:r w:rsidRPr="001234B2">
        <w:rPr>
          <w:rFonts w:ascii="Verdana" w:hAnsi="Verdana"/>
          <w:color w:val="000000"/>
          <w:lang w:val="es-ES"/>
        </w:rPr>
        <w:t xml:space="preserve"> con tendencia a más protección</w:t>
      </w:r>
      <w:r w:rsidR="008C7434" w:rsidRPr="001234B2">
        <w:rPr>
          <w:rFonts w:ascii="Verdana" w:hAnsi="Verdana"/>
          <w:color w:val="000000"/>
          <w:lang w:val="es-ES"/>
        </w:rPr>
        <w:t>.</w:t>
      </w:r>
    </w:p>
    <w:p w14:paraId="26CD6670" w14:textId="1524EB0B" w:rsidR="008C7434" w:rsidRPr="001234B2" w:rsidRDefault="008C7434" w:rsidP="001234B2">
      <w:pPr>
        <w:tabs>
          <w:tab w:val="left" w:pos="7395"/>
        </w:tabs>
        <w:ind w:right="27"/>
        <w:jc w:val="both"/>
        <w:rPr>
          <w:rFonts w:ascii="Verdana" w:hAnsi="Verdana"/>
          <w:bCs/>
          <w:lang w:val="es-ES"/>
        </w:rPr>
      </w:pPr>
      <w:r w:rsidRPr="001234B2">
        <w:rPr>
          <w:rFonts w:ascii="Verdana" w:hAnsi="Verdana"/>
          <w:b/>
          <w:bCs/>
          <w:lang w:val="es-ES"/>
        </w:rPr>
        <w:t>Figura. 2:</w:t>
      </w:r>
      <w:r w:rsidRPr="001234B2">
        <w:rPr>
          <w:rFonts w:ascii="Verdana" w:hAnsi="Verdana"/>
          <w:lang w:val="es-ES"/>
        </w:rPr>
        <w:t xml:space="preserve"> Valores del índice </w:t>
      </w:r>
      <w:r w:rsidRPr="001234B2">
        <w:rPr>
          <w:rFonts w:ascii="Verdana" w:hAnsi="Verdana"/>
          <w:bCs/>
          <w:lang w:val="es-ES"/>
        </w:rPr>
        <w:t>rApoB/Apo A en la muestra de estudio</w:t>
      </w:r>
    </w:p>
    <w:p w14:paraId="2F5B2C76" w14:textId="4B9039CA" w:rsidR="008C7434" w:rsidRDefault="008C7434" w:rsidP="005F7C5E">
      <w:pPr>
        <w:autoSpaceDE w:val="0"/>
        <w:autoSpaceDN w:val="0"/>
        <w:adjustRightInd w:val="0"/>
        <w:ind w:right="27"/>
        <w:rPr>
          <w:color w:val="000000"/>
          <w:sz w:val="24"/>
          <w:szCs w:val="24"/>
          <w:lang w:val="es-ES"/>
        </w:rPr>
      </w:pPr>
      <w:r>
        <w:rPr>
          <w:noProof/>
        </w:rPr>
        <w:drawing>
          <wp:inline distT="0" distB="0" distL="0" distR="0" wp14:anchorId="7705DC03" wp14:editId="0799B85D">
            <wp:extent cx="5324475" cy="2076450"/>
            <wp:effectExtent l="0" t="0" r="9525" b="0"/>
            <wp:docPr id="15" name="Gráfico 15">
              <a:extLst xmlns:a="http://schemas.openxmlformats.org/drawingml/2006/main">
                <a:ext uri="{FF2B5EF4-FFF2-40B4-BE49-F238E27FC236}">
                  <a16:creationId xmlns:a16="http://schemas.microsoft.com/office/drawing/2014/main" id="{DFFBCB18-9C70-F9C5-8380-5C826B90D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381C3E" w14:textId="7A51D9F6" w:rsidR="008C7434" w:rsidRPr="001234B2" w:rsidRDefault="008C7434" w:rsidP="001234B2">
      <w:pPr>
        <w:spacing w:after="0" w:line="240" w:lineRule="auto"/>
        <w:jc w:val="center"/>
        <w:rPr>
          <w:rFonts w:ascii="Verdana" w:hAnsi="Verdana"/>
          <w:lang w:val="es-ES"/>
        </w:rPr>
      </w:pPr>
      <w:r w:rsidRPr="001234B2">
        <w:rPr>
          <w:rFonts w:ascii="Verdana" w:hAnsi="Verdana"/>
          <w:bCs/>
          <w:lang w:val="es-ES"/>
        </w:rPr>
        <w:t>VMR: Valor medio de referencia</w:t>
      </w:r>
    </w:p>
    <w:p w14:paraId="4E58D2BF" w14:textId="745B6D4D" w:rsidR="008C7434" w:rsidRPr="001234B2" w:rsidRDefault="008C7434" w:rsidP="001234B2">
      <w:pPr>
        <w:tabs>
          <w:tab w:val="left" w:pos="7395"/>
        </w:tabs>
        <w:spacing w:after="0" w:line="240" w:lineRule="auto"/>
        <w:ind w:right="27"/>
        <w:jc w:val="center"/>
        <w:rPr>
          <w:rFonts w:ascii="Verdana" w:hAnsi="Verdana"/>
          <w:bCs/>
          <w:lang w:val="es-ES"/>
        </w:rPr>
      </w:pPr>
      <w:r w:rsidRPr="001234B2">
        <w:rPr>
          <w:rFonts w:ascii="Verdana" w:hAnsi="Verdana"/>
          <w:bCs/>
          <w:lang w:val="es-ES"/>
        </w:rPr>
        <w:t>rApoB/Apo A: Relación Apolipoproteínas B/Apolipoproteína A</w:t>
      </w:r>
    </w:p>
    <w:p w14:paraId="727D2B6A" w14:textId="46F778DE" w:rsidR="008C7434" w:rsidRPr="001234B2" w:rsidRDefault="008C7434" w:rsidP="001234B2">
      <w:pPr>
        <w:tabs>
          <w:tab w:val="left" w:pos="7395"/>
        </w:tabs>
        <w:spacing w:after="0" w:line="240" w:lineRule="auto"/>
        <w:ind w:right="27"/>
        <w:jc w:val="both"/>
        <w:rPr>
          <w:rFonts w:ascii="Verdana" w:hAnsi="Verdana"/>
          <w:bCs/>
          <w:lang w:val="es-ES"/>
        </w:rPr>
      </w:pPr>
    </w:p>
    <w:p w14:paraId="1EE4C420" w14:textId="77777777" w:rsidR="008C7434" w:rsidRPr="001234B2" w:rsidRDefault="008C7434" w:rsidP="001234B2">
      <w:pPr>
        <w:tabs>
          <w:tab w:val="left" w:pos="7395"/>
        </w:tabs>
        <w:spacing w:after="0" w:line="240" w:lineRule="auto"/>
        <w:ind w:right="27"/>
        <w:jc w:val="both"/>
        <w:rPr>
          <w:rFonts w:ascii="Verdana" w:hAnsi="Verdana"/>
          <w:bCs/>
          <w:lang w:val="es-ES"/>
        </w:rPr>
      </w:pPr>
    </w:p>
    <w:p w14:paraId="0206231E" w14:textId="5E436439" w:rsidR="008C7434" w:rsidRPr="001234B2" w:rsidRDefault="008C7434" w:rsidP="001234B2">
      <w:pPr>
        <w:tabs>
          <w:tab w:val="left" w:pos="4972"/>
          <w:tab w:val="left" w:pos="7395"/>
        </w:tabs>
        <w:autoSpaceDE w:val="0"/>
        <w:autoSpaceDN w:val="0"/>
        <w:adjustRightInd w:val="0"/>
        <w:ind w:right="27"/>
        <w:jc w:val="both"/>
        <w:rPr>
          <w:rFonts w:ascii="Verdana" w:hAnsi="Verdana"/>
          <w:bCs/>
          <w:lang w:val="es-ES"/>
        </w:rPr>
      </w:pPr>
      <w:r w:rsidRPr="001234B2">
        <w:rPr>
          <w:rFonts w:ascii="Verdana" w:hAnsi="Verdana"/>
          <w:bCs/>
          <w:lang w:val="es-ES"/>
        </w:rPr>
        <w:t>La figura 3, muestra al determinar el índice (</w:t>
      </w:r>
      <w:r w:rsidRPr="001234B2">
        <w:rPr>
          <w:rFonts w:ascii="Verdana" w:hAnsi="Verdana"/>
          <w:b/>
          <w:bCs/>
          <w:lang w:val="es-ES"/>
        </w:rPr>
        <w:t xml:space="preserve">r </w:t>
      </w:r>
      <w:r w:rsidRPr="001234B2">
        <w:rPr>
          <w:rFonts w:ascii="Verdana" w:hAnsi="Verdana"/>
          <w:bCs/>
          <w:lang w:val="es-ES"/>
        </w:rPr>
        <w:t xml:space="preserve">ApoB/CT≤ 0,55 g/l), valores mayores por encima del VRM (0.72g/l) </w:t>
      </w:r>
    </w:p>
    <w:p w14:paraId="38E9C7B5" w14:textId="30E1FA6A" w:rsidR="008C7434" w:rsidRPr="001234B2" w:rsidRDefault="008C7434" w:rsidP="001234B2">
      <w:pPr>
        <w:tabs>
          <w:tab w:val="left" w:pos="7395"/>
        </w:tabs>
        <w:ind w:right="27"/>
        <w:jc w:val="both"/>
        <w:rPr>
          <w:rFonts w:ascii="Verdana" w:hAnsi="Verdana"/>
          <w:lang w:val="es-ES"/>
        </w:rPr>
      </w:pPr>
      <w:bookmarkStart w:id="1" w:name="_Hlk121211808"/>
      <w:r w:rsidRPr="001234B2">
        <w:rPr>
          <w:rFonts w:ascii="Verdana" w:hAnsi="Verdana"/>
          <w:b/>
          <w:bCs/>
          <w:lang w:val="es-ES"/>
        </w:rPr>
        <w:t xml:space="preserve">Figura. 3: </w:t>
      </w:r>
      <w:r w:rsidRPr="001234B2">
        <w:rPr>
          <w:rFonts w:ascii="Verdana" w:hAnsi="Verdana"/>
          <w:lang w:val="es-ES"/>
        </w:rPr>
        <w:t>Valores del índice rApoB/Col Total: Relación Apolipoproteínas B/Colesterol Total</w:t>
      </w:r>
    </w:p>
    <w:bookmarkEnd w:id="1"/>
    <w:p w14:paraId="2E27231B" w14:textId="40EF159F" w:rsidR="002B58E3" w:rsidRPr="008C7434" w:rsidRDefault="008C7434" w:rsidP="008C7434">
      <w:pPr>
        <w:autoSpaceDE w:val="0"/>
        <w:autoSpaceDN w:val="0"/>
        <w:adjustRightInd w:val="0"/>
        <w:ind w:right="27"/>
        <w:rPr>
          <w:color w:val="000000"/>
          <w:sz w:val="24"/>
          <w:szCs w:val="24"/>
          <w:lang w:val="es-ES"/>
        </w:rPr>
      </w:pPr>
      <w:r>
        <w:rPr>
          <w:noProof/>
        </w:rPr>
        <w:drawing>
          <wp:inline distT="0" distB="0" distL="0" distR="0" wp14:anchorId="2F91C05F" wp14:editId="0C9D6D4E">
            <wp:extent cx="5343525" cy="1905000"/>
            <wp:effectExtent l="0" t="0" r="9525" b="0"/>
            <wp:docPr id="16" name="Gráfico 16">
              <a:extLst xmlns:a="http://schemas.openxmlformats.org/drawingml/2006/main">
                <a:ext uri="{FF2B5EF4-FFF2-40B4-BE49-F238E27FC236}">
                  <a16:creationId xmlns:a16="http://schemas.microsoft.com/office/drawing/2014/main" id="{DFDA4905-BD83-5195-2828-EECD5C8B6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EA7FAE" w14:textId="77777777" w:rsidR="002737B7" w:rsidRPr="001234B2" w:rsidRDefault="002737B7" w:rsidP="002737B7">
      <w:pPr>
        <w:tabs>
          <w:tab w:val="left" w:pos="7395"/>
        </w:tabs>
        <w:ind w:right="27"/>
        <w:jc w:val="center"/>
        <w:rPr>
          <w:rFonts w:ascii="Verdana" w:hAnsi="Verdana"/>
          <w:bCs/>
          <w:lang w:val="es-ES"/>
        </w:rPr>
      </w:pPr>
      <w:r w:rsidRPr="001234B2">
        <w:rPr>
          <w:rFonts w:ascii="Verdana" w:hAnsi="Verdana"/>
          <w:bCs/>
          <w:lang w:val="es-ES"/>
        </w:rPr>
        <w:t>rApoB/Col Total: Relación Apolipoproteínas B/Colesterol Total</w:t>
      </w:r>
    </w:p>
    <w:p w14:paraId="2E7A7F6D" w14:textId="415BC099" w:rsidR="002B58E3" w:rsidRDefault="002B58E3" w:rsidP="002B58E3">
      <w:pPr>
        <w:ind w:right="27"/>
        <w:rPr>
          <w:bCs/>
          <w:sz w:val="24"/>
          <w:szCs w:val="24"/>
          <w:lang w:val="es-ES"/>
        </w:rPr>
      </w:pPr>
    </w:p>
    <w:p w14:paraId="77F87283" w14:textId="61C31B76" w:rsidR="001234B2" w:rsidRDefault="001234B2" w:rsidP="002B58E3">
      <w:pPr>
        <w:ind w:right="27"/>
        <w:rPr>
          <w:bCs/>
          <w:sz w:val="24"/>
          <w:szCs w:val="24"/>
          <w:lang w:val="es-ES"/>
        </w:rPr>
      </w:pPr>
    </w:p>
    <w:p w14:paraId="15015DEE" w14:textId="77777777" w:rsidR="00F16EAF" w:rsidRDefault="00F16EAF" w:rsidP="002B58E3">
      <w:pPr>
        <w:ind w:right="27"/>
        <w:rPr>
          <w:bCs/>
          <w:sz w:val="24"/>
          <w:szCs w:val="24"/>
          <w:lang w:val="es-ES"/>
        </w:rPr>
      </w:pPr>
    </w:p>
    <w:p w14:paraId="15137ECF" w14:textId="620069B5" w:rsidR="00A7078D" w:rsidRPr="007548EE" w:rsidRDefault="007548EE" w:rsidP="007D3421">
      <w:pPr>
        <w:spacing w:line="360" w:lineRule="auto"/>
        <w:ind w:left="227"/>
        <w:jc w:val="center"/>
        <w:rPr>
          <w:rFonts w:ascii="Verdana" w:hAnsi="Verdana"/>
          <w:lang w:val="es-ES"/>
        </w:rPr>
      </w:pPr>
      <w:r w:rsidRPr="007548EE">
        <w:rPr>
          <w:rFonts w:ascii="Verdana" w:hAnsi="Verdana"/>
          <w:lang w:val="es-ES"/>
        </w:rPr>
        <w:lastRenderedPageBreak/>
        <w:t>IV.</w:t>
      </w:r>
      <w:r>
        <w:rPr>
          <w:rFonts w:ascii="Verdana" w:hAnsi="Verdana"/>
          <w:lang w:val="es-ES"/>
        </w:rPr>
        <w:t xml:space="preserve"> </w:t>
      </w:r>
      <w:r w:rsidRPr="007548EE">
        <w:rPr>
          <w:rFonts w:ascii="Verdana" w:hAnsi="Verdana"/>
          <w:lang w:val="es-ES"/>
        </w:rPr>
        <w:t>DISCUSIÓN DE LOS RESULTADOS</w:t>
      </w:r>
    </w:p>
    <w:p w14:paraId="6712AF75" w14:textId="25F0A983" w:rsidR="002B58E3" w:rsidRPr="001234B2" w:rsidRDefault="002B58E3" w:rsidP="007D3421">
      <w:pPr>
        <w:spacing w:before="100" w:beforeAutospacing="1" w:after="100" w:afterAutospacing="1" w:line="360" w:lineRule="auto"/>
        <w:jc w:val="both"/>
        <w:rPr>
          <w:rFonts w:ascii="Verdana" w:eastAsia="Times New Roman" w:hAnsi="Verdana"/>
          <w:b/>
        </w:rPr>
      </w:pPr>
      <w:r w:rsidRPr="001234B2">
        <w:rPr>
          <w:rFonts w:ascii="Verdana" w:hAnsi="Verdana"/>
          <w:lang w:val="es-ES"/>
        </w:rPr>
        <w:t xml:space="preserve">Los resultados </w:t>
      </w:r>
      <w:r w:rsidR="00AA4E51" w:rsidRPr="001234B2">
        <w:rPr>
          <w:rFonts w:ascii="Verdana" w:hAnsi="Verdana"/>
          <w:lang w:val="es-ES"/>
        </w:rPr>
        <w:t xml:space="preserve">de la investigación, </w:t>
      </w:r>
      <w:r w:rsidRPr="001234B2">
        <w:rPr>
          <w:rFonts w:ascii="Verdana" w:hAnsi="Verdana"/>
          <w:lang w:val="es-ES"/>
        </w:rPr>
        <w:t xml:space="preserve">coinciden con la literatura consultada, </w:t>
      </w:r>
      <w:r w:rsidR="00A7078D" w:rsidRPr="001234B2">
        <w:rPr>
          <w:rFonts w:ascii="Verdana" w:hAnsi="Verdana"/>
        </w:rPr>
        <w:t>Los valores de TG se encontraron por encima de los considerados como normales (&gt;1,7Mmol/l</w:t>
      </w:r>
      <w:r w:rsidR="00AA4E51" w:rsidRPr="001234B2">
        <w:rPr>
          <w:rFonts w:ascii="Verdana" w:hAnsi="Verdana"/>
        </w:rPr>
        <w:t>), donde</w:t>
      </w:r>
      <w:r w:rsidRPr="001234B2">
        <w:rPr>
          <w:rFonts w:ascii="Verdana" w:hAnsi="Verdana"/>
          <w:lang w:val="es-ES"/>
        </w:rPr>
        <w:t xml:space="preserve"> en el SM existe una dislipidemia a expensas de los TG, estudios realizados muestran iguales resultados.</w:t>
      </w:r>
      <w:r w:rsidRPr="001234B2">
        <w:rPr>
          <w:rFonts w:ascii="Verdana" w:hAnsi="Verdana"/>
          <w:vertAlign w:val="superscript"/>
          <w:lang w:val="es-ES"/>
        </w:rPr>
        <w:t xml:space="preserve"> (3,4)</w:t>
      </w:r>
      <w:r w:rsidRPr="001234B2">
        <w:rPr>
          <w:rFonts w:ascii="Verdana" w:hAnsi="Verdana"/>
          <w:lang w:val="es-ES"/>
        </w:rPr>
        <w:t xml:space="preserve"> La Hipertriglicerinemia en el SM se relaciona en gran parte, al efecto que tiene el exceso de ácidos grasos libres sobre el hígado, con la síntesis de triglicéridos, el ensamblaje y la secreción de lipoproteínas de muy baja densidad ricas en colesterol (VLDLC). Esta alteración metabólica consiste en cambios cualitativos y cuantitativos de las lipoproteínas, los niveles aumentados de TG no se presentan aislados y se asocian con niveles disminuidos de HDL colesterol (ApoA1) y la presencia predominante de partículas de LDL pequeñas y densas (ApoB 100). A estos tres hallazgos se les considera la triada aterogénica.</w:t>
      </w:r>
      <w:r w:rsidRPr="001234B2">
        <w:rPr>
          <w:rFonts w:ascii="Verdana" w:hAnsi="Verdana"/>
          <w:vertAlign w:val="superscript"/>
          <w:lang w:val="es-ES"/>
        </w:rPr>
        <w:t xml:space="preserve"> (3,4,8) </w:t>
      </w:r>
      <w:r w:rsidRPr="001234B2">
        <w:rPr>
          <w:rFonts w:ascii="Verdana" w:hAnsi="Verdana"/>
          <w:lang w:val="es-ES"/>
        </w:rPr>
        <w:t>Se asumió la determinación de ApoA1 y ApoB como componentes fundamentales de las lipoproteínas HDL-c y LDL-c.</w:t>
      </w:r>
      <w:r w:rsidRPr="001234B2">
        <w:rPr>
          <w:rFonts w:ascii="Verdana" w:eastAsia="Times New Roman" w:hAnsi="Verdana"/>
          <w:color w:val="FF0000"/>
          <w:vertAlign w:val="superscript"/>
          <w:lang w:val="es-ES"/>
        </w:rPr>
        <w:t xml:space="preserve"> </w:t>
      </w:r>
      <w:r w:rsidRPr="001234B2">
        <w:rPr>
          <w:rFonts w:ascii="Verdana" w:eastAsia="Times New Roman" w:hAnsi="Verdana"/>
          <w:vertAlign w:val="superscript"/>
          <w:lang w:val="es-ES"/>
        </w:rPr>
        <w:t>(3,4, 8)</w:t>
      </w:r>
    </w:p>
    <w:p w14:paraId="3E43AF08" w14:textId="366C8398" w:rsidR="007C625D" w:rsidRPr="001234B2" w:rsidRDefault="00A7078D" w:rsidP="007D3421">
      <w:pPr>
        <w:spacing w:before="100" w:beforeAutospacing="1" w:after="100" w:afterAutospacing="1" w:line="360" w:lineRule="auto"/>
        <w:jc w:val="both"/>
        <w:rPr>
          <w:rFonts w:ascii="Verdana" w:hAnsi="Verdana"/>
        </w:rPr>
      </w:pPr>
      <w:r w:rsidRPr="001234B2">
        <w:rPr>
          <w:rFonts w:ascii="Verdana" w:hAnsi="Verdana"/>
        </w:rPr>
        <w:t>Se asumió la determinación de las Apoliproteínas A1 y B</w:t>
      </w:r>
      <w:r w:rsidR="007548EE">
        <w:rPr>
          <w:rFonts w:ascii="Verdana" w:hAnsi="Verdana"/>
        </w:rPr>
        <w:t xml:space="preserve">, </w:t>
      </w:r>
      <w:proofErr w:type="spellStart"/>
      <w:r w:rsidRPr="001234B2">
        <w:rPr>
          <w:rFonts w:ascii="Verdana" w:hAnsi="Verdana"/>
        </w:rPr>
        <w:t>componentes</w:t>
      </w:r>
      <w:proofErr w:type="spellEnd"/>
      <w:r w:rsidRPr="001234B2">
        <w:rPr>
          <w:rFonts w:ascii="Verdana" w:hAnsi="Verdana"/>
        </w:rPr>
        <w:t xml:space="preserve"> </w:t>
      </w:r>
      <w:proofErr w:type="spellStart"/>
      <w:r w:rsidRPr="001234B2">
        <w:rPr>
          <w:rFonts w:ascii="Verdana" w:hAnsi="Verdana"/>
        </w:rPr>
        <w:t>fundamentales</w:t>
      </w:r>
      <w:proofErr w:type="spellEnd"/>
      <w:r w:rsidRPr="001234B2">
        <w:rPr>
          <w:rFonts w:ascii="Verdana" w:hAnsi="Verdana"/>
        </w:rPr>
        <w:t xml:space="preserve"> de las </w:t>
      </w:r>
      <w:proofErr w:type="spellStart"/>
      <w:r w:rsidRPr="001234B2">
        <w:rPr>
          <w:rFonts w:ascii="Verdana" w:hAnsi="Verdana"/>
        </w:rPr>
        <w:t>lipoproteínas</w:t>
      </w:r>
      <w:proofErr w:type="spellEnd"/>
      <w:r w:rsidRPr="001234B2">
        <w:rPr>
          <w:rFonts w:ascii="Verdana" w:hAnsi="Verdana"/>
        </w:rPr>
        <w:t xml:space="preserve"> HDL C y LDL C, las que </w:t>
      </w:r>
      <w:proofErr w:type="spellStart"/>
      <w:r w:rsidRPr="001234B2">
        <w:rPr>
          <w:rFonts w:ascii="Verdana" w:hAnsi="Verdana"/>
        </w:rPr>
        <w:t>forman</w:t>
      </w:r>
      <w:proofErr w:type="spellEnd"/>
      <w:r w:rsidRPr="001234B2">
        <w:rPr>
          <w:rFonts w:ascii="Verdana" w:hAnsi="Verdana"/>
        </w:rPr>
        <w:t xml:space="preserve"> </w:t>
      </w:r>
      <w:proofErr w:type="spellStart"/>
      <w:r w:rsidRPr="001234B2">
        <w:rPr>
          <w:rFonts w:ascii="Verdana" w:hAnsi="Verdana"/>
        </w:rPr>
        <w:t>parte</w:t>
      </w:r>
      <w:proofErr w:type="spellEnd"/>
      <w:r w:rsidRPr="001234B2">
        <w:rPr>
          <w:rFonts w:ascii="Verdana" w:hAnsi="Verdana"/>
        </w:rPr>
        <w:t xml:space="preserve"> </w:t>
      </w:r>
      <w:r w:rsidR="007C625D" w:rsidRPr="001234B2">
        <w:rPr>
          <w:rFonts w:ascii="Verdana" w:hAnsi="Verdana"/>
        </w:rPr>
        <w:t xml:space="preserve">del </w:t>
      </w:r>
      <w:proofErr w:type="spellStart"/>
      <w:r w:rsidR="007C625D" w:rsidRPr="001234B2">
        <w:rPr>
          <w:rFonts w:ascii="Verdana" w:hAnsi="Verdana"/>
        </w:rPr>
        <w:t>perfil</w:t>
      </w:r>
      <w:proofErr w:type="spellEnd"/>
      <w:r w:rsidRPr="001234B2">
        <w:rPr>
          <w:rFonts w:ascii="Verdana" w:hAnsi="Verdana"/>
        </w:rPr>
        <w:t xml:space="preserve"> </w:t>
      </w:r>
      <w:proofErr w:type="spellStart"/>
      <w:r w:rsidRPr="001234B2">
        <w:rPr>
          <w:rFonts w:ascii="Verdana" w:hAnsi="Verdana"/>
        </w:rPr>
        <w:t>lipídico</w:t>
      </w:r>
      <w:proofErr w:type="spellEnd"/>
      <w:r w:rsidRPr="001234B2">
        <w:rPr>
          <w:rFonts w:ascii="Verdana" w:hAnsi="Verdana"/>
        </w:rPr>
        <w:t xml:space="preserve"> de </w:t>
      </w:r>
      <w:proofErr w:type="spellStart"/>
      <w:r w:rsidRPr="001234B2">
        <w:rPr>
          <w:rFonts w:ascii="Verdana" w:hAnsi="Verdana"/>
        </w:rPr>
        <w:t>rutina</w:t>
      </w:r>
      <w:proofErr w:type="spellEnd"/>
      <w:r w:rsidRPr="001234B2">
        <w:rPr>
          <w:rFonts w:ascii="Verdana" w:hAnsi="Verdana"/>
        </w:rPr>
        <w:t xml:space="preserve">. Las Apoliproteínas </w:t>
      </w:r>
      <w:proofErr w:type="spellStart"/>
      <w:r w:rsidRPr="001234B2">
        <w:rPr>
          <w:rFonts w:ascii="Verdana" w:hAnsi="Verdana"/>
        </w:rPr>
        <w:t>expresan</w:t>
      </w:r>
      <w:proofErr w:type="spellEnd"/>
      <w:r w:rsidRPr="001234B2">
        <w:rPr>
          <w:rFonts w:ascii="Verdana" w:hAnsi="Verdana"/>
        </w:rPr>
        <w:t xml:space="preserve"> en gran </w:t>
      </w:r>
      <w:proofErr w:type="spellStart"/>
      <w:r w:rsidRPr="001234B2">
        <w:rPr>
          <w:rFonts w:ascii="Verdana" w:hAnsi="Verdana"/>
        </w:rPr>
        <w:t>medida</w:t>
      </w:r>
      <w:proofErr w:type="spellEnd"/>
      <w:r w:rsidRPr="001234B2">
        <w:rPr>
          <w:rFonts w:ascii="Verdana" w:hAnsi="Verdana"/>
        </w:rPr>
        <w:t xml:space="preserve"> la </w:t>
      </w:r>
      <w:proofErr w:type="spellStart"/>
      <w:r w:rsidRPr="001234B2">
        <w:rPr>
          <w:rFonts w:ascii="Verdana" w:hAnsi="Verdana"/>
        </w:rPr>
        <w:t>concentración</w:t>
      </w:r>
      <w:proofErr w:type="spellEnd"/>
      <w:r w:rsidRPr="001234B2">
        <w:rPr>
          <w:rFonts w:ascii="Verdana" w:hAnsi="Verdana"/>
        </w:rPr>
        <w:t xml:space="preserve"> de las </w:t>
      </w:r>
      <w:proofErr w:type="spellStart"/>
      <w:r w:rsidRPr="001234B2">
        <w:rPr>
          <w:rFonts w:ascii="Verdana" w:hAnsi="Verdana"/>
        </w:rPr>
        <w:t>lipoproteínas</w:t>
      </w:r>
      <w:proofErr w:type="spellEnd"/>
      <w:r w:rsidRPr="001234B2">
        <w:rPr>
          <w:rFonts w:ascii="Verdana" w:hAnsi="Verdana"/>
        </w:rPr>
        <w:t xml:space="preserve"> de </w:t>
      </w:r>
      <w:proofErr w:type="spellStart"/>
      <w:r w:rsidRPr="001234B2">
        <w:rPr>
          <w:rFonts w:ascii="Verdana" w:hAnsi="Verdana"/>
        </w:rPr>
        <w:t>baja</w:t>
      </w:r>
      <w:proofErr w:type="spellEnd"/>
      <w:r w:rsidRPr="001234B2">
        <w:rPr>
          <w:rFonts w:ascii="Verdana" w:hAnsi="Verdana"/>
        </w:rPr>
        <w:t xml:space="preserve"> y </w:t>
      </w:r>
      <w:proofErr w:type="spellStart"/>
      <w:r w:rsidRPr="001234B2">
        <w:rPr>
          <w:rFonts w:ascii="Verdana" w:hAnsi="Verdana"/>
        </w:rPr>
        <w:t>alta</w:t>
      </w:r>
      <w:proofErr w:type="spellEnd"/>
      <w:r w:rsidRPr="001234B2">
        <w:rPr>
          <w:rFonts w:ascii="Verdana" w:hAnsi="Verdana"/>
        </w:rPr>
        <w:t xml:space="preserve"> </w:t>
      </w:r>
      <w:proofErr w:type="spellStart"/>
      <w:r w:rsidRPr="001234B2">
        <w:rPr>
          <w:rFonts w:ascii="Verdana" w:hAnsi="Verdana"/>
        </w:rPr>
        <w:t>densidad</w:t>
      </w:r>
      <w:proofErr w:type="spellEnd"/>
      <w:r w:rsidRPr="001234B2">
        <w:rPr>
          <w:rFonts w:ascii="Verdana" w:hAnsi="Verdana"/>
        </w:rPr>
        <w:t xml:space="preserve"> y </w:t>
      </w:r>
      <w:proofErr w:type="spellStart"/>
      <w:r w:rsidRPr="001234B2">
        <w:rPr>
          <w:rFonts w:ascii="Verdana" w:hAnsi="Verdana"/>
        </w:rPr>
        <w:t>revisten</w:t>
      </w:r>
      <w:proofErr w:type="spellEnd"/>
      <w:r w:rsidRPr="001234B2">
        <w:rPr>
          <w:rFonts w:ascii="Verdana" w:hAnsi="Verdana"/>
        </w:rPr>
        <w:t xml:space="preserve"> importancia en la </w:t>
      </w:r>
      <w:proofErr w:type="spellStart"/>
      <w:r w:rsidRPr="001234B2">
        <w:rPr>
          <w:rFonts w:ascii="Verdana" w:hAnsi="Verdana"/>
        </w:rPr>
        <w:t>predicción</w:t>
      </w:r>
      <w:proofErr w:type="spellEnd"/>
      <w:r w:rsidRPr="001234B2">
        <w:rPr>
          <w:rFonts w:ascii="Verdana" w:hAnsi="Verdana"/>
        </w:rPr>
        <w:t xml:space="preserve"> del </w:t>
      </w:r>
      <w:proofErr w:type="spellStart"/>
      <w:r w:rsidRPr="001234B2">
        <w:rPr>
          <w:rFonts w:ascii="Verdana" w:hAnsi="Verdana"/>
        </w:rPr>
        <w:t>riesgo</w:t>
      </w:r>
      <w:proofErr w:type="spellEnd"/>
      <w:r w:rsidRPr="001234B2">
        <w:rPr>
          <w:rFonts w:ascii="Verdana" w:hAnsi="Verdana"/>
        </w:rPr>
        <w:t xml:space="preserve"> cardiovascular. La Apo A1 es el principal </w:t>
      </w:r>
      <w:proofErr w:type="spellStart"/>
      <w:r w:rsidRPr="001234B2">
        <w:rPr>
          <w:rFonts w:ascii="Verdana" w:hAnsi="Verdana"/>
        </w:rPr>
        <w:t>componente</w:t>
      </w:r>
      <w:proofErr w:type="spellEnd"/>
      <w:r w:rsidRPr="001234B2">
        <w:rPr>
          <w:rFonts w:ascii="Verdana" w:hAnsi="Verdana"/>
        </w:rPr>
        <w:t xml:space="preserve"> </w:t>
      </w:r>
      <w:proofErr w:type="spellStart"/>
      <w:r w:rsidRPr="001234B2">
        <w:rPr>
          <w:rFonts w:ascii="Verdana" w:hAnsi="Verdana"/>
        </w:rPr>
        <w:t>proteínico</w:t>
      </w:r>
      <w:proofErr w:type="spellEnd"/>
      <w:r w:rsidRPr="001234B2">
        <w:rPr>
          <w:rFonts w:ascii="Verdana" w:hAnsi="Verdana"/>
        </w:rPr>
        <w:t xml:space="preserve"> de las </w:t>
      </w:r>
      <w:proofErr w:type="spellStart"/>
      <w:r w:rsidRPr="001234B2">
        <w:rPr>
          <w:rFonts w:ascii="Verdana" w:hAnsi="Verdana"/>
        </w:rPr>
        <w:t>lipoproteínas</w:t>
      </w:r>
      <w:proofErr w:type="spellEnd"/>
      <w:r w:rsidRPr="001234B2">
        <w:rPr>
          <w:rFonts w:ascii="Verdana" w:hAnsi="Verdana"/>
        </w:rPr>
        <w:t xml:space="preserve"> de </w:t>
      </w:r>
      <w:proofErr w:type="spellStart"/>
      <w:r w:rsidRPr="001234B2">
        <w:rPr>
          <w:rFonts w:ascii="Verdana" w:hAnsi="Verdana"/>
        </w:rPr>
        <w:t>alta</w:t>
      </w:r>
      <w:proofErr w:type="spellEnd"/>
      <w:r w:rsidRPr="001234B2">
        <w:rPr>
          <w:rFonts w:ascii="Verdana" w:hAnsi="Verdana"/>
        </w:rPr>
        <w:t xml:space="preserve"> </w:t>
      </w:r>
      <w:proofErr w:type="spellStart"/>
      <w:r w:rsidRPr="001234B2">
        <w:rPr>
          <w:rFonts w:ascii="Verdana" w:hAnsi="Verdana"/>
        </w:rPr>
        <w:t>densidad</w:t>
      </w:r>
      <w:proofErr w:type="spellEnd"/>
      <w:r w:rsidRPr="001234B2">
        <w:rPr>
          <w:rFonts w:ascii="Verdana" w:hAnsi="Verdana"/>
        </w:rPr>
        <w:t xml:space="preserve"> (high density lipoproteins: HDL), que </w:t>
      </w:r>
      <w:proofErr w:type="spellStart"/>
      <w:r w:rsidRPr="001234B2">
        <w:rPr>
          <w:rFonts w:ascii="Verdana" w:hAnsi="Verdana"/>
        </w:rPr>
        <w:t>eliminan</w:t>
      </w:r>
      <w:proofErr w:type="spellEnd"/>
      <w:r w:rsidRPr="001234B2">
        <w:rPr>
          <w:rFonts w:ascii="Verdana" w:hAnsi="Verdana"/>
        </w:rPr>
        <w:t xml:space="preserve"> el</w:t>
      </w:r>
      <w:r w:rsidRPr="001234B2">
        <w:rPr>
          <w:rFonts w:ascii="Verdana" w:hAnsi="Verdana" w:cs="Arial"/>
        </w:rPr>
        <w:t xml:space="preserve"> </w:t>
      </w:r>
      <w:proofErr w:type="spellStart"/>
      <w:r w:rsidRPr="001234B2">
        <w:rPr>
          <w:rFonts w:ascii="Verdana" w:hAnsi="Verdana"/>
        </w:rPr>
        <w:t>colesterol</w:t>
      </w:r>
      <w:proofErr w:type="spellEnd"/>
      <w:r w:rsidRPr="001234B2">
        <w:rPr>
          <w:rFonts w:ascii="Verdana" w:hAnsi="Verdana"/>
        </w:rPr>
        <w:t xml:space="preserve"> de las </w:t>
      </w:r>
      <w:proofErr w:type="spellStart"/>
      <w:r w:rsidRPr="001234B2">
        <w:rPr>
          <w:rFonts w:ascii="Verdana" w:hAnsi="Verdana"/>
        </w:rPr>
        <w:t>células</w:t>
      </w:r>
      <w:proofErr w:type="spellEnd"/>
      <w:r w:rsidRPr="001234B2">
        <w:rPr>
          <w:rFonts w:ascii="Verdana" w:hAnsi="Verdana"/>
        </w:rPr>
        <w:t xml:space="preserve"> y, por tanto, </w:t>
      </w:r>
      <w:proofErr w:type="spellStart"/>
      <w:r w:rsidRPr="001234B2">
        <w:rPr>
          <w:rFonts w:ascii="Verdana" w:hAnsi="Verdana"/>
        </w:rPr>
        <w:t>tienen</w:t>
      </w:r>
      <w:proofErr w:type="spellEnd"/>
      <w:r w:rsidRPr="001234B2">
        <w:rPr>
          <w:rFonts w:ascii="Verdana" w:hAnsi="Verdana"/>
        </w:rPr>
        <w:t xml:space="preserve"> un </w:t>
      </w:r>
      <w:proofErr w:type="spellStart"/>
      <w:r w:rsidRPr="001234B2">
        <w:rPr>
          <w:rFonts w:ascii="Verdana" w:hAnsi="Verdana"/>
        </w:rPr>
        <w:t>efecto</w:t>
      </w:r>
      <w:proofErr w:type="spellEnd"/>
      <w:r w:rsidRPr="001234B2">
        <w:rPr>
          <w:rFonts w:ascii="Verdana" w:hAnsi="Verdana"/>
        </w:rPr>
        <w:t xml:space="preserve"> de </w:t>
      </w:r>
      <w:proofErr w:type="spellStart"/>
      <w:r w:rsidRPr="001234B2">
        <w:rPr>
          <w:rFonts w:ascii="Verdana" w:hAnsi="Verdana"/>
        </w:rPr>
        <w:t>protección</w:t>
      </w:r>
      <w:proofErr w:type="spellEnd"/>
      <w:r w:rsidRPr="001234B2">
        <w:rPr>
          <w:rFonts w:ascii="Verdana" w:hAnsi="Verdana"/>
        </w:rPr>
        <w:t xml:space="preserve"> </w:t>
      </w:r>
      <w:proofErr w:type="spellStart"/>
      <w:r w:rsidRPr="001234B2">
        <w:rPr>
          <w:rFonts w:ascii="Verdana" w:hAnsi="Verdana"/>
        </w:rPr>
        <w:t>frente</w:t>
      </w:r>
      <w:proofErr w:type="spellEnd"/>
      <w:r w:rsidRPr="001234B2">
        <w:rPr>
          <w:rFonts w:ascii="Verdana" w:hAnsi="Verdana"/>
        </w:rPr>
        <w:t xml:space="preserve"> a la </w:t>
      </w:r>
      <w:proofErr w:type="spellStart"/>
      <w:r w:rsidRPr="001234B2">
        <w:rPr>
          <w:rFonts w:ascii="Verdana" w:hAnsi="Verdana"/>
        </w:rPr>
        <w:t>ateroesclerosis</w:t>
      </w:r>
      <w:proofErr w:type="spellEnd"/>
      <w:r w:rsidRPr="001234B2">
        <w:rPr>
          <w:rFonts w:ascii="Verdana" w:hAnsi="Verdana"/>
        </w:rPr>
        <w:t>.</w:t>
      </w:r>
    </w:p>
    <w:p w14:paraId="1033BAD3" w14:textId="5BF417D8" w:rsidR="00F7494C" w:rsidRPr="001234B2" w:rsidRDefault="002B58E3" w:rsidP="007D3421">
      <w:pPr>
        <w:spacing w:before="100" w:beforeAutospacing="1" w:after="100" w:afterAutospacing="1" w:line="360" w:lineRule="auto"/>
        <w:jc w:val="both"/>
        <w:rPr>
          <w:rFonts w:ascii="Verdana" w:hAnsi="Verdana"/>
        </w:rPr>
      </w:pPr>
      <w:r w:rsidRPr="001234B2">
        <w:rPr>
          <w:rFonts w:ascii="Verdana" w:hAnsi="Verdana"/>
          <w:lang w:val="es-ES"/>
        </w:rPr>
        <w:t>En la investigación , los valores de ApoA1, se encontraron disminuidos, y coinciden con otros estudios realizados,</w:t>
      </w:r>
      <w:r w:rsidRPr="001234B2">
        <w:rPr>
          <w:rFonts w:ascii="Verdana" w:hAnsi="Verdana"/>
          <w:vertAlign w:val="superscript"/>
          <w:lang w:val="es-ES"/>
        </w:rPr>
        <w:t>(9,10,11)</w:t>
      </w:r>
      <w:r w:rsidRPr="001234B2">
        <w:rPr>
          <w:rFonts w:ascii="Verdana" w:hAnsi="Verdana"/>
          <w:lang w:val="es-ES"/>
        </w:rPr>
        <w:t xml:space="preserve"> donde la tendencia a la  disminución de la ApoA1 se relaciona con el nivel de TG elevados encontrado, asociados con niveles disminuidos de HDL-c (ApoA1) y la presencia predominante de partículas de LDL pequeñas y densas (ApoB100); al estar disminuidos estos valores no se realiza el lavado rápido y eficiente del exceso del colesterol , no se almacena como éster de colesterol, el transporte del </w:t>
      </w:r>
      <w:r w:rsidRPr="001234B2">
        <w:rPr>
          <w:rFonts w:ascii="Verdana" w:hAnsi="Verdana"/>
          <w:lang w:val="es-ES"/>
        </w:rPr>
        <w:lastRenderedPageBreak/>
        <w:t>colesterol  desde las células extra hepáticas hacia el hígado se dificulta y así su eliminación por la bilis y no se produce el efecto protector de dicha lipoproteína contra la aterosclerosis y deficiente funcionabilidad del HDL-c.</w:t>
      </w:r>
      <w:r w:rsidRPr="001234B2">
        <w:rPr>
          <w:rFonts w:ascii="Verdana" w:hAnsi="Verdana"/>
          <w:vertAlign w:val="superscript"/>
          <w:lang w:val="es-ES"/>
        </w:rPr>
        <w:t>(9,10,11)</w:t>
      </w:r>
    </w:p>
    <w:p w14:paraId="52E2181C" w14:textId="3C1F19F6" w:rsidR="002B58E3" w:rsidRPr="001234B2" w:rsidRDefault="002B58E3" w:rsidP="007D3421">
      <w:pPr>
        <w:spacing w:line="360" w:lineRule="auto"/>
        <w:ind w:right="27"/>
        <w:jc w:val="both"/>
        <w:rPr>
          <w:rFonts w:ascii="Verdana" w:hAnsi="Verdana"/>
          <w:lang w:val="es-ES"/>
        </w:rPr>
      </w:pPr>
      <w:r w:rsidRPr="001234B2">
        <w:rPr>
          <w:rFonts w:ascii="Verdana" w:hAnsi="Verdana"/>
          <w:lang w:val="es-ES"/>
        </w:rPr>
        <w:t xml:space="preserve">Las concentraciones de ApoB, </w:t>
      </w:r>
      <w:r w:rsidR="00AD6E85" w:rsidRPr="001234B2">
        <w:rPr>
          <w:rFonts w:ascii="Verdana" w:hAnsi="Verdana"/>
          <w:lang w:val="es-ES"/>
        </w:rPr>
        <w:t xml:space="preserve">se encontraban por encima de los valores normales, </w:t>
      </w:r>
      <w:r w:rsidRPr="001234B2">
        <w:rPr>
          <w:rFonts w:ascii="Verdana" w:hAnsi="Verdana"/>
          <w:lang w:val="es-ES"/>
        </w:rPr>
        <w:t xml:space="preserve">iguales resultados muestran estudios </w:t>
      </w:r>
      <w:r w:rsidRPr="001234B2">
        <w:rPr>
          <w:rFonts w:ascii="Verdana" w:hAnsi="Verdana"/>
          <w:vertAlign w:val="superscript"/>
          <w:lang w:val="es-ES"/>
        </w:rPr>
        <w:t xml:space="preserve">(9,10) </w:t>
      </w:r>
      <w:r w:rsidRPr="001234B2">
        <w:rPr>
          <w:rFonts w:ascii="Verdana" w:hAnsi="Verdana"/>
          <w:lang w:val="es-ES"/>
        </w:rPr>
        <w:t xml:space="preserve">antes mencionados, relacionados con la hipertriglicerinemia, un incremento de las partículas de LDL pequeñas y densas (ApoB100). </w:t>
      </w:r>
    </w:p>
    <w:p w14:paraId="46C3C6A2" w14:textId="77777777" w:rsidR="002B58E3" w:rsidRPr="001234B2" w:rsidRDefault="002B58E3" w:rsidP="007D3421">
      <w:pPr>
        <w:spacing w:line="360" w:lineRule="auto"/>
        <w:jc w:val="both"/>
        <w:rPr>
          <w:rFonts w:ascii="Verdana" w:eastAsia="Times New Roman" w:hAnsi="Verdana"/>
          <w:color w:val="FF0000"/>
          <w:lang w:val="es-ES" w:eastAsia="es-ES"/>
        </w:rPr>
      </w:pPr>
      <w:r w:rsidRPr="001234B2">
        <w:rPr>
          <w:rFonts w:ascii="Verdana" w:eastAsia="Times New Roman" w:hAnsi="Verdana"/>
          <w:lang w:val="es-ES" w:eastAsia="es-ES"/>
        </w:rPr>
        <w:t xml:space="preserve">Los resultados obtenidos, dan soporte a la propuesta realizada por varios investigadores </w:t>
      </w:r>
      <w:r w:rsidRPr="001234B2">
        <w:rPr>
          <w:rFonts w:ascii="Verdana" w:eastAsia="Times New Roman" w:hAnsi="Verdana"/>
          <w:vertAlign w:val="superscript"/>
          <w:lang w:val="es-ES" w:eastAsia="es-ES"/>
        </w:rPr>
        <w:t>(11,12)</w:t>
      </w:r>
      <w:r w:rsidRPr="001234B2">
        <w:rPr>
          <w:rFonts w:ascii="Verdana" w:eastAsia="Times New Roman" w:hAnsi="Verdana"/>
          <w:lang w:val="es-ES" w:eastAsia="es-ES"/>
        </w:rPr>
        <w:t xml:space="preserve"> quienes señalan que la ApoB es el indicador predictor del potencial aterogénico total, contenido en las partículas de LDL y VLDL, encontraron que los niveles elevados de ApoB, se asocian al incremento en el riesgo a desarrollar SM, donde los niveles de ApoB, representan un marcador independiente para su predicción</w:t>
      </w:r>
      <w:r w:rsidRPr="001234B2">
        <w:rPr>
          <w:rFonts w:ascii="Verdana" w:hAnsi="Verdana"/>
          <w:color w:val="FF0000"/>
          <w:lang w:val="es-ES"/>
        </w:rPr>
        <w:t xml:space="preserve">. </w:t>
      </w:r>
      <w:r w:rsidRPr="001234B2">
        <w:rPr>
          <w:rFonts w:ascii="Verdana" w:hAnsi="Verdana"/>
          <w:lang w:val="es-ES"/>
        </w:rPr>
        <w:t>Estos resultados apoyan la inclusión de la determinación de los niveles séricos de ApoB como parte del estudio del perfil lipídico en los laboratorios clínicos, para lograr un mejor abordaje de los pacientes con SM.</w:t>
      </w:r>
      <w:r w:rsidRPr="001234B2">
        <w:rPr>
          <w:rFonts w:ascii="Verdana" w:hAnsi="Verdana"/>
          <w:vertAlign w:val="superscript"/>
          <w:lang w:val="es-ES"/>
        </w:rPr>
        <w:t xml:space="preserve"> (11,13,15)</w:t>
      </w:r>
    </w:p>
    <w:p w14:paraId="5FA8143C" w14:textId="7FD9E4B9" w:rsidR="002B58E3" w:rsidRPr="001234B2" w:rsidRDefault="002B58E3" w:rsidP="007D3421">
      <w:pPr>
        <w:spacing w:line="360" w:lineRule="auto"/>
        <w:ind w:right="27"/>
        <w:jc w:val="both"/>
        <w:rPr>
          <w:rFonts w:ascii="Verdana" w:hAnsi="Verdana"/>
          <w:lang w:val="es-ES"/>
        </w:rPr>
      </w:pPr>
      <w:r w:rsidRPr="001234B2">
        <w:rPr>
          <w:rFonts w:ascii="Verdana" w:hAnsi="Verdana"/>
          <w:lang w:val="es-ES"/>
        </w:rPr>
        <w:t>Estudios,</w:t>
      </w:r>
      <w:r w:rsidRPr="001234B2">
        <w:rPr>
          <w:rFonts w:ascii="Verdana" w:hAnsi="Verdana"/>
          <w:vertAlign w:val="superscript"/>
          <w:lang w:val="es-ES"/>
        </w:rPr>
        <w:t xml:space="preserve"> (11,12) </w:t>
      </w:r>
      <w:r w:rsidRPr="001234B2">
        <w:rPr>
          <w:rFonts w:ascii="Verdana" w:hAnsi="Verdana"/>
          <w:lang w:val="es-ES"/>
        </w:rPr>
        <w:t>coinciden con que las concentraciones séricas de ApoB y ApoA1, la relación ApoB/ApoA1, predicen mejor el riesgo cardiovascular que otros indicadores rutinarios del perfil lipídico como el colesterol y factores de RCV (tabaquismo, dislipidemia, hipertensión, obesidad, diabetes).</w:t>
      </w:r>
      <w:r w:rsidRPr="001234B2">
        <w:rPr>
          <w:rFonts w:ascii="Verdana" w:hAnsi="Verdana"/>
          <w:vertAlign w:val="superscript"/>
          <w:lang w:val="es-ES"/>
        </w:rPr>
        <w:t xml:space="preserve"> </w:t>
      </w:r>
      <w:r w:rsidRPr="001234B2">
        <w:rPr>
          <w:rFonts w:ascii="Verdana" w:hAnsi="Verdana"/>
          <w:lang w:val="es-ES"/>
        </w:rPr>
        <w:t>Se demostró en los individuos estudiados, la alta prevalencia de perfil apolipoprotéico alterado, asociado a los principales factores de riesgo del SM y de la ECV.</w:t>
      </w:r>
      <w:r w:rsidRPr="001234B2">
        <w:rPr>
          <w:rFonts w:ascii="Verdana" w:hAnsi="Verdana"/>
          <w:vertAlign w:val="superscript"/>
          <w:lang w:val="es-ES"/>
        </w:rPr>
        <w:t xml:space="preserve"> (9,10,11,13)</w:t>
      </w:r>
    </w:p>
    <w:p w14:paraId="4F0A5EC1" w14:textId="0D1914F4" w:rsidR="002B58E3" w:rsidRPr="001234B2" w:rsidRDefault="002B58E3" w:rsidP="007D3421">
      <w:pPr>
        <w:spacing w:line="360" w:lineRule="auto"/>
        <w:ind w:right="27"/>
        <w:jc w:val="both"/>
        <w:rPr>
          <w:rFonts w:ascii="Verdana" w:hAnsi="Verdana"/>
          <w:lang w:val="es-ES"/>
        </w:rPr>
      </w:pPr>
      <w:r w:rsidRPr="001234B2">
        <w:rPr>
          <w:rFonts w:ascii="Verdana" w:hAnsi="Verdana"/>
          <w:lang w:val="es-ES"/>
        </w:rPr>
        <w:t xml:space="preserve">Al determinar la relación rApoB/ApoA 1 </w:t>
      </w:r>
      <w:r w:rsidRPr="001234B2">
        <w:rPr>
          <w:rFonts w:ascii="Verdana" w:hAnsi="Verdana"/>
          <w:bCs/>
          <w:lang w:val="es-ES"/>
        </w:rPr>
        <w:t>se registraron valores cercanos a 1, lo que indica que existe mayor protección, l</w:t>
      </w:r>
      <w:r w:rsidRPr="001234B2">
        <w:rPr>
          <w:rFonts w:ascii="Verdana" w:hAnsi="Verdana"/>
          <w:lang w:val="es-ES"/>
        </w:rPr>
        <w:t xml:space="preserve">os resultados coinciden con estudios como </w:t>
      </w:r>
      <w:r w:rsidRPr="001234B2">
        <w:rPr>
          <w:rFonts w:ascii="Verdana" w:hAnsi="Verdana"/>
          <w:i/>
          <w:lang w:val="es-ES"/>
        </w:rPr>
        <w:t>INTERHEART,</w:t>
      </w:r>
      <w:r w:rsidRPr="001234B2">
        <w:rPr>
          <w:rFonts w:ascii="Verdana" w:hAnsi="Verdana"/>
          <w:vertAlign w:val="superscript"/>
          <w:lang w:val="es-ES"/>
        </w:rPr>
        <w:t xml:space="preserve"> (9)</w:t>
      </w:r>
      <w:r w:rsidRPr="001234B2">
        <w:rPr>
          <w:rFonts w:ascii="Verdana" w:hAnsi="Verdana"/>
          <w:lang w:val="es-ES"/>
        </w:rPr>
        <w:t xml:space="preserve"> donde se demostró que la rApoB/ApoA, es un mejor marcador de riesgo cardiovascular.</w:t>
      </w:r>
    </w:p>
    <w:p w14:paraId="5BE1FC0F" w14:textId="35BF1673" w:rsidR="002B58E3" w:rsidRPr="001234B2" w:rsidRDefault="007C625D" w:rsidP="007D3421">
      <w:pPr>
        <w:spacing w:line="360" w:lineRule="auto"/>
        <w:ind w:right="27"/>
        <w:jc w:val="both"/>
        <w:rPr>
          <w:rFonts w:ascii="Verdana" w:hAnsi="Verdana"/>
          <w:vertAlign w:val="superscript"/>
          <w:lang w:val="es-ES"/>
        </w:rPr>
      </w:pPr>
      <w:r w:rsidRPr="001234B2">
        <w:rPr>
          <w:rFonts w:ascii="Verdana" w:hAnsi="Verdana"/>
          <w:lang w:val="es-ES"/>
        </w:rPr>
        <w:t>L</w:t>
      </w:r>
      <w:r w:rsidR="002B58E3" w:rsidRPr="001234B2">
        <w:rPr>
          <w:rFonts w:ascii="Verdana" w:hAnsi="Verdana"/>
          <w:lang w:val="es-ES"/>
        </w:rPr>
        <w:t xml:space="preserve">os niveles de ApoB </w:t>
      </w:r>
      <w:r w:rsidRPr="001234B2">
        <w:rPr>
          <w:rFonts w:ascii="Verdana" w:hAnsi="Verdana"/>
          <w:lang w:val="es-ES"/>
        </w:rPr>
        <w:t xml:space="preserve">estiman </w:t>
      </w:r>
      <w:r w:rsidR="002B58E3" w:rsidRPr="001234B2">
        <w:rPr>
          <w:rFonts w:ascii="Verdana" w:hAnsi="Verdana"/>
          <w:lang w:val="es-ES"/>
        </w:rPr>
        <w:t>el número de partículas aterogénicas y las concentraciones de ApoA1 reflejan mejor la funcionalidad del HDL que la simple medición del C-HDL, es decir, la relación de ApoB/ApoA 1, es más importante que la cantidad de lípido que lleva cada una.</w:t>
      </w:r>
      <w:r w:rsidR="002B58E3" w:rsidRPr="001234B2">
        <w:rPr>
          <w:rFonts w:ascii="Verdana" w:hAnsi="Verdana"/>
          <w:vertAlign w:val="superscript"/>
          <w:lang w:val="es-ES"/>
        </w:rPr>
        <w:t xml:space="preserve"> (9,10,13) </w:t>
      </w:r>
      <w:r w:rsidR="002B58E3" w:rsidRPr="001234B2">
        <w:rPr>
          <w:rFonts w:ascii="Verdana" w:hAnsi="Verdana"/>
          <w:bCs/>
          <w:lang w:val="es-ES"/>
        </w:rPr>
        <w:t>Este</w:t>
      </w:r>
      <w:r w:rsidR="002B58E3" w:rsidRPr="001234B2">
        <w:rPr>
          <w:rFonts w:ascii="Verdana" w:hAnsi="Verdana"/>
          <w:lang w:val="es-ES"/>
        </w:rPr>
        <w:t xml:space="preserve"> cociente refleja el </w:t>
      </w:r>
      <w:r w:rsidR="002B58E3" w:rsidRPr="001234B2">
        <w:rPr>
          <w:rFonts w:ascii="Verdana" w:hAnsi="Verdana"/>
          <w:lang w:val="es-ES"/>
        </w:rPr>
        <w:lastRenderedPageBreak/>
        <w:t>equilibrio entre el transporte de colesterol a los tejidos periféricos y el transporte reverso de colesterol hacia el hígado, a mayor índice será susceptible de inducir disfunción endotelial y desencadenar o acelerar el proceso aterogénico, cuanto menor sea, menor será también la agresión vascular, más eficaz el transporte reverso de colesterol y menor será el riesgo de enfermedad cardiovascular.</w:t>
      </w:r>
      <w:r w:rsidR="002B58E3" w:rsidRPr="001234B2">
        <w:rPr>
          <w:rFonts w:ascii="Verdana" w:hAnsi="Verdana"/>
          <w:vertAlign w:val="superscript"/>
          <w:lang w:val="es-ES"/>
        </w:rPr>
        <w:t xml:space="preserve"> </w:t>
      </w:r>
    </w:p>
    <w:p w14:paraId="7D17FE92" w14:textId="1BE49033" w:rsidR="00F16EAF" w:rsidRPr="001234B2" w:rsidRDefault="00AD6E85" w:rsidP="007D3421">
      <w:pPr>
        <w:spacing w:line="360" w:lineRule="auto"/>
        <w:ind w:right="27"/>
        <w:jc w:val="both"/>
        <w:rPr>
          <w:rFonts w:ascii="Verdana" w:hAnsi="Verdana"/>
          <w:color w:val="FF0000"/>
          <w:lang w:val="es-ES"/>
        </w:rPr>
      </w:pPr>
      <w:r w:rsidRPr="001234B2">
        <w:rPr>
          <w:rFonts w:ascii="Verdana" w:hAnsi="Verdana"/>
          <w:lang w:val="es-ES"/>
        </w:rPr>
        <w:t>S</w:t>
      </w:r>
      <w:r w:rsidR="002B58E3" w:rsidRPr="001234B2">
        <w:rPr>
          <w:rFonts w:ascii="Verdana" w:hAnsi="Verdana"/>
          <w:lang w:val="es-ES"/>
        </w:rPr>
        <w:t>e observó</w:t>
      </w:r>
      <w:r w:rsidRPr="001234B2">
        <w:rPr>
          <w:rFonts w:ascii="Verdana" w:hAnsi="Verdana"/>
          <w:lang w:val="es-ES"/>
        </w:rPr>
        <w:t xml:space="preserve"> para la r ApoB/Col.T</w:t>
      </w:r>
      <w:r w:rsidR="002B58E3" w:rsidRPr="001234B2">
        <w:rPr>
          <w:rFonts w:ascii="Verdana" w:hAnsi="Verdana"/>
          <w:lang w:val="es-ES"/>
        </w:rPr>
        <w:t xml:space="preserve"> un valor de 0,</w:t>
      </w:r>
      <w:r w:rsidRPr="001234B2">
        <w:rPr>
          <w:rFonts w:ascii="Verdana" w:hAnsi="Verdana"/>
          <w:lang w:val="es-ES"/>
        </w:rPr>
        <w:t>7</w:t>
      </w:r>
      <w:r w:rsidR="002B58E3" w:rsidRPr="001234B2">
        <w:rPr>
          <w:rFonts w:ascii="Verdana" w:hAnsi="Verdana"/>
          <w:lang w:val="es-ES"/>
        </w:rPr>
        <w:t xml:space="preserve">2 g/l, </w:t>
      </w:r>
      <w:r w:rsidR="00A7078D" w:rsidRPr="001234B2">
        <w:rPr>
          <w:rFonts w:ascii="Verdana" w:hAnsi="Verdana"/>
          <w:lang w:val="es-ES"/>
        </w:rPr>
        <w:t xml:space="preserve">valor por encima de 0, 55 g/l valor marcador de riesgo, </w:t>
      </w:r>
      <w:r w:rsidR="007C625D" w:rsidRPr="001234B2">
        <w:rPr>
          <w:rFonts w:ascii="Verdana" w:hAnsi="Verdana"/>
          <w:lang w:val="es-ES"/>
        </w:rPr>
        <w:t xml:space="preserve">que refleja el número de partículas LDL oxidadas, </w:t>
      </w:r>
      <w:r w:rsidR="007C625D" w:rsidRPr="001234B2">
        <w:rPr>
          <w:rFonts w:ascii="Verdana" w:hAnsi="Verdana"/>
        </w:rPr>
        <w:t xml:space="preserve">la LDL </w:t>
      </w:r>
      <w:proofErr w:type="spellStart"/>
      <w:r w:rsidR="007C625D" w:rsidRPr="001234B2">
        <w:rPr>
          <w:rFonts w:ascii="Verdana" w:hAnsi="Verdana"/>
        </w:rPr>
        <w:t>oxidada</w:t>
      </w:r>
      <w:proofErr w:type="spellEnd"/>
      <w:r w:rsidR="007C625D" w:rsidRPr="001234B2">
        <w:rPr>
          <w:rFonts w:ascii="Verdana" w:hAnsi="Verdana"/>
        </w:rPr>
        <w:t xml:space="preserve"> (</w:t>
      </w:r>
      <w:proofErr w:type="spellStart"/>
      <w:r w:rsidR="007C625D" w:rsidRPr="001234B2">
        <w:rPr>
          <w:rFonts w:ascii="Verdana" w:hAnsi="Verdana"/>
        </w:rPr>
        <w:t>LDLox</w:t>
      </w:r>
      <w:proofErr w:type="spellEnd"/>
      <w:r w:rsidR="007C625D" w:rsidRPr="001234B2">
        <w:rPr>
          <w:rFonts w:ascii="Verdana" w:hAnsi="Verdana"/>
        </w:rPr>
        <w:t xml:space="preserve">) es </w:t>
      </w:r>
      <w:proofErr w:type="spellStart"/>
      <w:r w:rsidR="007C625D" w:rsidRPr="001234B2">
        <w:rPr>
          <w:rFonts w:ascii="Verdana" w:hAnsi="Verdana"/>
        </w:rPr>
        <w:t>captada</w:t>
      </w:r>
      <w:proofErr w:type="spellEnd"/>
      <w:r w:rsidR="007C625D" w:rsidRPr="001234B2">
        <w:rPr>
          <w:rFonts w:ascii="Verdana" w:hAnsi="Verdana"/>
        </w:rPr>
        <w:t xml:space="preserve"> de forma </w:t>
      </w:r>
      <w:proofErr w:type="spellStart"/>
      <w:r w:rsidR="007C625D" w:rsidRPr="001234B2">
        <w:rPr>
          <w:rFonts w:ascii="Verdana" w:hAnsi="Verdana"/>
        </w:rPr>
        <w:t>incontrolada</w:t>
      </w:r>
      <w:proofErr w:type="spellEnd"/>
      <w:r w:rsidR="007C625D" w:rsidRPr="001234B2">
        <w:rPr>
          <w:rFonts w:ascii="Verdana" w:hAnsi="Verdana"/>
        </w:rPr>
        <w:t xml:space="preserve"> por </w:t>
      </w:r>
      <w:proofErr w:type="spellStart"/>
      <w:r w:rsidR="007C625D" w:rsidRPr="001234B2">
        <w:rPr>
          <w:rFonts w:ascii="Verdana" w:hAnsi="Verdana"/>
        </w:rPr>
        <w:t>macrófagos</w:t>
      </w:r>
      <w:proofErr w:type="spellEnd"/>
      <w:r w:rsidR="007C625D" w:rsidRPr="001234B2">
        <w:rPr>
          <w:rFonts w:ascii="Verdana" w:hAnsi="Verdana"/>
        </w:rPr>
        <w:t xml:space="preserve"> en la pared arterial, </w:t>
      </w:r>
      <w:proofErr w:type="spellStart"/>
      <w:r w:rsidR="007C625D" w:rsidRPr="001234B2">
        <w:rPr>
          <w:rFonts w:ascii="Verdana" w:hAnsi="Verdana"/>
        </w:rPr>
        <w:t>conduciendo</w:t>
      </w:r>
      <w:proofErr w:type="spellEnd"/>
      <w:r w:rsidR="007C625D" w:rsidRPr="001234B2">
        <w:rPr>
          <w:rFonts w:ascii="Verdana" w:hAnsi="Verdana"/>
        </w:rPr>
        <w:t xml:space="preserve"> a la </w:t>
      </w:r>
      <w:proofErr w:type="spellStart"/>
      <w:r w:rsidR="007C625D" w:rsidRPr="001234B2">
        <w:rPr>
          <w:rFonts w:ascii="Verdana" w:hAnsi="Verdana"/>
        </w:rPr>
        <w:t>formación</w:t>
      </w:r>
      <w:proofErr w:type="spellEnd"/>
      <w:r w:rsidR="007C625D" w:rsidRPr="001234B2">
        <w:rPr>
          <w:rFonts w:ascii="Verdana" w:hAnsi="Verdana"/>
        </w:rPr>
        <w:t xml:space="preserve"> de </w:t>
      </w:r>
      <w:proofErr w:type="spellStart"/>
      <w:r w:rsidR="007C625D" w:rsidRPr="001234B2">
        <w:rPr>
          <w:rFonts w:ascii="Verdana" w:hAnsi="Verdana"/>
        </w:rPr>
        <w:t>células</w:t>
      </w:r>
      <w:proofErr w:type="spellEnd"/>
      <w:r w:rsidR="007C625D" w:rsidRPr="001234B2">
        <w:rPr>
          <w:rFonts w:ascii="Verdana" w:hAnsi="Verdana"/>
        </w:rPr>
        <w:t xml:space="preserve"> </w:t>
      </w:r>
      <w:proofErr w:type="spellStart"/>
      <w:r w:rsidR="007C625D" w:rsidRPr="001234B2">
        <w:rPr>
          <w:rFonts w:ascii="Verdana" w:hAnsi="Verdana"/>
        </w:rPr>
        <w:t>espumosas</w:t>
      </w:r>
      <w:proofErr w:type="spellEnd"/>
      <w:r w:rsidR="007C625D" w:rsidRPr="001234B2">
        <w:rPr>
          <w:rFonts w:ascii="Verdana" w:hAnsi="Verdana"/>
        </w:rPr>
        <w:t xml:space="preserve"> y de </w:t>
      </w:r>
      <w:proofErr w:type="spellStart"/>
      <w:r w:rsidR="007C625D" w:rsidRPr="001234B2">
        <w:rPr>
          <w:rFonts w:ascii="Verdana" w:hAnsi="Verdana"/>
        </w:rPr>
        <w:t>placas</w:t>
      </w:r>
      <w:proofErr w:type="spellEnd"/>
      <w:r w:rsidR="007C625D" w:rsidRPr="001234B2">
        <w:rPr>
          <w:rFonts w:ascii="Verdana" w:hAnsi="Verdana"/>
        </w:rPr>
        <w:t xml:space="preserve"> </w:t>
      </w:r>
      <w:proofErr w:type="spellStart"/>
      <w:r w:rsidR="007C625D" w:rsidRPr="001234B2">
        <w:rPr>
          <w:rFonts w:ascii="Verdana" w:hAnsi="Verdana"/>
        </w:rPr>
        <w:t>ateromatosas</w:t>
      </w:r>
      <w:proofErr w:type="spellEnd"/>
      <w:r w:rsidR="007C625D" w:rsidRPr="001234B2">
        <w:rPr>
          <w:rFonts w:ascii="Verdana" w:hAnsi="Verdana"/>
          <w:color w:val="000000" w:themeColor="text1"/>
        </w:rPr>
        <w:t>,</w:t>
      </w:r>
      <w:r w:rsidR="007C625D" w:rsidRPr="001234B2">
        <w:rPr>
          <w:rFonts w:ascii="Verdana" w:hAnsi="Verdana" w:cs="Arial"/>
          <w:color w:val="000000" w:themeColor="text1"/>
        </w:rPr>
        <w:t xml:space="preserve"> </w:t>
      </w:r>
      <w:r w:rsidR="00A7078D" w:rsidRPr="001234B2">
        <w:rPr>
          <w:rFonts w:ascii="Verdana" w:hAnsi="Verdana"/>
          <w:lang w:val="es-ES"/>
        </w:rPr>
        <w:t>por lo que se infiere un alto riesgo de enfermar por eventos cardiovasculares en la muestra de estudio.</w:t>
      </w:r>
      <w:r w:rsidR="00A7078D" w:rsidRPr="001234B2">
        <w:rPr>
          <w:rFonts w:ascii="Verdana" w:hAnsi="Verdana"/>
          <w:vertAlign w:val="superscript"/>
          <w:lang w:val="es-ES"/>
        </w:rPr>
        <w:t xml:space="preserve"> (9,, 10, 11</w:t>
      </w:r>
      <w:r w:rsidR="008B729E">
        <w:rPr>
          <w:rFonts w:ascii="Verdana" w:hAnsi="Verdana"/>
          <w:vertAlign w:val="superscript"/>
          <w:lang w:val="es-ES"/>
        </w:rPr>
        <w:t>,16</w:t>
      </w:r>
      <w:r w:rsidR="00A7078D" w:rsidRPr="001234B2">
        <w:rPr>
          <w:rFonts w:ascii="Verdana" w:hAnsi="Verdana"/>
          <w:vertAlign w:val="superscript"/>
          <w:lang w:val="es-ES"/>
        </w:rPr>
        <w:t xml:space="preserve">) </w:t>
      </w:r>
      <w:r w:rsidR="00A7078D" w:rsidRPr="001234B2">
        <w:rPr>
          <w:rFonts w:ascii="Verdana" w:hAnsi="Verdana"/>
          <w:lang w:val="es-ES"/>
        </w:rPr>
        <w:t xml:space="preserve">Los resultados, </w:t>
      </w:r>
      <w:r w:rsidR="002B58E3" w:rsidRPr="001234B2">
        <w:rPr>
          <w:rFonts w:ascii="Verdana" w:hAnsi="Verdana"/>
          <w:lang w:val="es-ES"/>
        </w:rPr>
        <w:t>coinciden con estudios que han demostrado que estimar la oxidación de LDL en pacientes con SM es factible por la r ApoB/Col total, como predictor independiente para esta entidad y de ECV</w:t>
      </w:r>
      <w:r w:rsidRPr="001234B2">
        <w:rPr>
          <w:rFonts w:ascii="Verdana" w:hAnsi="Verdana"/>
          <w:lang w:val="es-ES"/>
        </w:rPr>
        <w:t>.</w:t>
      </w:r>
    </w:p>
    <w:p w14:paraId="5120D2F6" w14:textId="749E5F7E" w:rsidR="002B58E3" w:rsidRPr="007D3421" w:rsidRDefault="002B58E3" w:rsidP="007D3421">
      <w:pPr>
        <w:tabs>
          <w:tab w:val="left" w:pos="4972"/>
          <w:tab w:val="left" w:pos="7371"/>
        </w:tabs>
        <w:autoSpaceDE w:val="0"/>
        <w:autoSpaceDN w:val="0"/>
        <w:adjustRightInd w:val="0"/>
        <w:spacing w:afterLines="160" w:after="384"/>
        <w:ind w:right="28"/>
        <w:jc w:val="center"/>
        <w:rPr>
          <w:rFonts w:ascii="Verdana" w:hAnsi="Verdana"/>
          <w:bCs/>
          <w:lang w:val="es-ES"/>
        </w:rPr>
      </w:pPr>
      <w:r w:rsidRPr="007D3421">
        <w:rPr>
          <w:rFonts w:ascii="Verdana" w:hAnsi="Verdana"/>
          <w:bCs/>
          <w:lang w:val="es-ES"/>
        </w:rPr>
        <w:t>IV. CONCLUSIONES</w:t>
      </w:r>
    </w:p>
    <w:p w14:paraId="413EA5DB" w14:textId="0BA0961C" w:rsidR="00F16EAF" w:rsidRPr="00F16EAF" w:rsidRDefault="00171AE3" w:rsidP="00A42E6C">
      <w:pPr>
        <w:pStyle w:val="Sinespaciado"/>
        <w:numPr>
          <w:ilvl w:val="0"/>
          <w:numId w:val="5"/>
        </w:numPr>
        <w:spacing w:line="360" w:lineRule="auto"/>
        <w:jc w:val="both"/>
        <w:rPr>
          <w:rFonts w:ascii="Verdana" w:hAnsi="Verdana" w:cs="Times New Roman"/>
          <w:lang w:val="es-ES"/>
        </w:rPr>
      </w:pPr>
      <w:r w:rsidRPr="001234B2">
        <w:rPr>
          <w:rFonts w:ascii="Verdana" w:hAnsi="Verdana" w:cs="Times New Roman"/>
          <w:lang w:val="es-ES"/>
        </w:rPr>
        <w:t xml:space="preserve">Las apolipoproteínas e índices aterogénicos, constituyen mejores predictores de riesgo </w:t>
      </w:r>
      <w:r w:rsidR="00BF2B24">
        <w:rPr>
          <w:rFonts w:ascii="Verdana" w:hAnsi="Verdana" w:cs="Times New Roman"/>
          <w:lang w:val="es-ES"/>
        </w:rPr>
        <w:t xml:space="preserve">cardiovascular </w:t>
      </w:r>
      <w:r w:rsidRPr="001234B2">
        <w:rPr>
          <w:rFonts w:ascii="Verdana" w:hAnsi="Verdana" w:cs="Times New Roman"/>
          <w:lang w:val="es-ES"/>
        </w:rPr>
        <w:t>al expresar el balance entre las partículas pro y antiater</w:t>
      </w:r>
      <w:r w:rsidR="00BF2B24">
        <w:rPr>
          <w:rFonts w:ascii="Verdana" w:hAnsi="Verdana" w:cs="Times New Roman"/>
          <w:lang w:val="es-ES"/>
        </w:rPr>
        <w:t>o</w:t>
      </w:r>
      <w:r w:rsidRPr="001234B2">
        <w:rPr>
          <w:rFonts w:ascii="Verdana" w:hAnsi="Verdana" w:cs="Times New Roman"/>
          <w:lang w:val="es-ES"/>
        </w:rPr>
        <w:t>génicas plasmáticas</w:t>
      </w:r>
      <w:r w:rsidR="00F16EAF">
        <w:rPr>
          <w:rFonts w:ascii="Verdana" w:hAnsi="Verdana" w:cs="Times New Roman"/>
          <w:lang w:val="es-ES"/>
        </w:rPr>
        <w:t>.</w:t>
      </w:r>
    </w:p>
    <w:p w14:paraId="1E009CD3" w14:textId="4E1B40C0" w:rsidR="00171AE3" w:rsidRPr="00F16EAF" w:rsidRDefault="002B58E3" w:rsidP="00A42E6C">
      <w:pPr>
        <w:pStyle w:val="Sinespaciado"/>
        <w:numPr>
          <w:ilvl w:val="0"/>
          <w:numId w:val="5"/>
        </w:numPr>
        <w:spacing w:line="360" w:lineRule="auto"/>
        <w:jc w:val="both"/>
        <w:rPr>
          <w:rFonts w:ascii="Verdana" w:hAnsi="Verdana" w:cs="Times New Roman"/>
          <w:lang w:val="es-ES"/>
        </w:rPr>
      </w:pPr>
      <w:r w:rsidRPr="00F16EAF">
        <w:rPr>
          <w:rFonts w:ascii="Verdana" w:hAnsi="Verdana"/>
          <w:lang w:val="es-ES"/>
        </w:rPr>
        <w:t xml:space="preserve">Predominó el estilo de vida poco saludable, aumento en los valores de predictores </w:t>
      </w:r>
      <w:r w:rsidR="00F16EAF" w:rsidRPr="00F16EAF">
        <w:rPr>
          <w:rFonts w:ascii="Verdana" w:hAnsi="Verdana"/>
          <w:lang w:val="es-ES"/>
        </w:rPr>
        <w:t>proaterogénicos</w:t>
      </w:r>
      <w:r w:rsidRPr="00F16EAF">
        <w:rPr>
          <w:rFonts w:ascii="Verdana" w:hAnsi="Verdana"/>
          <w:lang w:val="es-ES"/>
        </w:rPr>
        <w:t xml:space="preserve"> y disminución en los </w:t>
      </w:r>
      <w:r w:rsidR="00F16EAF" w:rsidRPr="00F16EAF">
        <w:rPr>
          <w:rFonts w:ascii="Verdana" w:hAnsi="Verdana"/>
          <w:lang w:val="es-ES"/>
        </w:rPr>
        <w:t>antiaterogénicos</w:t>
      </w:r>
      <w:r w:rsidRPr="00F16EAF">
        <w:rPr>
          <w:rFonts w:ascii="Verdana" w:hAnsi="Verdana"/>
          <w:lang w:val="es-ES"/>
        </w:rPr>
        <w:t xml:space="preserve"> con </w:t>
      </w:r>
      <w:r w:rsidRPr="00F16EAF">
        <w:rPr>
          <w:rFonts w:ascii="Verdana" w:hAnsi="Verdana"/>
          <w:bCs/>
          <w:lang w:val="es-ES"/>
        </w:rPr>
        <w:t>un alto riesgo de padecer enfermedades del corazón</w:t>
      </w:r>
      <w:r w:rsidR="00AA4E51" w:rsidRPr="00F16EAF">
        <w:rPr>
          <w:rFonts w:ascii="Verdana" w:hAnsi="Verdana"/>
          <w:bCs/>
          <w:lang w:val="es-ES"/>
        </w:rPr>
        <w:t>.</w:t>
      </w:r>
      <w:r w:rsidR="00171AE3" w:rsidRPr="00F16EAF">
        <w:rPr>
          <w:rFonts w:ascii="Verdana" w:hAnsi="Verdana" w:cs="Times New Roman"/>
          <w:lang w:val="es-ES"/>
        </w:rPr>
        <w:t xml:space="preserve"> </w:t>
      </w:r>
    </w:p>
    <w:p w14:paraId="7E8D1121" w14:textId="7BC27C16" w:rsidR="00A7078D" w:rsidRDefault="00A7078D" w:rsidP="00A42E6C">
      <w:pPr>
        <w:tabs>
          <w:tab w:val="left" w:pos="4972"/>
          <w:tab w:val="left" w:pos="7371"/>
        </w:tabs>
        <w:autoSpaceDE w:val="0"/>
        <w:autoSpaceDN w:val="0"/>
        <w:adjustRightInd w:val="0"/>
        <w:spacing w:afterLines="160" w:after="384" w:line="360" w:lineRule="auto"/>
        <w:ind w:left="227" w:right="28"/>
        <w:jc w:val="both"/>
        <w:rPr>
          <w:rFonts w:ascii="Verdana" w:hAnsi="Verdana"/>
          <w:bCs/>
          <w:lang w:val="es-ES"/>
        </w:rPr>
      </w:pPr>
    </w:p>
    <w:p w14:paraId="6F1F4CF4" w14:textId="1ED81B50" w:rsidR="00F16EAF" w:rsidRDefault="00F16EAF" w:rsidP="00F16EAF">
      <w:pPr>
        <w:tabs>
          <w:tab w:val="left" w:pos="4972"/>
          <w:tab w:val="left" w:pos="7371"/>
        </w:tabs>
        <w:autoSpaceDE w:val="0"/>
        <w:autoSpaceDN w:val="0"/>
        <w:adjustRightInd w:val="0"/>
        <w:spacing w:afterLines="160" w:after="384"/>
        <w:ind w:left="227" w:right="28"/>
        <w:jc w:val="both"/>
        <w:rPr>
          <w:rFonts w:ascii="Verdana" w:hAnsi="Verdana"/>
          <w:bCs/>
          <w:lang w:val="es-ES"/>
        </w:rPr>
      </w:pPr>
    </w:p>
    <w:p w14:paraId="639C8A7A" w14:textId="07794FED" w:rsidR="00F16EAF" w:rsidRDefault="00F16EAF" w:rsidP="00F16EAF">
      <w:pPr>
        <w:tabs>
          <w:tab w:val="left" w:pos="4972"/>
          <w:tab w:val="left" w:pos="7371"/>
        </w:tabs>
        <w:autoSpaceDE w:val="0"/>
        <w:autoSpaceDN w:val="0"/>
        <w:adjustRightInd w:val="0"/>
        <w:spacing w:afterLines="160" w:after="384"/>
        <w:ind w:left="227" w:right="28"/>
        <w:jc w:val="both"/>
        <w:rPr>
          <w:rFonts w:ascii="Verdana" w:hAnsi="Verdana"/>
          <w:bCs/>
          <w:lang w:val="es-ES"/>
        </w:rPr>
      </w:pPr>
    </w:p>
    <w:p w14:paraId="53FBF643" w14:textId="042346E7" w:rsidR="00F16EAF" w:rsidRDefault="00F16EAF" w:rsidP="00F16EAF">
      <w:pPr>
        <w:tabs>
          <w:tab w:val="left" w:pos="4972"/>
          <w:tab w:val="left" w:pos="7371"/>
        </w:tabs>
        <w:autoSpaceDE w:val="0"/>
        <w:autoSpaceDN w:val="0"/>
        <w:adjustRightInd w:val="0"/>
        <w:spacing w:afterLines="160" w:after="384"/>
        <w:ind w:left="227" w:right="28"/>
        <w:jc w:val="both"/>
        <w:rPr>
          <w:rFonts w:ascii="Verdana" w:hAnsi="Verdana"/>
          <w:bCs/>
          <w:lang w:val="es-ES"/>
        </w:rPr>
      </w:pPr>
    </w:p>
    <w:p w14:paraId="5863C83C" w14:textId="0705881B" w:rsidR="00F16EAF" w:rsidRDefault="00F16EAF" w:rsidP="00F16EAF">
      <w:pPr>
        <w:tabs>
          <w:tab w:val="left" w:pos="4972"/>
          <w:tab w:val="left" w:pos="7371"/>
        </w:tabs>
        <w:autoSpaceDE w:val="0"/>
        <w:autoSpaceDN w:val="0"/>
        <w:adjustRightInd w:val="0"/>
        <w:spacing w:afterLines="160" w:after="384"/>
        <w:ind w:left="227" w:right="28"/>
        <w:jc w:val="both"/>
        <w:rPr>
          <w:rFonts w:ascii="Verdana" w:hAnsi="Verdana"/>
          <w:bCs/>
          <w:lang w:val="es-ES"/>
        </w:rPr>
      </w:pPr>
    </w:p>
    <w:p w14:paraId="1A9E509E" w14:textId="77777777" w:rsidR="00F16EAF" w:rsidRPr="001234B2" w:rsidRDefault="00F16EAF" w:rsidP="007D3421">
      <w:pPr>
        <w:tabs>
          <w:tab w:val="left" w:pos="4972"/>
          <w:tab w:val="left" w:pos="7371"/>
        </w:tabs>
        <w:autoSpaceDE w:val="0"/>
        <w:autoSpaceDN w:val="0"/>
        <w:adjustRightInd w:val="0"/>
        <w:spacing w:afterLines="160" w:after="384"/>
        <w:ind w:right="28"/>
        <w:jc w:val="both"/>
        <w:rPr>
          <w:rFonts w:ascii="Verdana" w:hAnsi="Verdana"/>
          <w:bCs/>
          <w:lang w:val="es-ES"/>
        </w:rPr>
      </w:pPr>
    </w:p>
    <w:p w14:paraId="7884C6C7" w14:textId="07112A09" w:rsidR="002B58E3" w:rsidRPr="001234B2" w:rsidRDefault="002B58E3" w:rsidP="00F16EAF">
      <w:pPr>
        <w:tabs>
          <w:tab w:val="left" w:pos="4972"/>
          <w:tab w:val="left" w:pos="7371"/>
        </w:tabs>
        <w:autoSpaceDE w:val="0"/>
        <w:autoSpaceDN w:val="0"/>
        <w:adjustRightInd w:val="0"/>
        <w:spacing w:afterLines="160" w:after="384"/>
        <w:ind w:right="28"/>
        <w:jc w:val="both"/>
        <w:rPr>
          <w:rFonts w:ascii="Verdana" w:hAnsi="Verdana"/>
          <w:b/>
          <w:bCs/>
          <w:lang w:val="es-ES"/>
        </w:rPr>
      </w:pPr>
      <w:r w:rsidRPr="001234B2">
        <w:rPr>
          <w:rFonts w:ascii="Verdana" w:hAnsi="Verdana"/>
          <w:b/>
          <w:bCs/>
          <w:lang w:val="es-ES"/>
        </w:rPr>
        <w:lastRenderedPageBreak/>
        <w:t xml:space="preserve">V. </w:t>
      </w:r>
      <w:r w:rsidRPr="001234B2">
        <w:rPr>
          <w:rStyle w:val="initial12"/>
          <w:rFonts w:ascii="Verdana" w:hAnsi="Verdana"/>
          <w:b/>
          <w:bCs/>
          <w:sz w:val="22"/>
          <w:szCs w:val="22"/>
          <w:lang w:val="es-ES"/>
        </w:rPr>
        <w:t>R</w:t>
      </w:r>
      <w:r w:rsidRPr="001234B2">
        <w:rPr>
          <w:rStyle w:val="AbsatzNormal"/>
          <w:rFonts w:ascii="Verdana" w:hAnsi="Verdana"/>
          <w:b/>
          <w:bCs/>
          <w:lang w:val="es-ES"/>
        </w:rPr>
        <w:t>EFERENCI</w:t>
      </w:r>
      <w:r w:rsidR="00A7078D" w:rsidRPr="001234B2">
        <w:rPr>
          <w:rStyle w:val="AbsatzNormal"/>
          <w:rFonts w:ascii="Verdana" w:hAnsi="Verdana"/>
          <w:b/>
          <w:bCs/>
          <w:lang w:val="es-ES"/>
        </w:rPr>
        <w:t>AS BIBLIOGRÁFICAS</w:t>
      </w:r>
    </w:p>
    <w:p w14:paraId="18CAB45C" w14:textId="77777777" w:rsidR="002B58E3" w:rsidRPr="001234B2" w:rsidRDefault="002B58E3" w:rsidP="007D3421">
      <w:pPr>
        <w:numPr>
          <w:ilvl w:val="0"/>
          <w:numId w:val="1"/>
        </w:numPr>
        <w:spacing w:after="0" w:line="360" w:lineRule="auto"/>
        <w:ind w:left="644"/>
        <w:jc w:val="both"/>
        <w:rPr>
          <w:rFonts w:ascii="Verdana" w:hAnsi="Verdana"/>
          <w:color w:val="002060"/>
          <w:u w:val="single"/>
          <w:lang w:val="es-ES"/>
        </w:rPr>
      </w:pPr>
      <w:r w:rsidRPr="001234B2">
        <w:rPr>
          <w:rFonts w:ascii="Verdana" w:hAnsi="Verdana"/>
          <w:lang w:val="es-ES"/>
        </w:rPr>
        <w:t xml:space="preserve">Bonet GM, Varona PP, Chang La RM, García Roche RG, Suárez MR, Arcia Montes de ON, et al. III Encuesta de factores de riesgo y actividades preventivas de enfermedades no transmisibles. [Internet]. Cuba 2010-2011.  La Habana: Editorial Ciencias Médicas; 2014. [consultado 2017 oct 16]. Disponible en: </w:t>
      </w:r>
      <w:hyperlink r:id="rId12" w:history="1">
        <w:r w:rsidRPr="001234B2">
          <w:rPr>
            <w:rFonts w:ascii="Verdana" w:hAnsi="Verdana"/>
            <w:color w:val="0563C1"/>
            <w:u w:val="single"/>
            <w:lang w:val="es-ES"/>
          </w:rPr>
          <w:t>https://www.bvs.sld.cu/libros/encuesta-nacionalriesgo/encuesta-nacionalcompleto</w:t>
        </w:r>
      </w:hyperlink>
      <w:r w:rsidRPr="001234B2">
        <w:rPr>
          <w:rFonts w:ascii="Verdana" w:hAnsi="Verdana"/>
          <w:color w:val="002060"/>
          <w:u w:val="single"/>
          <w:lang w:val="es-ES"/>
        </w:rPr>
        <w:t xml:space="preserve">. </w:t>
      </w:r>
      <w:proofErr w:type="spellStart"/>
      <w:r w:rsidRPr="001234B2">
        <w:rPr>
          <w:rFonts w:ascii="Verdana" w:hAnsi="Verdana"/>
          <w:color w:val="002060"/>
          <w:u w:val="single"/>
          <w:lang w:val="es-ES"/>
        </w:rPr>
        <w:t>pdf</w:t>
      </w:r>
      <w:proofErr w:type="spellEnd"/>
      <w:r w:rsidRPr="001234B2">
        <w:rPr>
          <w:rFonts w:ascii="Verdana" w:hAnsi="Verdana"/>
          <w:color w:val="002060"/>
          <w:u w:val="single"/>
          <w:lang w:val="es-ES"/>
        </w:rPr>
        <w:t xml:space="preserve">  </w:t>
      </w:r>
    </w:p>
    <w:p w14:paraId="71545985" w14:textId="77777777" w:rsidR="00830631" w:rsidRPr="001234B2" w:rsidRDefault="00830631" w:rsidP="007D3421">
      <w:pPr>
        <w:numPr>
          <w:ilvl w:val="0"/>
          <w:numId w:val="1"/>
        </w:numPr>
        <w:spacing w:after="0" w:line="360" w:lineRule="auto"/>
        <w:ind w:left="644"/>
        <w:contextualSpacing/>
        <w:jc w:val="both"/>
        <w:rPr>
          <w:rFonts w:ascii="Verdana" w:hAnsi="Verdana"/>
          <w:lang w:val="es-ES"/>
        </w:rPr>
      </w:pPr>
      <w:r w:rsidRPr="001234B2">
        <w:rPr>
          <w:rFonts w:ascii="Verdana" w:hAnsi="Verdana"/>
          <w:lang w:val="es-ES"/>
        </w:rPr>
        <w:t xml:space="preserve">Fernández-Travieso JC. Síndrome Metabólico y Riesgo Cardiovascular. </w:t>
      </w:r>
      <w:proofErr w:type="spellStart"/>
      <w:r w:rsidRPr="001234B2">
        <w:rPr>
          <w:rFonts w:ascii="Verdana" w:hAnsi="Verdana"/>
          <w:lang w:val="es-ES"/>
        </w:rPr>
        <w:t>Rev</w:t>
      </w:r>
      <w:proofErr w:type="spellEnd"/>
      <w:r w:rsidRPr="001234B2">
        <w:rPr>
          <w:rFonts w:ascii="Verdana" w:hAnsi="Verdana"/>
          <w:lang w:val="es-ES"/>
        </w:rPr>
        <w:t xml:space="preserve"> CENIC. [Internet]. Ciencias Biológicas; 2016. [consultado 2019 </w:t>
      </w:r>
      <w:proofErr w:type="spellStart"/>
      <w:r w:rsidRPr="001234B2">
        <w:rPr>
          <w:rFonts w:ascii="Verdana" w:hAnsi="Verdana"/>
          <w:lang w:val="es-ES"/>
        </w:rPr>
        <w:t>ago</w:t>
      </w:r>
      <w:proofErr w:type="spellEnd"/>
      <w:r w:rsidRPr="001234B2">
        <w:rPr>
          <w:rFonts w:ascii="Verdana" w:hAnsi="Verdana"/>
          <w:lang w:val="es-ES"/>
        </w:rPr>
        <w:t xml:space="preserve"> 8 ];47(2):106-19. Disponible en: https:// www.redalyc.org/articulo.oa?Id= 181245821006</w:t>
      </w:r>
    </w:p>
    <w:p w14:paraId="34571D7C" w14:textId="77777777" w:rsidR="00830631" w:rsidRPr="001234B2" w:rsidRDefault="00830631" w:rsidP="007D3421">
      <w:pPr>
        <w:numPr>
          <w:ilvl w:val="0"/>
          <w:numId w:val="1"/>
        </w:numPr>
        <w:spacing w:after="0" w:line="360" w:lineRule="auto"/>
        <w:ind w:left="644"/>
        <w:contextualSpacing/>
        <w:jc w:val="both"/>
        <w:rPr>
          <w:rFonts w:ascii="Verdana" w:hAnsi="Verdana"/>
          <w:lang w:val="es-ES"/>
        </w:rPr>
      </w:pPr>
      <w:r w:rsidRPr="001234B2">
        <w:rPr>
          <w:rFonts w:ascii="Verdana" w:hAnsi="Verdana"/>
          <w:lang w:val="es-ES"/>
        </w:rPr>
        <w:t xml:space="preserve">Chacón PR, Díaz FC, Oliva Linares JE. Síndrome Metabólico. [Internet].   La Habana: Editorial Ciencias Médicas; 2019. [consultado 2019 </w:t>
      </w:r>
      <w:proofErr w:type="spellStart"/>
      <w:r w:rsidRPr="001234B2">
        <w:rPr>
          <w:rFonts w:ascii="Verdana" w:hAnsi="Verdana"/>
          <w:lang w:val="es-ES"/>
        </w:rPr>
        <w:t>ago</w:t>
      </w:r>
      <w:proofErr w:type="spellEnd"/>
      <w:r w:rsidRPr="001234B2">
        <w:rPr>
          <w:rFonts w:ascii="Verdana" w:hAnsi="Verdana"/>
          <w:lang w:val="es-ES"/>
        </w:rPr>
        <w:t xml:space="preserve"> 8 ]. Disponible en: </w:t>
      </w:r>
      <w:hyperlink r:id="rId13" w:history="1">
        <w:r w:rsidRPr="001234B2">
          <w:rPr>
            <w:rFonts w:ascii="Verdana" w:hAnsi="Verdana"/>
            <w:color w:val="0563C1"/>
            <w:u w:val="single"/>
            <w:lang w:val="es-ES"/>
          </w:rPr>
          <w:t>https: //www.ecimed.sld.cu /2019/09/04/</w:t>
        </w:r>
      </w:hyperlink>
    </w:p>
    <w:p w14:paraId="3375EED6" w14:textId="77777777" w:rsidR="002B58E3" w:rsidRPr="001234B2" w:rsidRDefault="002B58E3" w:rsidP="007D3421">
      <w:pPr>
        <w:numPr>
          <w:ilvl w:val="0"/>
          <w:numId w:val="1"/>
        </w:numPr>
        <w:spacing w:after="0" w:line="360" w:lineRule="auto"/>
        <w:ind w:left="644"/>
        <w:contextualSpacing/>
        <w:jc w:val="both"/>
        <w:rPr>
          <w:rFonts w:ascii="Verdana" w:hAnsi="Verdana"/>
          <w:lang w:val="es-ES"/>
        </w:rPr>
      </w:pPr>
      <w:r w:rsidRPr="001234B2">
        <w:rPr>
          <w:rFonts w:ascii="Verdana" w:hAnsi="Verdana"/>
          <w:lang w:val="es-ES"/>
        </w:rPr>
        <w:t xml:space="preserve">Cuba. Ministerio de Salud Pública. Anuario Estadístico de Salud 2018. Dirección de Registros Médicos y Estadísticas de Salud. [Internet]. La Habana: OPS, UNFPA, UNICEF; 2019. [consultado 2019 </w:t>
      </w:r>
      <w:proofErr w:type="spellStart"/>
      <w:r w:rsidRPr="001234B2">
        <w:rPr>
          <w:rFonts w:ascii="Verdana" w:hAnsi="Verdana"/>
          <w:lang w:val="es-ES"/>
        </w:rPr>
        <w:t>ago</w:t>
      </w:r>
      <w:proofErr w:type="spellEnd"/>
      <w:r w:rsidRPr="001234B2">
        <w:rPr>
          <w:rFonts w:ascii="Verdana" w:hAnsi="Verdana"/>
          <w:lang w:val="es-ES"/>
        </w:rPr>
        <w:t xml:space="preserve"> 8 ]. Disponible en: https://bvscuba.sld.cu/ anuario-</w:t>
      </w:r>
      <w:proofErr w:type="spellStart"/>
      <w:r w:rsidRPr="001234B2">
        <w:rPr>
          <w:rFonts w:ascii="Verdana" w:hAnsi="Verdana"/>
          <w:lang w:val="es-ES"/>
        </w:rPr>
        <w:t>estadistico</w:t>
      </w:r>
      <w:proofErr w:type="spellEnd"/>
      <w:r w:rsidRPr="001234B2">
        <w:rPr>
          <w:rFonts w:ascii="Verdana" w:hAnsi="Verdana"/>
          <w:lang w:val="es-ES"/>
        </w:rPr>
        <w:t>-</w:t>
      </w:r>
      <w:proofErr w:type="spellStart"/>
      <w:r w:rsidRPr="001234B2">
        <w:rPr>
          <w:rFonts w:ascii="Verdana" w:hAnsi="Verdana"/>
          <w:lang w:val="es-ES"/>
        </w:rPr>
        <w:t>de-cuba</w:t>
      </w:r>
      <w:proofErr w:type="spellEnd"/>
      <w:r w:rsidRPr="001234B2">
        <w:rPr>
          <w:rFonts w:ascii="Verdana" w:hAnsi="Verdana"/>
          <w:lang w:val="es-ES"/>
        </w:rPr>
        <w:t xml:space="preserve">/ </w:t>
      </w:r>
    </w:p>
    <w:p w14:paraId="7AD50366" w14:textId="77777777" w:rsidR="007D3421" w:rsidRDefault="002B58E3" w:rsidP="007D3421">
      <w:pPr>
        <w:numPr>
          <w:ilvl w:val="0"/>
          <w:numId w:val="1"/>
        </w:numPr>
        <w:spacing w:after="0" w:line="360" w:lineRule="auto"/>
        <w:ind w:left="644"/>
        <w:contextualSpacing/>
        <w:jc w:val="both"/>
        <w:rPr>
          <w:rFonts w:ascii="Verdana" w:hAnsi="Verdana"/>
          <w:lang w:val="es-ES"/>
        </w:rPr>
      </w:pPr>
      <w:r w:rsidRPr="001234B2">
        <w:rPr>
          <w:rFonts w:ascii="Verdana" w:hAnsi="Verdana"/>
          <w:lang w:val="es-ES"/>
        </w:rPr>
        <w:t xml:space="preserve">Domingo Serrano FM. Utilidad de los índices aterogénicos como marcadores biológicos en el síndrome metabólico. [tesis Doctoral] [Internet]. Madrid: Universidad Complutense de Madrid; 2012. [citado 2017 </w:t>
      </w:r>
      <w:proofErr w:type="spellStart"/>
      <w:r w:rsidRPr="001234B2">
        <w:rPr>
          <w:rFonts w:ascii="Verdana" w:hAnsi="Verdana"/>
          <w:lang w:val="es-ES"/>
        </w:rPr>
        <w:t>march</w:t>
      </w:r>
      <w:proofErr w:type="spellEnd"/>
      <w:r w:rsidRPr="001234B2">
        <w:rPr>
          <w:rFonts w:ascii="Verdana" w:hAnsi="Verdana"/>
          <w:lang w:val="es-ES"/>
        </w:rPr>
        <w:t xml:space="preserve"> 22]. Disponible en: </w:t>
      </w:r>
      <w:hyperlink r:id="rId14" w:history="1">
        <w:r w:rsidRPr="001234B2">
          <w:rPr>
            <w:rFonts w:ascii="Verdana" w:hAnsi="Verdana"/>
            <w:color w:val="0563C1"/>
            <w:u w:val="single"/>
            <w:lang w:val="es-ES"/>
          </w:rPr>
          <w:t>http: //www.clinicazurbano.com/images /</w:t>
        </w:r>
        <w:proofErr w:type="spellStart"/>
        <w:r w:rsidRPr="001234B2">
          <w:rPr>
            <w:rFonts w:ascii="Verdana" w:hAnsi="Verdana"/>
            <w:color w:val="0563C1"/>
            <w:u w:val="single"/>
            <w:lang w:val="es-ES"/>
          </w:rPr>
          <w:t>cl</w:t>
        </w:r>
        <w:proofErr w:type="spellEnd"/>
        <w:r w:rsidRPr="001234B2">
          <w:rPr>
            <w:rFonts w:ascii="Verdana" w:hAnsi="Verdana"/>
            <w:color w:val="0563C1"/>
            <w:u w:val="single"/>
            <w:lang w:val="es-ES"/>
          </w:rPr>
          <w:t xml:space="preserve"> </w:t>
        </w:r>
        <w:proofErr w:type="spellStart"/>
        <w:r w:rsidRPr="001234B2">
          <w:rPr>
            <w:rFonts w:ascii="Verdana" w:hAnsi="Verdana"/>
            <w:color w:val="0563C1"/>
            <w:u w:val="single"/>
            <w:lang w:val="es-ES"/>
          </w:rPr>
          <w:t>nicavascular</w:t>
        </w:r>
        <w:proofErr w:type="spellEnd"/>
        <w:r w:rsidRPr="001234B2">
          <w:rPr>
            <w:rFonts w:ascii="Verdana" w:hAnsi="Verdana"/>
            <w:color w:val="0563C1"/>
            <w:u w:val="single"/>
            <w:lang w:val="es-ES"/>
          </w:rPr>
          <w:t>/</w:t>
        </w:r>
        <w:proofErr w:type="spellStart"/>
        <w:r w:rsidRPr="001234B2">
          <w:rPr>
            <w:rFonts w:ascii="Verdana" w:hAnsi="Verdana"/>
            <w:color w:val="0563C1"/>
            <w:u w:val="single"/>
            <w:lang w:val="es-ES"/>
          </w:rPr>
          <w:t>investigacion</w:t>
        </w:r>
        <w:proofErr w:type="spellEnd"/>
        <w:r w:rsidRPr="001234B2">
          <w:rPr>
            <w:rFonts w:ascii="Verdana" w:hAnsi="Verdana"/>
            <w:color w:val="0563C1"/>
            <w:u w:val="single"/>
            <w:lang w:val="es-ES"/>
          </w:rPr>
          <w:t>/</w:t>
        </w:r>
        <w:proofErr w:type="spellStart"/>
        <w:r w:rsidRPr="001234B2">
          <w:rPr>
            <w:rFonts w:ascii="Verdana" w:hAnsi="Verdana"/>
            <w:color w:val="0563C1"/>
            <w:u w:val="single"/>
            <w:lang w:val="es-ES"/>
          </w:rPr>
          <w:t>publicacione</w:t>
        </w:r>
        <w:proofErr w:type="spellEnd"/>
        <w:r w:rsidRPr="001234B2">
          <w:rPr>
            <w:rFonts w:ascii="Verdana" w:hAnsi="Verdana"/>
            <w:color w:val="0563C1"/>
            <w:u w:val="single"/>
            <w:lang w:val="es-ES"/>
          </w:rPr>
          <w:t>/</w:t>
        </w:r>
      </w:hyperlink>
    </w:p>
    <w:p w14:paraId="7FF6DEEC" w14:textId="5866CD0B" w:rsidR="00D37527" w:rsidRPr="007D3421" w:rsidRDefault="00D37527" w:rsidP="007D3421">
      <w:pPr>
        <w:numPr>
          <w:ilvl w:val="0"/>
          <w:numId w:val="1"/>
        </w:numPr>
        <w:spacing w:after="0" w:line="360" w:lineRule="auto"/>
        <w:ind w:left="644"/>
        <w:contextualSpacing/>
        <w:jc w:val="both"/>
        <w:rPr>
          <w:rFonts w:ascii="Verdana" w:hAnsi="Verdana"/>
          <w:lang w:val="es-ES"/>
        </w:rPr>
      </w:pPr>
      <w:r w:rsidRPr="007D3421">
        <w:rPr>
          <w:rFonts w:ascii="Verdana" w:hAnsi="Verdana"/>
          <w:lang w:val="es-ES"/>
        </w:rPr>
        <w:t>De la Torre-Cisneros K. Utilidad clínica de los índices aterogénicos para valoración de riesgo cardiovascular: un enfoque desde el laboratorio clínico. Rev.Dom.Cien. 2019; 5(3):57-70.</w:t>
      </w:r>
    </w:p>
    <w:p w14:paraId="6F46AE9B" w14:textId="15731D91" w:rsidR="002B58E3" w:rsidRPr="00D37527" w:rsidRDefault="002B58E3" w:rsidP="007D3421">
      <w:pPr>
        <w:numPr>
          <w:ilvl w:val="0"/>
          <w:numId w:val="1"/>
        </w:numPr>
        <w:shd w:val="clear" w:color="auto" w:fill="FFFFFF"/>
        <w:spacing w:after="0" w:line="360" w:lineRule="auto"/>
        <w:ind w:left="644"/>
        <w:contextualSpacing/>
        <w:jc w:val="both"/>
        <w:rPr>
          <w:rFonts w:ascii="Verdana" w:hAnsi="Verdana"/>
          <w:lang w:val="es-ES"/>
        </w:rPr>
      </w:pPr>
      <w:proofErr w:type="spellStart"/>
      <w:r w:rsidRPr="00D37527">
        <w:rPr>
          <w:rFonts w:ascii="Verdana" w:hAnsi="Verdana"/>
          <w:lang w:val="es-ES"/>
        </w:rPr>
        <w:t>Cantín</w:t>
      </w:r>
      <w:proofErr w:type="spellEnd"/>
      <w:r w:rsidRPr="00D37527">
        <w:rPr>
          <w:rFonts w:ascii="Verdana" w:hAnsi="Verdana"/>
          <w:lang w:val="es-ES"/>
        </w:rPr>
        <w:t xml:space="preserve"> M . Declaración de Helsinki de la Asociación Médica Mundial: Principios éticos para las investigaciones médicas en seres humanos.  [Internet]. Revisando su última </w:t>
      </w:r>
      <w:r w:rsidR="008B729E" w:rsidRPr="00D37527">
        <w:rPr>
          <w:rFonts w:ascii="Verdana" w:hAnsi="Verdana"/>
          <w:lang w:val="es-ES"/>
        </w:rPr>
        <w:t xml:space="preserve">versión. </w:t>
      </w:r>
      <w:proofErr w:type="spellStart"/>
      <w:r w:rsidR="008B729E" w:rsidRPr="00D37527">
        <w:rPr>
          <w:rFonts w:ascii="Verdana" w:hAnsi="Verdana"/>
          <w:lang w:val="es-ES"/>
        </w:rPr>
        <w:t>Int</w:t>
      </w:r>
      <w:proofErr w:type="spellEnd"/>
      <w:r w:rsidRPr="00D37527">
        <w:rPr>
          <w:rFonts w:ascii="Verdana" w:hAnsi="Verdana"/>
          <w:lang w:val="es-ES"/>
        </w:rPr>
        <w:t xml:space="preserve">. J. </w:t>
      </w:r>
      <w:proofErr w:type="spellStart"/>
      <w:r w:rsidRPr="00D37527">
        <w:rPr>
          <w:rFonts w:ascii="Verdana" w:hAnsi="Verdana"/>
          <w:lang w:val="es-ES"/>
        </w:rPr>
        <w:t>Med</w:t>
      </w:r>
      <w:proofErr w:type="spellEnd"/>
      <w:r w:rsidRPr="00D37527">
        <w:rPr>
          <w:rFonts w:ascii="Verdana" w:hAnsi="Verdana"/>
          <w:lang w:val="es-ES"/>
        </w:rPr>
        <w:t xml:space="preserve">. </w:t>
      </w:r>
      <w:proofErr w:type="spellStart"/>
      <w:r w:rsidRPr="00D37527">
        <w:rPr>
          <w:rFonts w:ascii="Verdana" w:hAnsi="Verdana"/>
          <w:lang w:val="es-ES"/>
        </w:rPr>
        <w:t>Surg.Sci</w:t>
      </w:r>
      <w:proofErr w:type="spellEnd"/>
      <w:r w:rsidRPr="00D37527">
        <w:rPr>
          <w:rFonts w:ascii="Verdana" w:hAnsi="Verdana"/>
          <w:lang w:val="es-ES"/>
        </w:rPr>
        <w:t xml:space="preserve">.; 2017. [consultado 2019 sept 9] 1(4): 339-346. Disponible en: </w:t>
      </w:r>
      <w:r w:rsidRPr="00D37527">
        <w:rPr>
          <w:rFonts w:ascii="Verdana" w:hAnsi="Verdana"/>
          <w:color w:val="0563C1"/>
          <w:u w:val="single"/>
          <w:lang w:val="es-ES"/>
        </w:rPr>
        <w:t>https://www.wma.net/es/policies-post/declaracion-de-helsinki-de-la-</w:t>
      </w:r>
      <w:r w:rsidRPr="00D37527">
        <w:rPr>
          <w:rFonts w:ascii="Verdana" w:hAnsi="Verdana"/>
          <w:color w:val="0563C1"/>
          <w:u w:val="single"/>
          <w:lang w:val="es-ES"/>
        </w:rPr>
        <w:lastRenderedPageBreak/>
        <w:t>amm-principios-eticos-para-las-investigaciones-medicas-en-seres-humanos/</w:t>
      </w:r>
    </w:p>
    <w:p w14:paraId="05A55B50" w14:textId="77777777" w:rsidR="002B58E3" w:rsidRPr="001234B2" w:rsidRDefault="002B58E3" w:rsidP="007D3421">
      <w:pPr>
        <w:numPr>
          <w:ilvl w:val="0"/>
          <w:numId w:val="1"/>
        </w:numPr>
        <w:spacing w:after="0" w:line="360" w:lineRule="auto"/>
        <w:ind w:left="644"/>
        <w:contextualSpacing/>
        <w:jc w:val="both"/>
        <w:rPr>
          <w:rFonts w:ascii="Verdana" w:hAnsi="Verdana"/>
          <w:lang w:val="es-ES"/>
        </w:rPr>
      </w:pPr>
      <w:proofErr w:type="spellStart"/>
      <w:r w:rsidRPr="001234B2">
        <w:rPr>
          <w:rFonts w:ascii="Verdana" w:hAnsi="Verdana"/>
          <w:lang w:val="es-ES"/>
        </w:rPr>
        <w:t>Názara</w:t>
      </w:r>
      <w:proofErr w:type="spellEnd"/>
      <w:r w:rsidRPr="001234B2">
        <w:rPr>
          <w:rFonts w:ascii="Verdana" w:hAnsi="Verdana"/>
          <w:lang w:val="es-ES"/>
        </w:rPr>
        <w:t xml:space="preserve"> CA. Factores de riesgo cardiovascular y síndrome metabólico en población laboral (sector industrial). Estudio de cohortes a 5 años.[Internet][Tesis Doctoral], Galicia Universidad de Vigo, Facultad de Biología; 2017. [citado 2017 </w:t>
      </w:r>
      <w:proofErr w:type="spellStart"/>
      <w:r w:rsidRPr="001234B2">
        <w:rPr>
          <w:rFonts w:ascii="Verdana" w:hAnsi="Verdana"/>
          <w:lang w:val="es-ES"/>
        </w:rPr>
        <w:t>march</w:t>
      </w:r>
      <w:proofErr w:type="spellEnd"/>
      <w:r w:rsidRPr="001234B2">
        <w:rPr>
          <w:rFonts w:ascii="Verdana" w:hAnsi="Verdana"/>
          <w:lang w:val="es-ES"/>
        </w:rPr>
        <w:t xml:space="preserve"> 22]</w:t>
      </w:r>
    </w:p>
    <w:p w14:paraId="33ACB367" w14:textId="1C34B494" w:rsidR="002B58E3" w:rsidRPr="001234B2" w:rsidRDefault="002B58E3" w:rsidP="007D3421">
      <w:pPr>
        <w:numPr>
          <w:ilvl w:val="0"/>
          <w:numId w:val="1"/>
        </w:numPr>
        <w:spacing w:after="0" w:line="360" w:lineRule="auto"/>
        <w:ind w:left="644"/>
        <w:contextualSpacing/>
        <w:jc w:val="both"/>
        <w:rPr>
          <w:rFonts w:ascii="Verdana" w:hAnsi="Verdana"/>
          <w:lang w:val="es-ES"/>
        </w:rPr>
      </w:pPr>
      <w:r w:rsidRPr="001234B2">
        <w:rPr>
          <w:rFonts w:ascii="Verdana" w:hAnsi="Verdana"/>
        </w:rPr>
        <w:t xml:space="preserve">Yusuf S, Hawken S, </w:t>
      </w:r>
      <w:proofErr w:type="spellStart"/>
      <w:r w:rsidRPr="001234B2">
        <w:rPr>
          <w:rFonts w:ascii="Verdana" w:hAnsi="Verdana"/>
        </w:rPr>
        <w:t>Ôunpuu</w:t>
      </w:r>
      <w:proofErr w:type="spellEnd"/>
      <w:r w:rsidRPr="001234B2">
        <w:rPr>
          <w:rFonts w:ascii="Verdana" w:hAnsi="Verdana"/>
        </w:rPr>
        <w:t xml:space="preserve"> S, Dans T, </w:t>
      </w:r>
      <w:proofErr w:type="spellStart"/>
      <w:r w:rsidRPr="001234B2">
        <w:rPr>
          <w:rFonts w:ascii="Verdana" w:hAnsi="Verdana"/>
        </w:rPr>
        <w:t>Avezum</w:t>
      </w:r>
      <w:proofErr w:type="spellEnd"/>
      <w:r w:rsidRPr="001234B2">
        <w:rPr>
          <w:rFonts w:ascii="Verdana" w:hAnsi="Verdana"/>
        </w:rPr>
        <w:t xml:space="preserve"> A, </w:t>
      </w:r>
      <w:proofErr w:type="spellStart"/>
      <w:r w:rsidRPr="001234B2">
        <w:rPr>
          <w:rFonts w:ascii="Verdana" w:hAnsi="Verdana"/>
        </w:rPr>
        <w:t>Lanas</w:t>
      </w:r>
      <w:proofErr w:type="spellEnd"/>
      <w:r w:rsidRPr="001234B2">
        <w:rPr>
          <w:rFonts w:ascii="Verdana" w:hAnsi="Verdana"/>
        </w:rPr>
        <w:t xml:space="preserve"> F. et al. INTERHEART Study Investigators. Effect of potentially modifiable risk factors associated with myocardial infarction in 52 countries (the INTERHEART study): case-control study, [Internet]. Lancet; 2004. [</w:t>
      </w:r>
      <w:proofErr w:type="spellStart"/>
      <w:r w:rsidRPr="001234B2">
        <w:rPr>
          <w:rFonts w:ascii="Verdana" w:hAnsi="Verdana"/>
        </w:rPr>
        <w:t>citado</w:t>
      </w:r>
      <w:proofErr w:type="spellEnd"/>
      <w:r w:rsidRPr="001234B2">
        <w:rPr>
          <w:rFonts w:ascii="Verdana" w:hAnsi="Verdana"/>
        </w:rPr>
        <w:t xml:space="preserve"> 9 sept 2019]</w:t>
      </w:r>
      <w:r w:rsidRPr="001234B2">
        <w:rPr>
          <w:rFonts w:ascii="Verdana" w:hAnsi="Verdana"/>
          <w:lang w:val="es-ES"/>
        </w:rPr>
        <w:t xml:space="preserve">; 364(9438): 937-952. Disponible </w:t>
      </w:r>
      <w:r w:rsidR="008B729E" w:rsidRPr="001234B2">
        <w:rPr>
          <w:rFonts w:ascii="Verdana" w:hAnsi="Verdana"/>
          <w:lang w:val="es-ES"/>
        </w:rPr>
        <w:t>en:</w:t>
      </w:r>
      <w:r w:rsidRPr="001234B2">
        <w:rPr>
          <w:rFonts w:ascii="Verdana" w:hAnsi="Verdana"/>
          <w:lang w:val="es-ES"/>
        </w:rPr>
        <w:t xml:space="preserve"> DOI: </w:t>
      </w:r>
      <w:hyperlink r:id="rId15" w:tgtFrame="_blank" w:history="1">
        <w:r w:rsidRPr="001234B2">
          <w:rPr>
            <w:rFonts w:ascii="Verdana" w:hAnsi="Verdana"/>
            <w:color w:val="0000FF"/>
            <w:u w:val="single"/>
            <w:lang w:val="es-ES"/>
          </w:rPr>
          <w:t xml:space="preserve">10.1016/S0140-6736(04)17018-9 </w:t>
        </w:r>
      </w:hyperlink>
    </w:p>
    <w:p w14:paraId="036B37C2" w14:textId="77777777" w:rsidR="002B58E3" w:rsidRPr="001234B2" w:rsidRDefault="002B58E3" w:rsidP="007D3421">
      <w:pPr>
        <w:numPr>
          <w:ilvl w:val="0"/>
          <w:numId w:val="1"/>
        </w:numPr>
        <w:spacing w:after="0" w:line="360" w:lineRule="auto"/>
        <w:ind w:left="644"/>
        <w:contextualSpacing/>
        <w:jc w:val="both"/>
        <w:rPr>
          <w:rFonts w:ascii="Verdana" w:hAnsi="Verdana"/>
        </w:rPr>
      </w:pPr>
      <w:r w:rsidRPr="001234B2">
        <w:rPr>
          <w:rFonts w:ascii="Verdana" w:hAnsi="Verdana"/>
        </w:rPr>
        <w:t xml:space="preserve">O’Donnell MJ, Xavier D, </w:t>
      </w:r>
      <w:proofErr w:type="spellStart"/>
      <w:r w:rsidRPr="001234B2">
        <w:rPr>
          <w:rFonts w:ascii="Verdana" w:hAnsi="Verdana"/>
        </w:rPr>
        <w:t>Lisheng</w:t>
      </w:r>
      <w:proofErr w:type="spellEnd"/>
      <w:r w:rsidRPr="001234B2">
        <w:rPr>
          <w:rFonts w:ascii="Verdana" w:hAnsi="Verdana"/>
        </w:rPr>
        <w:t xml:space="preserve"> l, Zhang H, Chin SL, Rao-</w:t>
      </w:r>
      <w:proofErr w:type="spellStart"/>
      <w:r w:rsidRPr="001234B2">
        <w:rPr>
          <w:rFonts w:ascii="Verdana" w:hAnsi="Verdana"/>
        </w:rPr>
        <w:t>Melacini</w:t>
      </w:r>
      <w:proofErr w:type="spellEnd"/>
      <w:r w:rsidRPr="001234B2">
        <w:rPr>
          <w:rFonts w:ascii="Verdana" w:hAnsi="Verdana"/>
        </w:rPr>
        <w:t xml:space="preserve"> P, et al. Risk factors for </w:t>
      </w:r>
      <w:proofErr w:type="spellStart"/>
      <w:r w:rsidRPr="001234B2">
        <w:rPr>
          <w:rFonts w:ascii="Verdana" w:hAnsi="Verdana"/>
        </w:rPr>
        <w:t>ischaemic</w:t>
      </w:r>
      <w:proofErr w:type="spellEnd"/>
      <w:r w:rsidRPr="001234B2">
        <w:rPr>
          <w:rFonts w:ascii="Verdana" w:hAnsi="Verdana"/>
        </w:rPr>
        <w:t xml:space="preserve"> and </w:t>
      </w:r>
      <w:proofErr w:type="spellStart"/>
      <w:r w:rsidRPr="001234B2">
        <w:rPr>
          <w:rFonts w:ascii="Verdana" w:hAnsi="Verdana"/>
        </w:rPr>
        <w:t>haemorrhagic</w:t>
      </w:r>
      <w:proofErr w:type="spellEnd"/>
      <w:r w:rsidRPr="001234B2">
        <w:rPr>
          <w:rFonts w:ascii="Verdana" w:hAnsi="Verdana"/>
        </w:rPr>
        <w:t xml:space="preserve"> stroke in 22 countries: (The INTERSTROKE study): a case – control study. [Internet]. Lancet ; 2010. [</w:t>
      </w:r>
      <w:proofErr w:type="spellStart"/>
      <w:r w:rsidRPr="001234B2">
        <w:rPr>
          <w:rFonts w:ascii="Verdana" w:hAnsi="Verdana"/>
        </w:rPr>
        <w:t>citado</w:t>
      </w:r>
      <w:proofErr w:type="spellEnd"/>
      <w:r w:rsidRPr="001234B2">
        <w:rPr>
          <w:rFonts w:ascii="Verdana" w:hAnsi="Verdana"/>
        </w:rPr>
        <w:t xml:space="preserve"> 9 sept 2019];   376(9735):112-123. Disponible en: DOI: </w:t>
      </w:r>
      <w:hyperlink r:id="rId16" w:tgtFrame="_blank" w:history="1">
        <w:r w:rsidRPr="001234B2">
          <w:rPr>
            <w:rFonts w:ascii="Verdana" w:hAnsi="Verdana"/>
            <w:color w:val="0000FF"/>
            <w:u w:val="single"/>
          </w:rPr>
          <w:t xml:space="preserve">10.1016/S0140-6736(10)60834-3 </w:t>
        </w:r>
      </w:hyperlink>
    </w:p>
    <w:p w14:paraId="0013D29A" w14:textId="77777777" w:rsidR="00D37527" w:rsidRDefault="002B58E3" w:rsidP="007D3421">
      <w:pPr>
        <w:numPr>
          <w:ilvl w:val="0"/>
          <w:numId w:val="1"/>
        </w:numPr>
        <w:spacing w:after="0" w:line="360" w:lineRule="auto"/>
        <w:ind w:left="644"/>
        <w:contextualSpacing/>
        <w:jc w:val="both"/>
        <w:rPr>
          <w:rFonts w:ascii="Verdana" w:hAnsi="Verdana"/>
          <w:lang w:val="es-ES"/>
        </w:rPr>
      </w:pPr>
      <w:r w:rsidRPr="001234B2">
        <w:rPr>
          <w:rFonts w:ascii="Verdana" w:hAnsi="Verdana"/>
          <w:lang w:val="es-ES"/>
        </w:rPr>
        <w:t xml:space="preserve">González </w:t>
      </w:r>
      <w:proofErr w:type="spellStart"/>
      <w:r w:rsidRPr="001234B2">
        <w:rPr>
          <w:rFonts w:ascii="Verdana" w:hAnsi="Verdana"/>
          <w:lang w:val="es-ES"/>
        </w:rPr>
        <w:t>Sotolongo</w:t>
      </w:r>
      <w:proofErr w:type="spellEnd"/>
      <w:r w:rsidRPr="001234B2">
        <w:rPr>
          <w:rFonts w:ascii="Verdana" w:hAnsi="Verdana"/>
          <w:lang w:val="es-ES"/>
        </w:rPr>
        <w:t xml:space="preserve"> O C, Arpa GA, Ferrándiz BE. Síndrome metabólico y riesgo cardiovascular en trabajadoras(es) de una institución de salud.  [Internet].  </w:t>
      </w:r>
      <w:proofErr w:type="spellStart"/>
      <w:r w:rsidRPr="001234B2">
        <w:rPr>
          <w:rFonts w:ascii="Verdana" w:hAnsi="Verdana"/>
          <w:lang w:val="es-ES"/>
        </w:rPr>
        <w:t>Rev</w:t>
      </w:r>
      <w:proofErr w:type="spellEnd"/>
      <w:r w:rsidRPr="001234B2">
        <w:rPr>
          <w:rFonts w:ascii="Verdana" w:hAnsi="Verdana"/>
          <w:lang w:val="es-ES"/>
        </w:rPr>
        <w:t xml:space="preserve"> Cubana </w:t>
      </w:r>
      <w:proofErr w:type="spellStart"/>
      <w:r w:rsidRPr="001234B2">
        <w:rPr>
          <w:rFonts w:ascii="Verdana" w:hAnsi="Verdana"/>
          <w:lang w:val="es-ES"/>
        </w:rPr>
        <w:t>Med</w:t>
      </w:r>
      <w:proofErr w:type="spellEnd"/>
      <w:r w:rsidRPr="001234B2">
        <w:rPr>
          <w:rFonts w:ascii="Verdana" w:hAnsi="Verdana"/>
          <w:lang w:val="es-ES"/>
        </w:rPr>
        <w:t xml:space="preserve"> Mil.;2015. [citado 25 sept 2021]; 44(3):263-76.Disponible en : </w:t>
      </w:r>
      <w:hyperlink r:id="rId17" w:history="1">
        <w:r w:rsidRPr="001234B2">
          <w:rPr>
            <w:rFonts w:ascii="Verdana" w:hAnsi="Verdana"/>
            <w:color w:val="0563C1"/>
            <w:u w:val="single"/>
            <w:lang w:val="es-ES"/>
          </w:rPr>
          <w:t>https://scielo.sls.cu/scielo.php?script=sci</w:t>
        </w:r>
        <w:r w:rsidRPr="001234B2">
          <w:rPr>
            <w:rFonts w:ascii="Verdana" w:hAnsi="Verdana"/>
            <w:color w:val="0563C1"/>
            <w:u w:val="single"/>
            <w:vertAlign w:val="subscript"/>
            <w:lang w:val="es-ES"/>
          </w:rPr>
          <w:t>-</w:t>
        </w:r>
        <w:r w:rsidRPr="001234B2">
          <w:rPr>
            <w:rFonts w:ascii="Verdana" w:hAnsi="Verdana"/>
            <w:color w:val="0563C1"/>
            <w:u w:val="single"/>
            <w:lang w:val="es-ES"/>
          </w:rPr>
          <w:t>arttext&amp;pid=S0138-65572015000300001&amp;Ing=es</w:t>
        </w:r>
      </w:hyperlink>
    </w:p>
    <w:p w14:paraId="45E4EA96" w14:textId="35B1C65E" w:rsidR="002B58E3" w:rsidRPr="00D37527" w:rsidRDefault="002B58E3" w:rsidP="007D3421">
      <w:pPr>
        <w:numPr>
          <w:ilvl w:val="0"/>
          <w:numId w:val="1"/>
        </w:numPr>
        <w:spacing w:after="0" w:line="360" w:lineRule="auto"/>
        <w:ind w:left="644"/>
        <w:contextualSpacing/>
        <w:jc w:val="both"/>
        <w:rPr>
          <w:rFonts w:ascii="Verdana" w:hAnsi="Verdana"/>
          <w:lang w:val="es-ES"/>
        </w:rPr>
      </w:pPr>
      <w:r w:rsidRPr="00D37527">
        <w:rPr>
          <w:rFonts w:ascii="Verdana" w:hAnsi="Verdana"/>
          <w:lang w:val="es-ES"/>
        </w:rPr>
        <w:t xml:space="preserve">Querales M, Cruces M E, Mendoza C, </w:t>
      </w:r>
      <w:proofErr w:type="spellStart"/>
      <w:r w:rsidRPr="00D37527">
        <w:rPr>
          <w:rFonts w:ascii="Verdana" w:hAnsi="Verdana"/>
          <w:lang w:val="es-ES"/>
        </w:rPr>
        <w:t>Malvacia</w:t>
      </w:r>
      <w:proofErr w:type="spellEnd"/>
      <w:r w:rsidRPr="00D37527">
        <w:rPr>
          <w:rFonts w:ascii="Verdana" w:hAnsi="Verdana"/>
          <w:lang w:val="es-ES"/>
        </w:rPr>
        <w:t xml:space="preserve"> F, Mendoza M, et al. Niveles de apolipoproteína B en un grupo de pacientes con síndrome metabólico. </w:t>
      </w:r>
      <w:r w:rsidRPr="00D37527">
        <w:rPr>
          <w:rFonts w:ascii="Verdana" w:hAnsi="Verdana"/>
        </w:rPr>
        <w:t xml:space="preserve">Rev. </w:t>
      </w:r>
      <w:proofErr w:type="spellStart"/>
      <w:r w:rsidRPr="00D37527">
        <w:rPr>
          <w:rFonts w:ascii="Verdana" w:hAnsi="Verdana"/>
        </w:rPr>
        <w:t>Latinoam</w:t>
      </w:r>
      <w:proofErr w:type="spellEnd"/>
      <w:r w:rsidRPr="00D37527">
        <w:rPr>
          <w:rFonts w:ascii="Verdana" w:hAnsi="Verdana"/>
        </w:rPr>
        <w:t xml:space="preserve"> </w:t>
      </w:r>
      <w:proofErr w:type="spellStart"/>
      <w:r w:rsidRPr="00D37527">
        <w:rPr>
          <w:rFonts w:ascii="Verdana" w:hAnsi="Verdana"/>
        </w:rPr>
        <w:t>Patol</w:t>
      </w:r>
      <w:proofErr w:type="spellEnd"/>
      <w:r w:rsidRPr="00D37527">
        <w:rPr>
          <w:rFonts w:ascii="Verdana" w:hAnsi="Verdana"/>
        </w:rPr>
        <w:t xml:space="preserve"> Clin Med Lab 2014; 61(2):78-83. Disponible en: </w:t>
      </w:r>
      <w:r w:rsidRPr="00D37527">
        <w:rPr>
          <w:rFonts w:ascii="Verdana" w:hAnsi="Verdana"/>
          <w:color w:val="2E74B5"/>
          <w:u w:val="single"/>
        </w:rPr>
        <w:t>http://</w:t>
      </w:r>
      <w:hyperlink r:id="rId18">
        <w:r w:rsidRPr="00D37527">
          <w:rPr>
            <w:rFonts w:ascii="Verdana" w:hAnsi="Verdana"/>
            <w:color w:val="2E74B5"/>
            <w:u w:val="single"/>
          </w:rPr>
          <w:t>www. medigraphic.com/</w:t>
        </w:r>
        <w:proofErr w:type="spellStart"/>
        <w:r w:rsidRPr="00D37527">
          <w:rPr>
            <w:rFonts w:ascii="Verdana" w:hAnsi="Verdana"/>
            <w:color w:val="2E74B5"/>
            <w:u w:val="single"/>
          </w:rPr>
          <w:t>patologiaclinica</w:t>
        </w:r>
        <w:proofErr w:type="spellEnd"/>
      </w:hyperlink>
      <w:hyperlink r:id="rId19">
        <w:r w:rsidRPr="00D37527">
          <w:rPr>
            <w:rFonts w:ascii="Verdana" w:hAnsi="Verdana"/>
            <w:color w:val="1F4E79"/>
            <w:u w:val="single"/>
          </w:rPr>
          <w:t xml:space="preserve"> </w:t>
        </w:r>
      </w:hyperlink>
      <w:r w:rsidRPr="00D37527">
        <w:rPr>
          <w:rFonts w:ascii="Verdana" w:hAnsi="Verdana"/>
          <w:color w:val="1F4E79"/>
          <w:u w:val="single"/>
        </w:rPr>
        <w:t xml:space="preserve">  </w:t>
      </w:r>
    </w:p>
    <w:p w14:paraId="5DE72338" w14:textId="77777777" w:rsidR="008B729E" w:rsidRDefault="002B58E3" w:rsidP="007D3421">
      <w:pPr>
        <w:numPr>
          <w:ilvl w:val="0"/>
          <w:numId w:val="1"/>
        </w:numPr>
        <w:spacing w:after="0" w:line="360" w:lineRule="auto"/>
        <w:ind w:left="644"/>
        <w:contextualSpacing/>
        <w:jc w:val="both"/>
        <w:rPr>
          <w:rFonts w:ascii="Verdana" w:hAnsi="Verdana"/>
          <w:lang w:val="es-ES"/>
        </w:rPr>
      </w:pPr>
      <w:r w:rsidRPr="001234B2">
        <w:rPr>
          <w:rFonts w:ascii="Verdana" w:hAnsi="Verdana"/>
          <w:lang w:val="es-ES"/>
        </w:rPr>
        <w:t>Pallarés CV, Velo PF, Martí BM, Rodríguez AM, Amigó GN. La dislipemia en nuestra sociedad: ¿Hay algo más allá del perfil lipídico?  [Internet].</w:t>
      </w:r>
      <w:proofErr w:type="spellStart"/>
      <w:r w:rsidRPr="001234B2">
        <w:rPr>
          <w:rFonts w:ascii="Verdana" w:hAnsi="Verdana"/>
          <w:lang w:val="es-ES"/>
        </w:rPr>
        <w:t>Med</w:t>
      </w:r>
      <w:proofErr w:type="spellEnd"/>
      <w:r w:rsidRPr="001234B2">
        <w:rPr>
          <w:rFonts w:ascii="Verdana" w:hAnsi="Verdana"/>
          <w:lang w:val="es-ES"/>
        </w:rPr>
        <w:t xml:space="preserve"> Segur </w:t>
      </w:r>
      <w:proofErr w:type="spellStart"/>
      <w:r w:rsidRPr="001234B2">
        <w:rPr>
          <w:rFonts w:ascii="Verdana" w:hAnsi="Verdana"/>
          <w:lang w:val="es-ES"/>
        </w:rPr>
        <w:t>Trab</w:t>
      </w:r>
      <w:proofErr w:type="spellEnd"/>
      <w:r w:rsidRPr="001234B2">
        <w:rPr>
          <w:rFonts w:ascii="Verdana" w:hAnsi="Verdana"/>
          <w:lang w:val="es-ES"/>
        </w:rPr>
        <w:t>.; 2018. [citado 25 sept 2021];  64(253):345-53. Disponible en :</w:t>
      </w:r>
      <w:hyperlink r:id="rId20" w:history="1">
        <w:r w:rsidR="00D37527" w:rsidRPr="00C25999">
          <w:rPr>
            <w:rStyle w:val="Hipervnculo"/>
            <w:rFonts w:ascii="Verdana" w:hAnsi="Verdana"/>
            <w:lang w:val="es-ES"/>
          </w:rPr>
          <w:t>https://scielo.isciii.Es/scielo.php?script=sciarttext&amp;pid=S0465546X2018000400345</w:t>
        </w:r>
      </w:hyperlink>
    </w:p>
    <w:p w14:paraId="44C850BD" w14:textId="139609D6" w:rsidR="00D37527" w:rsidRPr="008B729E" w:rsidRDefault="00D37527" w:rsidP="007D3421">
      <w:pPr>
        <w:numPr>
          <w:ilvl w:val="0"/>
          <w:numId w:val="1"/>
        </w:numPr>
        <w:spacing w:after="0" w:line="360" w:lineRule="auto"/>
        <w:ind w:left="644"/>
        <w:contextualSpacing/>
        <w:jc w:val="both"/>
        <w:rPr>
          <w:rFonts w:ascii="Verdana" w:hAnsi="Verdana"/>
          <w:lang w:val="es-ES"/>
        </w:rPr>
      </w:pPr>
      <w:r w:rsidRPr="008B729E">
        <w:rPr>
          <w:rFonts w:ascii="Verdana" w:hAnsi="Verdana"/>
          <w:lang w:val="es-ES"/>
        </w:rPr>
        <w:lastRenderedPageBreak/>
        <w:t>Varona Pérez P, Armas N, Suárez Medina D, Dueñas Herrera A, Gámez Sánchez D, Ortega Torres YY. Niveles plasmáticos de la razón</w:t>
      </w:r>
      <w:r w:rsidRPr="008B729E">
        <w:rPr>
          <w:rFonts w:ascii="Verdana" w:hAnsi="Verdana"/>
          <w:lang w:val="es-ES"/>
        </w:rPr>
        <w:t xml:space="preserve"> </w:t>
      </w:r>
      <w:proofErr w:type="spellStart"/>
      <w:r w:rsidRPr="008B729E">
        <w:rPr>
          <w:rFonts w:ascii="Verdana" w:hAnsi="Verdana"/>
          <w:lang w:val="es-ES"/>
        </w:rPr>
        <w:t>Apolipoprote</w:t>
      </w:r>
      <w:r w:rsidRPr="008B729E">
        <w:rPr>
          <w:rFonts w:ascii="Verdana" w:hAnsi="Verdana"/>
          <w:lang w:val="es-ES"/>
        </w:rPr>
        <w:t>ina</w:t>
      </w:r>
      <w:proofErr w:type="spellEnd"/>
      <w:r w:rsidRPr="008B729E">
        <w:rPr>
          <w:rFonts w:ascii="Verdana" w:hAnsi="Verdana"/>
          <w:lang w:val="es-ES"/>
        </w:rPr>
        <w:t xml:space="preserve"> B/A1 y riesgo cardiovascular en la población cubana. Rev. </w:t>
      </w:r>
      <w:r w:rsidR="008B729E" w:rsidRPr="008B729E">
        <w:rPr>
          <w:rFonts w:ascii="Verdana" w:hAnsi="Verdana"/>
          <w:lang w:val="es-ES"/>
        </w:rPr>
        <w:t>cuba.Cardiol.Cir</w:t>
      </w:r>
      <w:r w:rsidRPr="008B729E">
        <w:rPr>
          <w:rFonts w:ascii="Verdana" w:hAnsi="Verdana"/>
          <w:lang w:val="es-ES"/>
        </w:rPr>
        <w:t>.Cardiovasc.2018[acceso9/9/2919];24(3):112:[aprox.11p.].Disponible</w:t>
      </w:r>
      <w:r w:rsidR="008B729E">
        <w:rPr>
          <w:rFonts w:ascii="Verdana" w:hAnsi="Verdana"/>
          <w:lang w:val="es-ES"/>
        </w:rPr>
        <w:t xml:space="preserve"> </w:t>
      </w:r>
      <w:r w:rsidRPr="008B729E">
        <w:rPr>
          <w:rFonts w:ascii="Verdana" w:hAnsi="Verdana"/>
          <w:lang w:val="es-ES"/>
        </w:rPr>
        <w:t>en:</w:t>
      </w:r>
      <w:r w:rsidR="007D3421">
        <w:rPr>
          <w:rFonts w:ascii="Verdana" w:hAnsi="Verdana"/>
          <w:lang w:val="es-ES"/>
        </w:rPr>
        <w:t xml:space="preserve"> </w:t>
      </w:r>
      <w:hyperlink r:id="rId21" w:history="1">
        <w:r w:rsidR="007D3421" w:rsidRPr="001A53CC">
          <w:rPr>
            <w:rStyle w:val="Hipervnculo"/>
            <w:rFonts w:ascii="Verdana" w:hAnsi="Verdana"/>
            <w:lang w:val="es-ES"/>
          </w:rPr>
          <w:t>http://www.Revcardiologia</w:t>
        </w:r>
      </w:hyperlink>
      <w:r w:rsidRPr="008B729E">
        <w:rPr>
          <w:rFonts w:ascii="Verdana" w:hAnsi="Verdana"/>
          <w:lang w:val="es-ES"/>
        </w:rPr>
        <w:t>.sld.cu/index.</w:t>
      </w:r>
      <w:r w:rsidR="008B729E" w:rsidRPr="008B729E">
        <w:rPr>
          <w:rFonts w:ascii="Verdana" w:hAnsi="Verdana"/>
          <w:lang w:val="es-ES"/>
        </w:rPr>
        <w:t>P</w:t>
      </w:r>
      <w:r w:rsidRPr="008B729E">
        <w:rPr>
          <w:rFonts w:ascii="Verdana" w:hAnsi="Verdana"/>
          <w:lang w:val="es-ES"/>
        </w:rPr>
        <w:t>hp/</w:t>
      </w:r>
      <w:r w:rsidRPr="008B729E">
        <w:rPr>
          <w:rFonts w:ascii="Verdana" w:hAnsi="Verdana"/>
          <w:lang w:val="es-ES"/>
        </w:rPr>
        <w:t xml:space="preserve"> </w:t>
      </w:r>
      <w:proofErr w:type="spellStart"/>
      <w:r w:rsidRPr="008B729E">
        <w:rPr>
          <w:rFonts w:ascii="Verdana" w:hAnsi="Verdana"/>
          <w:lang w:val="es-ES"/>
        </w:rPr>
        <w:t>revcardiologia</w:t>
      </w:r>
      <w:proofErr w:type="spellEnd"/>
      <w:r w:rsidRPr="008B729E">
        <w:rPr>
          <w:rFonts w:ascii="Verdana" w:hAnsi="Verdana"/>
          <w:lang w:val="es-ES"/>
        </w:rPr>
        <w:t>/</w:t>
      </w:r>
      <w:proofErr w:type="spellStart"/>
      <w:r w:rsidRPr="008B729E">
        <w:rPr>
          <w:rFonts w:ascii="Verdana" w:hAnsi="Verdana"/>
          <w:lang w:val="es-ES"/>
        </w:rPr>
        <w:t>article</w:t>
      </w:r>
      <w:proofErr w:type="spellEnd"/>
      <w:r w:rsidRPr="008B729E">
        <w:rPr>
          <w:rFonts w:ascii="Verdana" w:hAnsi="Verdana"/>
          <w:lang w:val="es-ES"/>
        </w:rPr>
        <w:t>/</w:t>
      </w:r>
      <w:proofErr w:type="spellStart"/>
      <w:r w:rsidRPr="008B729E">
        <w:rPr>
          <w:rFonts w:ascii="Verdana" w:hAnsi="Verdana"/>
          <w:lang w:val="es-ES"/>
        </w:rPr>
        <w:t>view</w:t>
      </w:r>
      <w:proofErr w:type="spellEnd"/>
      <w:r w:rsidRPr="008B729E">
        <w:rPr>
          <w:rFonts w:ascii="Verdana" w:hAnsi="Verdana"/>
          <w:lang w:val="es-ES"/>
        </w:rPr>
        <w:t>/790</w:t>
      </w:r>
      <w:r w:rsidR="008B729E">
        <w:rPr>
          <w:rFonts w:ascii="Verdana" w:hAnsi="Verdana"/>
          <w:lang w:val="es-ES"/>
        </w:rPr>
        <w:t xml:space="preserve"> </w:t>
      </w:r>
    </w:p>
    <w:p w14:paraId="03E22B4B" w14:textId="0DC4DFF1" w:rsidR="00D37527" w:rsidRDefault="00D37527" w:rsidP="007D3421">
      <w:pPr>
        <w:pStyle w:val="Prrafodelista"/>
        <w:numPr>
          <w:ilvl w:val="0"/>
          <w:numId w:val="1"/>
        </w:numPr>
        <w:spacing w:line="360" w:lineRule="auto"/>
        <w:jc w:val="both"/>
        <w:rPr>
          <w:rFonts w:ascii="Verdana" w:hAnsi="Verdana"/>
          <w:lang w:val="es-ES"/>
        </w:rPr>
      </w:pPr>
      <w:r w:rsidRPr="00D37527">
        <w:rPr>
          <w:rFonts w:ascii="Verdana" w:hAnsi="Verdana"/>
          <w:lang w:val="es-ES"/>
        </w:rPr>
        <w:t xml:space="preserve">Pan L, Lu G, Chen Ruíz-Fernández N, Espinoza-Zavala M, Leal-Herrera González U. The </w:t>
      </w:r>
      <w:proofErr w:type="spellStart"/>
      <w:r w:rsidRPr="00D37527">
        <w:rPr>
          <w:rFonts w:ascii="Verdana" w:hAnsi="Verdana"/>
          <w:lang w:val="es-ES"/>
        </w:rPr>
        <w:t>combination</w:t>
      </w:r>
      <w:proofErr w:type="spellEnd"/>
      <w:r w:rsidRPr="00D37527">
        <w:rPr>
          <w:rFonts w:ascii="Verdana" w:hAnsi="Verdana"/>
          <w:lang w:val="es-ES"/>
        </w:rPr>
        <w:t xml:space="preserve"> </w:t>
      </w:r>
      <w:proofErr w:type="spellStart"/>
      <w:r w:rsidRPr="00D37527">
        <w:rPr>
          <w:rFonts w:ascii="Verdana" w:hAnsi="Verdana"/>
          <w:lang w:val="es-ES"/>
        </w:rPr>
        <w:t>of</w:t>
      </w:r>
      <w:proofErr w:type="spellEnd"/>
      <w:r w:rsidRPr="00D37527">
        <w:rPr>
          <w:rFonts w:ascii="Verdana" w:hAnsi="Verdana"/>
          <w:lang w:val="es-ES"/>
        </w:rPr>
        <w:t xml:space="preserve"> ApoB/ApoA1 and non-HDL-C </w:t>
      </w:r>
      <w:proofErr w:type="spellStart"/>
      <w:r w:rsidRPr="00D37527">
        <w:rPr>
          <w:rFonts w:ascii="Verdana" w:hAnsi="Verdana"/>
          <w:lang w:val="es-ES"/>
        </w:rPr>
        <w:t>had</w:t>
      </w:r>
      <w:proofErr w:type="spellEnd"/>
      <w:r w:rsidRPr="00D37527">
        <w:rPr>
          <w:rFonts w:ascii="Verdana" w:hAnsi="Verdana"/>
          <w:lang w:val="es-ES"/>
        </w:rPr>
        <w:t xml:space="preserve"> </w:t>
      </w:r>
      <w:proofErr w:type="spellStart"/>
      <w:r w:rsidRPr="00D37527">
        <w:rPr>
          <w:rFonts w:ascii="Verdana" w:hAnsi="Verdana"/>
          <w:lang w:val="es-ES"/>
        </w:rPr>
        <w:t>even</w:t>
      </w:r>
      <w:proofErr w:type="spellEnd"/>
      <w:r w:rsidRPr="00D37527">
        <w:rPr>
          <w:rFonts w:ascii="Verdana" w:hAnsi="Verdana"/>
          <w:lang w:val="es-ES"/>
        </w:rPr>
        <w:t xml:space="preserve"> </w:t>
      </w:r>
      <w:proofErr w:type="spellStart"/>
      <w:r w:rsidRPr="00D37527">
        <w:rPr>
          <w:rFonts w:ascii="Verdana" w:hAnsi="Verdana"/>
          <w:lang w:val="es-ES"/>
        </w:rPr>
        <w:t>greater</w:t>
      </w:r>
      <w:proofErr w:type="spellEnd"/>
      <w:r w:rsidRPr="00D37527">
        <w:rPr>
          <w:rFonts w:ascii="Verdana" w:hAnsi="Verdana"/>
          <w:lang w:val="es-ES"/>
        </w:rPr>
        <w:t xml:space="preserve"> predictive </w:t>
      </w:r>
      <w:proofErr w:type="spellStart"/>
      <w:r w:rsidRPr="00D37527">
        <w:rPr>
          <w:rFonts w:ascii="Verdana" w:hAnsi="Verdana"/>
          <w:lang w:val="es-ES"/>
        </w:rPr>
        <w:t>value</w:t>
      </w:r>
      <w:proofErr w:type="spellEnd"/>
      <w:r w:rsidRPr="00D37527">
        <w:rPr>
          <w:rFonts w:ascii="Verdana" w:hAnsi="Verdana"/>
          <w:lang w:val="es-ES"/>
        </w:rPr>
        <w:t xml:space="preserve"> </w:t>
      </w:r>
      <w:proofErr w:type="spellStart"/>
      <w:r w:rsidRPr="00D37527">
        <w:rPr>
          <w:rFonts w:ascii="Verdana" w:hAnsi="Verdana"/>
          <w:lang w:val="es-ES"/>
        </w:rPr>
        <w:t>than</w:t>
      </w:r>
      <w:proofErr w:type="spellEnd"/>
      <w:r w:rsidRPr="00D37527">
        <w:rPr>
          <w:rFonts w:ascii="Verdana" w:hAnsi="Verdana"/>
          <w:lang w:val="es-ES"/>
        </w:rPr>
        <w:t xml:space="preserve"> </w:t>
      </w:r>
      <w:proofErr w:type="spellStart"/>
      <w:r w:rsidRPr="00D37527">
        <w:rPr>
          <w:rFonts w:ascii="Verdana" w:hAnsi="Verdana"/>
          <w:lang w:val="es-ES"/>
        </w:rPr>
        <w:t>its</w:t>
      </w:r>
      <w:proofErr w:type="spellEnd"/>
      <w:r w:rsidRPr="00D37527">
        <w:rPr>
          <w:rFonts w:ascii="Verdana" w:hAnsi="Verdana"/>
          <w:lang w:val="es-ES"/>
        </w:rPr>
        <w:t xml:space="preserve"> individual </w:t>
      </w:r>
      <w:proofErr w:type="spellStart"/>
      <w:r w:rsidRPr="00D37527">
        <w:rPr>
          <w:rFonts w:ascii="Verdana" w:hAnsi="Verdana"/>
          <w:lang w:val="es-ES"/>
        </w:rPr>
        <w:t>components</w:t>
      </w:r>
      <w:proofErr w:type="spellEnd"/>
      <w:r w:rsidRPr="00D37527">
        <w:rPr>
          <w:rFonts w:ascii="Verdana" w:hAnsi="Verdana"/>
          <w:lang w:val="es-ES"/>
        </w:rPr>
        <w:t xml:space="preserve"> </w:t>
      </w:r>
      <w:proofErr w:type="spellStart"/>
      <w:r w:rsidRPr="00D37527">
        <w:rPr>
          <w:rFonts w:ascii="Verdana" w:hAnsi="Verdana"/>
          <w:lang w:val="es-ES"/>
        </w:rPr>
        <w:t>or</w:t>
      </w:r>
      <w:proofErr w:type="spellEnd"/>
      <w:r w:rsidRPr="00D37527">
        <w:rPr>
          <w:rFonts w:ascii="Verdana" w:hAnsi="Verdana"/>
          <w:lang w:val="es-ES"/>
        </w:rPr>
        <w:t xml:space="preserve"> </w:t>
      </w:r>
      <w:proofErr w:type="spellStart"/>
      <w:r w:rsidRPr="00D37527">
        <w:rPr>
          <w:rFonts w:ascii="Verdana" w:hAnsi="Verdana"/>
          <w:lang w:val="es-ES"/>
        </w:rPr>
        <w:t>other</w:t>
      </w:r>
      <w:proofErr w:type="spellEnd"/>
      <w:r w:rsidRPr="00D37527">
        <w:rPr>
          <w:rFonts w:ascii="Verdana" w:hAnsi="Verdana"/>
          <w:lang w:val="es-ES"/>
        </w:rPr>
        <w:t xml:space="preserve"> </w:t>
      </w:r>
      <w:proofErr w:type="spellStart"/>
      <w:r w:rsidRPr="00D37527">
        <w:rPr>
          <w:rFonts w:ascii="Verdana" w:hAnsi="Verdana"/>
          <w:lang w:val="es-ES"/>
        </w:rPr>
        <w:t>lipid</w:t>
      </w:r>
      <w:proofErr w:type="spellEnd"/>
      <w:r w:rsidRPr="00D37527">
        <w:rPr>
          <w:rFonts w:ascii="Verdana" w:hAnsi="Verdana"/>
          <w:lang w:val="es-ES"/>
        </w:rPr>
        <w:t xml:space="preserve"> </w:t>
      </w:r>
      <w:proofErr w:type="spellStart"/>
      <w:r w:rsidRPr="00D37527">
        <w:rPr>
          <w:rFonts w:ascii="Verdana" w:hAnsi="Verdana"/>
          <w:lang w:val="es-ES"/>
        </w:rPr>
        <w:t>profiles</w:t>
      </w:r>
      <w:proofErr w:type="spellEnd"/>
      <w:r w:rsidRPr="00D37527">
        <w:rPr>
          <w:rFonts w:ascii="Verdana" w:hAnsi="Verdana"/>
          <w:lang w:val="es-ES"/>
        </w:rPr>
        <w:t xml:space="preserve">. </w:t>
      </w:r>
      <w:proofErr w:type="spellStart"/>
      <w:r w:rsidRPr="00D37527">
        <w:rPr>
          <w:rFonts w:ascii="Verdana" w:hAnsi="Verdana"/>
          <w:lang w:val="es-ES"/>
        </w:rPr>
        <w:t>National</w:t>
      </w:r>
      <w:proofErr w:type="spellEnd"/>
      <w:r w:rsidRPr="00D37527">
        <w:rPr>
          <w:rFonts w:ascii="Verdana" w:hAnsi="Verdana"/>
          <w:lang w:val="es-ES"/>
        </w:rPr>
        <w:t xml:space="preserve"> </w:t>
      </w:r>
      <w:proofErr w:type="spellStart"/>
      <w:r w:rsidRPr="00D37527">
        <w:rPr>
          <w:rFonts w:ascii="Verdana" w:hAnsi="Verdana"/>
          <w:lang w:val="es-ES"/>
        </w:rPr>
        <w:t>Journal</w:t>
      </w:r>
      <w:proofErr w:type="spellEnd"/>
      <w:r w:rsidRPr="00D37527">
        <w:rPr>
          <w:rFonts w:ascii="Verdana" w:hAnsi="Verdana"/>
          <w:lang w:val="es-ES"/>
        </w:rPr>
        <w:t xml:space="preserve"> </w:t>
      </w:r>
      <w:proofErr w:type="spellStart"/>
      <w:r w:rsidRPr="00D37527">
        <w:rPr>
          <w:rFonts w:ascii="Verdana" w:hAnsi="Verdana"/>
          <w:lang w:val="es-ES"/>
        </w:rPr>
        <w:t>of</w:t>
      </w:r>
      <w:proofErr w:type="spellEnd"/>
      <w:r w:rsidRPr="00D37527">
        <w:rPr>
          <w:rFonts w:ascii="Verdana" w:hAnsi="Verdana"/>
          <w:lang w:val="es-ES"/>
        </w:rPr>
        <w:t xml:space="preserve"> </w:t>
      </w:r>
      <w:proofErr w:type="spellStart"/>
      <w:r w:rsidRPr="00D37527">
        <w:rPr>
          <w:rFonts w:ascii="Verdana" w:hAnsi="Verdana"/>
          <w:lang w:val="es-ES"/>
        </w:rPr>
        <w:t>Laboratory</w:t>
      </w:r>
      <w:proofErr w:type="spellEnd"/>
      <w:r w:rsidRPr="00D37527">
        <w:rPr>
          <w:rFonts w:ascii="Verdana" w:hAnsi="Verdana"/>
          <w:lang w:val="es-ES"/>
        </w:rPr>
        <w:t xml:space="preserve"> Medicine. 2016 Jul, 5(3): BO01-BO05.</w:t>
      </w:r>
    </w:p>
    <w:p w14:paraId="67B04C57" w14:textId="77777777" w:rsidR="008B729E" w:rsidRPr="008B729E" w:rsidRDefault="008B729E" w:rsidP="007D3421">
      <w:pPr>
        <w:pStyle w:val="Prrafodelista"/>
        <w:numPr>
          <w:ilvl w:val="0"/>
          <w:numId w:val="1"/>
        </w:numPr>
        <w:spacing w:line="360" w:lineRule="auto"/>
        <w:jc w:val="both"/>
        <w:rPr>
          <w:rFonts w:ascii="Verdana" w:hAnsi="Verdana"/>
          <w:lang w:val="es-ES"/>
        </w:rPr>
      </w:pPr>
      <w:r w:rsidRPr="008B729E">
        <w:rPr>
          <w:rFonts w:ascii="Verdana" w:hAnsi="Verdana"/>
          <w:lang w:val="es-ES"/>
        </w:rPr>
        <w:t>Fernández Friera L, Fuster V, López Melgar B, Oliva B, García Ruiz JM, Mendiguren J, et al. Normal LDL-</w:t>
      </w:r>
      <w:proofErr w:type="spellStart"/>
      <w:r w:rsidRPr="008B729E">
        <w:rPr>
          <w:rFonts w:ascii="Verdana" w:hAnsi="Verdana"/>
          <w:lang w:val="es-ES"/>
        </w:rPr>
        <w:t>Cholesterol</w:t>
      </w:r>
      <w:proofErr w:type="spellEnd"/>
      <w:r w:rsidRPr="008B729E">
        <w:rPr>
          <w:rFonts w:ascii="Verdana" w:hAnsi="Verdana"/>
          <w:lang w:val="es-ES"/>
        </w:rPr>
        <w:t xml:space="preserve"> </w:t>
      </w:r>
      <w:proofErr w:type="spellStart"/>
      <w:r w:rsidRPr="008B729E">
        <w:rPr>
          <w:rFonts w:ascii="Verdana" w:hAnsi="Verdana"/>
          <w:lang w:val="es-ES"/>
        </w:rPr>
        <w:t>Levels</w:t>
      </w:r>
      <w:proofErr w:type="spellEnd"/>
      <w:r w:rsidRPr="008B729E">
        <w:rPr>
          <w:rFonts w:ascii="Verdana" w:hAnsi="Verdana"/>
          <w:lang w:val="es-ES"/>
        </w:rPr>
        <w:t xml:space="preserve"> Are </w:t>
      </w:r>
      <w:proofErr w:type="spellStart"/>
      <w:r w:rsidRPr="008B729E">
        <w:rPr>
          <w:rFonts w:ascii="Verdana" w:hAnsi="Verdana"/>
          <w:lang w:val="es-ES"/>
        </w:rPr>
        <w:t>Associated</w:t>
      </w:r>
      <w:proofErr w:type="spellEnd"/>
      <w:r w:rsidRPr="008B729E">
        <w:rPr>
          <w:rFonts w:ascii="Verdana" w:hAnsi="Verdana"/>
          <w:lang w:val="es-ES"/>
        </w:rPr>
        <w:t xml:space="preserve"> </w:t>
      </w:r>
      <w:proofErr w:type="spellStart"/>
      <w:r w:rsidRPr="008B729E">
        <w:rPr>
          <w:rFonts w:ascii="Verdana" w:hAnsi="Verdana"/>
          <w:lang w:val="es-ES"/>
        </w:rPr>
        <w:t>With</w:t>
      </w:r>
      <w:proofErr w:type="spellEnd"/>
      <w:r w:rsidRPr="008B729E">
        <w:rPr>
          <w:rFonts w:ascii="Verdana" w:hAnsi="Verdana"/>
          <w:lang w:val="es-ES"/>
        </w:rPr>
        <w:t xml:space="preserve"> </w:t>
      </w:r>
      <w:proofErr w:type="spellStart"/>
      <w:r w:rsidRPr="008B729E">
        <w:rPr>
          <w:rFonts w:ascii="Verdana" w:hAnsi="Verdana"/>
          <w:lang w:val="es-ES"/>
        </w:rPr>
        <w:t>Subclinical</w:t>
      </w:r>
      <w:proofErr w:type="spellEnd"/>
      <w:r w:rsidRPr="008B729E">
        <w:rPr>
          <w:rFonts w:ascii="Verdana" w:hAnsi="Verdana"/>
          <w:lang w:val="es-ES"/>
        </w:rPr>
        <w:t xml:space="preserve"> </w:t>
      </w:r>
      <w:proofErr w:type="spellStart"/>
      <w:r w:rsidRPr="008B729E">
        <w:rPr>
          <w:rFonts w:ascii="Verdana" w:hAnsi="Verdana"/>
          <w:lang w:val="es-ES"/>
        </w:rPr>
        <w:t>Atherosclerosis</w:t>
      </w:r>
      <w:proofErr w:type="spellEnd"/>
      <w:r w:rsidRPr="008B729E">
        <w:rPr>
          <w:rFonts w:ascii="Verdana" w:hAnsi="Verdana"/>
          <w:lang w:val="es-ES"/>
        </w:rPr>
        <w:t xml:space="preserve"> in the </w:t>
      </w:r>
      <w:proofErr w:type="spellStart"/>
      <w:r w:rsidRPr="008B729E">
        <w:rPr>
          <w:rFonts w:ascii="Verdana" w:hAnsi="Verdana"/>
          <w:lang w:val="es-ES"/>
        </w:rPr>
        <w:t>Absence</w:t>
      </w:r>
      <w:proofErr w:type="spellEnd"/>
      <w:r w:rsidRPr="008B729E">
        <w:rPr>
          <w:rFonts w:ascii="Verdana" w:hAnsi="Verdana"/>
          <w:lang w:val="es-ES"/>
        </w:rPr>
        <w:t xml:space="preserve"> </w:t>
      </w:r>
      <w:proofErr w:type="spellStart"/>
      <w:r w:rsidRPr="008B729E">
        <w:rPr>
          <w:rFonts w:ascii="Verdana" w:hAnsi="Verdana"/>
          <w:lang w:val="es-ES"/>
        </w:rPr>
        <w:t>of</w:t>
      </w:r>
      <w:proofErr w:type="spellEnd"/>
      <w:r w:rsidRPr="008B729E">
        <w:rPr>
          <w:rFonts w:ascii="Verdana" w:hAnsi="Verdana"/>
          <w:lang w:val="es-ES"/>
        </w:rPr>
        <w:t xml:space="preserve"> </w:t>
      </w:r>
      <w:proofErr w:type="spellStart"/>
      <w:r w:rsidRPr="008B729E">
        <w:rPr>
          <w:rFonts w:ascii="Verdana" w:hAnsi="Verdana"/>
          <w:lang w:val="es-ES"/>
        </w:rPr>
        <w:t>Risk</w:t>
      </w:r>
      <w:proofErr w:type="spellEnd"/>
      <w:r w:rsidRPr="008B729E">
        <w:rPr>
          <w:rFonts w:ascii="Verdana" w:hAnsi="Verdana"/>
          <w:lang w:val="es-ES"/>
        </w:rPr>
        <w:t xml:space="preserve"> </w:t>
      </w:r>
      <w:proofErr w:type="spellStart"/>
      <w:r w:rsidRPr="008B729E">
        <w:rPr>
          <w:rFonts w:ascii="Verdana" w:hAnsi="Verdana"/>
          <w:lang w:val="es-ES"/>
        </w:rPr>
        <w:t>Factors</w:t>
      </w:r>
      <w:proofErr w:type="spellEnd"/>
      <w:r w:rsidRPr="008B729E">
        <w:rPr>
          <w:rFonts w:ascii="Verdana" w:hAnsi="Verdana"/>
          <w:lang w:val="es-ES"/>
        </w:rPr>
        <w:t>. JACC. 2017; 70:2979-2991.</w:t>
      </w:r>
    </w:p>
    <w:p w14:paraId="112B116B" w14:textId="77777777" w:rsidR="002B58E3" w:rsidRPr="001234B2" w:rsidRDefault="002B58E3" w:rsidP="007D3421">
      <w:pPr>
        <w:tabs>
          <w:tab w:val="left" w:pos="8789"/>
        </w:tabs>
        <w:spacing w:line="360" w:lineRule="auto"/>
        <w:ind w:right="142"/>
        <w:jc w:val="both"/>
        <w:rPr>
          <w:rFonts w:ascii="Verdana" w:hAnsi="Verdana"/>
          <w:lang w:val="es-ES"/>
        </w:rPr>
      </w:pPr>
    </w:p>
    <w:p w14:paraId="61B5078D" w14:textId="77777777" w:rsidR="00281F1E" w:rsidRDefault="00281F1E" w:rsidP="007D3421">
      <w:pPr>
        <w:spacing w:after="160" w:line="360" w:lineRule="auto"/>
        <w:ind w:right="27"/>
        <w:contextualSpacing/>
        <w:jc w:val="both"/>
        <w:rPr>
          <w:rFonts w:ascii="Times New Roman" w:hAnsi="Times New Roman"/>
          <w:sz w:val="28"/>
          <w:szCs w:val="28"/>
          <w:lang w:val="es-ES"/>
        </w:rPr>
      </w:pPr>
    </w:p>
    <w:p w14:paraId="784F293C" w14:textId="77777777" w:rsidR="004F18DB" w:rsidRPr="004565A2" w:rsidRDefault="004F18DB" w:rsidP="007D3421">
      <w:pPr>
        <w:spacing w:after="160" w:line="360" w:lineRule="auto"/>
        <w:ind w:right="27"/>
        <w:contextualSpacing/>
        <w:jc w:val="both"/>
        <w:rPr>
          <w:rFonts w:ascii="Arial" w:hAnsi="Arial" w:cs="Arial"/>
          <w:sz w:val="24"/>
          <w:szCs w:val="24"/>
        </w:rPr>
      </w:pPr>
    </w:p>
    <w:sectPr w:rsidR="004F18DB" w:rsidRPr="004565A2">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9641" w14:textId="77777777" w:rsidR="00780118" w:rsidRDefault="00780118" w:rsidP="007548EE">
      <w:pPr>
        <w:spacing w:after="0" w:line="240" w:lineRule="auto"/>
      </w:pPr>
      <w:r>
        <w:separator/>
      </w:r>
    </w:p>
  </w:endnote>
  <w:endnote w:type="continuationSeparator" w:id="0">
    <w:p w14:paraId="62015A5C" w14:textId="77777777" w:rsidR="00780118" w:rsidRDefault="00780118" w:rsidP="0075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72699"/>
      <w:docPartObj>
        <w:docPartGallery w:val="Page Numbers (Bottom of Page)"/>
        <w:docPartUnique/>
      </w:docPartObj>
    </w:sdtPr>
    <w:sdtContent>
      <w:p w14:paraId="637707C9" w14:textId="49A89EA4" w:rsidR="007548EE" w:rsidRDefault="007548EE">
        <w:pPr>
          <w:pStyle w:val="Piedepgina"/>
          <w:jc w:val="center"/>
        </w:pPr>
        <w:r>
          <w:fldChar w:fldCharType="begin"/>
        </w:r>
        <w:r>
          <w:instrText>PAGE   \* MERGEFORMAT</w:instrText>
        </w:r>
        <w:r>
          <w:fldChar w:fldCharType="separate"/>
        </w:r>
        <w:r>
          <w:rPr>
            <w:lang w:val="es-ES"/>
          </w:rPr>
          <w:t>2</w:t>
        </w:r>
        <w:r>
          <w:fldChar w:fldCharType="end"/>
        </w:r>
      </w:p>
    </w:sdtContent>
  </w:sdt>
  <w:p w14:paraId="5CB56AA4" w14:textId="77777777" w:rsidR="007548EE" w:rsidRDefault="007548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5293" w14:textId="77777777" w:rsidR="00780118" w:rsidRDefault="00780118" w:rsidP="007548EE">
      <w:pPr>
        <w:spacing w:after="0" w:line="240" w:lineRule="auto"/>
      </w:pPr>
      <w:r>
        <w:separator/>
      </w:r>
    </w:p>
  </w:footnote>
  <w:footnote w:type="continuationSeparator" w:id="0">
    <w:p w14:paraId="2A76786B" w14:textId="77777777" w:rsidR="00780118" w:rsidRDefault="00780118" w:rsidP="00754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 w15:restartNumberingAfterBreak="0">
    <w:nsid w:val="137760C1"/>
    <w:multiLevelType w:val="hybridMultilevel"/>
    <w:tmpl w:val="148A748C"/>
    <w:lvl w:ilvl="0" w:tplc="DDA4766A">
      <w:start w:val="1"/>
      <w:numFmt w:val="decimal"/>
      <w:lvlText w:val="%1."/>
      <w:lvlJc w:val="left"/>
      <w:pPr>
        <w:ind w:left="786" w:hanging="360"/>
      </w:pPr>
      <w:rPr>
        <w:rFonts w:hint="default"/>
        <w:b w:val="0"/>
        <w:color w:val="auto"/>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40941F84"/>
    <w:multiLevelType w:val="hybridMultilevel"/>
    <w:tmpl w:val="0A803422"/>
    <w:lvl w:ilvl="0" w:tplc="DDA4766A">
      <w:start w:val="1"/>
      <w:numFmt w:val="decimal"/>
      <w:lvlText w:val="%1."/>
      <w:lvlJc w:val="left"/>
      <w:pPr>
        <w:ind w:left="786"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93657E5"/>
    <w:multiLevelType w:val="hybridMultilevel"/>
    <w:tmpl w:val="0DF2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F224E"/>
    <w:multiLevelType w:val="hybridMultilevel"/>
    <w:tmpl w:val="71DEF0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4291595">
    <w:abstractNumId w:val="2"/>
  </w:num>
  <w:num w:numId="2" w16cid:durableId="1181355315">
    <w:abstractNumId w:val="3"/>
  </w:num>
  <w:num w:numId="3" w16cid:durableId="1885095484">
    <w:abstractNumId w:val="4"/>
  </w:num>
  <w:num w:numId="4" w16cid:durableId="1394237365">
    <w:abstractNumId w:val="0"/>
  </w:num>
  <w:num w:numId="5" w16cid:durableId="45746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DC"/>
    <w:rsid w:val="00033C06"/>
    <w:rsid w:val="00046165"/>
    <w:rsid w:val="0007407E"/>
    <w:rsid w:val="000843F4"/>
    <w:rsid w:val="000935DF"/>
    <w:rsid w:val="00097646"/>
    <w:rsid w:val="000B1595"/>
    <w:rsid w:val="000B2225"/>
    <w:rsid w:val="000B539E"/>
    <w:rsid w:val="000C7350"/>
    <w:rsid w:val="00100BDE"/>
    <w:rsid w:val="00114FAB"/>
    <w:rsid w:val="001234B2"/>
    <w:rsid w:val="00133C41"/>
    <w:rsid w:val="00171AE3"/>
    <w:rsid w:val="00172F05"/>
    <w:rsid w:val="0017341F"/>
    <w:rsid w:val="001871D5"/>
    <w:rsid w:val="001B3472"/>
    <w:rsid w:val="001F3B01"/>
    <w:rsid w:val="002019B5"/>
    <w:rsid w:val="00220340"/>
    <w:rsid w:val="00235870"/>
    <w:rsid w:val="00244C90"/>
    <w:rsid w:val="002460FE"/>
    <w:rsid w:val="002700F2"/>
    <w:rsid w:val="002737B7"/>
    <w:rsid w:val="00276A07"/>
    <w:rsid w:val="00277949"/>
    <w:rsid w:val="00281F1E"/>
    <w:rsid w:val="00287D3B"/>
    <w:rsid w:val="002A0E2B"/>
    <w:rsid w:val="002A16E9"/>
    <w:rsid w:val="002A7BD4"/>
    <w:rsid w:val="002B58E3"/>
    <w:rsid w:val="002C7149"/>
    <w:rsid w:val="002F2E9D"/>
    <w:rsid w:val="003060FE"/>
    <w:rsid w:val="00336758"/>
    <w:rsid w:val="00350CA5"/>
    <w:rsid w:val="00356254"/>
    <w:rsid w:val="00376AB6"/>
    <w:rsid w:val="00385400"/>
    <w:rsid w:val="003925DC"/>
    <w:rsid w:val="003A24A4"/>
    <w:rsid w:val="003B7734"/>
    <w:rsid w:val="003E23F5"/>
    <w:rsid w:val="003F55CB"/>
    <w:rsid w:val="003F5DF6"/>
    <w:rsid w:val="003F6804"/>
    <w:rsid w:val="004106D9"/>
    <w:rsid w:val="0041374F"/>
    <w:rsid w:val="0043754A"/>
    <w:rsid w:val="004523DA"/>
    <w:rsid w:val="004541B5"/>
    <w:rsid w:val="004565A2"/>
    <w:rsid w:val="00461FB3"/>
    <w:rsid w:val="004678E1"/>
    <w:rsid w:val="004705C0"/>
    <w:rsid w:val="0049165D"/>
    <w:rsid w:val="004A394D"/>
    <w:rsid w:val="004E5749"/>
    <w:rsid w:val="004F18DB"/>
    <w:rsid w:val="00532658"/>
    <w:rsid w:val="005332ED"/>
    <w:rsid w:val="00556890"/>
    <w:rsid w:val="00570F4A"/>
    <w:rsid w:val="005907B6"/>
    <w:rsid w:val="005A294E"/>
    <w:rsid w:val="005A7EE7"/>
    <w:rsid w:val="005B17A9"/>
    <w:rsid w:val="005E2B01"/>
    <w:rsid w:val="005E56BB"/>
    <w:rsid w:val="005F03C0"/>
    <w:rsid w:val="005F0C4B"/>
    <w:rsid w:val="005F7C5E"/>
    <w:rsid w:val="00610FEC"/>
    <w:rsid w:val="00615B94"/>
    <w:rsid w:val="0063382A"/>
    <w:rsid w:val="00634767"/>
    <w:rsid w:val="006764D2"/>
    <w:rsid w:val="007115BF"/>
    <w:rsid w:val="00715F97"/>
    <w:rsid w:val="0073516C"/>
    <w:rsid w:val="007548EE"/>
    <w:rsid w:val="00780118"/>
    <w:rsid w:val="0078467C"/>
    <w:rsid w:val="007915D0"/>
    <w:rsid w:val="007B1AC1"/>
    <w:rsid w:val="007C625D"/>
    <w:rsid w:val="007C6A31"/>
    <w:rsid w:val="007D3421"/>
    <w:rsid w:val="007E643E"/>
    <w:rsid w:val="007F2717"/>
    <w:rsid w:val="007F7B59"/>
    <w:rsid w:val="00822DAF"/>
    <w:rsid w:val="00824669"/>
    <w:rsid w:val="00830631"/>
    <w:rsid w:val="00853C3A"/>
    <w:rsid w:val="008601F7"/>
    <w:rsid w:val="00867A43"/>
    <w:rsid w:val="00881B5E"/>
    <w:rsid w:val="008871F8"/>
    <w:rsid w:val="00891DD3"/>
    <w:rsid w:val="00892A17"/>
    <w:rsid w:val="008B729E"/>
    <w:rsid w:val="008C1281"/>
    <w:rsid w:val="008C15D9"/>
    <w:rsid w:val="008C7434"/>
    <w:rsid w:val="00911267"/>
    <w:rsid w:val="00946D0D"/>
    <w:rsid w:val="009612B8"/>
    <w:rsid w:val="00976B96"/>
    <w:rsid w:val="00997B65"/>
    <w:rsid w:val="009A6DA1"/>
    <w:rsid w:val="009B73D5"/>
    <w:rsid w:val="009E6DBF"/>
    <w:rsid w:val="00A04FEE"/>
    <w:rsid w:val="00A15B43"/>
    <w:rsid w:val="00A42E6C"/>
    <w:rsid w:val="00A529C7"/>
    <w:rsid w:val="00A53CF8"/>
    <w:rsid w:val="00A7078D"/>
    <w:rsid w:val="00A758EA"/>
    <w:rsid w:val="00A906D7"/>
    <w:rsid w:val="00A92ACF"/>
    <w:rsid w:val="00AA4E51"/>
    <w:rsid w:val="00AB0E1F"/>
    <w:rsid w:val="00AD6E85"/>
    <w:rsid w:val="00AE26C1"/>
    <w:rsid w:val="00B000D3"/>
    <w:rsid w:val="00B116FF"/>
    <w:rsid w:val="00B8192F"/>
    <w:rsid w:val="00BA183E"/>
    <w:rsid w:val="00BE519B"/>
    <w:rsid w:val="00BF1DAF"/>
    <w:rsid w:val="00BF2B24"/>
    <w:rsid w:val="00C138E4"/>
    <w:rsid w:val="00C3368E"/>
    <w:rsid w:val="00C412A1"/>
    <w:rsid w:val="00C61AAC"/>
    <w:rsid w:val="00C62941"/>
    <w:rsid w:val="00C849B2"/>
    <w:rsid w:val="00CB76B1"/>
    <w:rsid w:val="00CC65AB"/>
    <w:rsid w:val="00CE0C8F"/>
    <w:rsid w:val="00D37446"/>
    <w:rsid w:val="00D37527"/>
    <w:rsid w:val="00D476E9"/>
    <w:rsid w:val="00D507CB"/>
    <w:rsid w:val="00D85908"/>
    <w:rsid w:val="00DE4935"/>
    <w:rsid w:val="00DE69D1"/>
    <w:rsid w:val="00DF0582"/>
    <w:rsid w:val="00E20A67"/>
    <w:rsid w:val="00E27D25"/>
    <w:rsid w:val="00E674DF"/>
    <w:rsid w:val="00E7060F"/>
    <w:rsid w:val="00E92E24"/>
    <w:rsid w:val="00EE730D"/>
    <w:rsid w:val="00F075E0"/>
    <w:rsid w:val="00F16EAF"/>
    <w:rsid w:val="00F55D38"/>
    <w:rsid w:val="00F7494C"/>
    <w:rsid w:val="00F938BD"/>
    <w:rsid w:val="00F93D9F"/>
    <w:rsid w:val="00F95B8A"/>
    <w:rsid w:val="00FA7120"/>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C829"/>
  <w15:chartTrackingRefBased/>
  <w15:docId w15:val="{EBE1C6CF-2367-4667-8A52-E4DF95A0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9B"/>
    <w:pPr>
      <w:spacing w:after="200" w:line="276" w:lineRule="auto"/>
    </w:pPr>
    <w:rPr>
      <w:rFonts w:ascii="Calibri" w:eastAsia="Calibri" w:hAnsi="Calibri" w:cs="Times New Roman"/>
    </w:rPr>
  </w:style>
  <w:style w:type="paragraph" w:styleId="Ttulo1">
    <w:name w:val="heading 1"/>
    <w:basedOn w:val="Normal"/>
    <w:next w:val="Normal"/>
    <w:link w:val="Ttulo1Car"/>
    <w:qFormat/>
    <w:rsid w:val="002B58E3"/>
    <w:pPr>
      <w:keepNext/>
      <w:keepLines/>
      <w:numPr>
        <w:numId w:val="4"/>
      </w:numPr>
      <w:tabs>
        <w:tab w:val="left" w:pos="340"/>
        <w:tab w:val="left" w:pos="680"/>
      </w:tabs>
      <w:suppressAutoHyphens/>
      <w:spacing w:before="400" w:line="240" w:lineRule="auto"/>
      <w:jc w:val="center"/>
      <w:outlineLvl w:val="0"/>
    </w:pPr>
    <w:rPr>
      <w:rFonts w:ascii="Times New Roman" w:eastAsia="Batang" w:hAnsi="Times New Roman" w:cs="Arial"/>
      <w:bCs/>
      <w:caps/>
      <w:kern w:val="32"/>
      <w:sz w:val="16"/>
      <w:szCs w:val="16"/>
      <w:lang w:eastAsia="de-DE"/>
    </w:rPr>
  </w:style>
  <w:style w:type="paragraph" w:styleId="Ttulo2">
    <w:name w:val="heading 2"/>
    <w:basedOn w:val="Ttulo1"/>
    <w:next w:val="Normal"/>
    <w:link w:val="Ttulo2Car"/>
    <w:qFormat/>
    <w:rsid w:val="002B58E3"/>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15F97"/>
    <w:pPr>
      <w:spacing w:after="0" w:line="240" w:lineRule="auto"/>
    </w:pPr>
  </w:style>
  <w:style w:type="paragraph" w:styleId="NormalWeb">
    <w:name w:val="Normal (Web)"/>
    <w:basedOn w:val="Normal"/>
    <w:uiPriority w:val="99"/>
    <w:semiHidden/>
    <w:unhideWhenUsed/>
    <w:rsid w:val="003F6804"/>
    <w:pPr>
      <w:spacing w:before="100" w:beforeAutospacing="1" w:after="100" w:afterAutospacing="1" w:line="240" w:lineRule="auto"/>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570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0F4A"/>
    <w:rPr>
      <w:rFonts w:ascii="Segoe UI" w:eastAsia="Calibri" w:hAnsi="Segoe UI" w:cs="Segoe UI"/>
      <w:sz w:val="18"/>
      <w:szCs w:val="18"/>
    </w:rPr>
  </w:style>
  <w:style w:type="paragraph" w:styleId="Prrafodelista">
    <w:name w:val="List Paragraph"/>
    <w:basedOn w:val="Normal"/>
    <w:uiPriority w:val="34"/>
    <w:qFormat/>
    <w:rsid w:val="004F18DB"/>
    <w:pPr>
      <w:ind w:left="720"/>
      <w:contextualSpacing/>
    </w:pPr>
  </w:style>
  <w:style w:type="character" w:styleId="Hipervnculo">
    <w:name w:val="Hyperlink"/>
    <w:basedOn w:val="Fuentedeprrafopredeter"/>
    <w:uiPriority w:val="99"/>
    <w:unhideWhenUsed/>
    <w:rsid w:val="004F18DB"/>
    <w:rPr>
      <w:color w:val="0563C1" w:themeColor="hyperlink"/>
      <w:u w:val="single"/>
    </w:rPr>
  </w:style>
  <w:style w:type="character" w:styleId="Mencinsinresolver">
    <w:name w:val="Unresolved Mention"/>
    <w:basedOn w:val="Fuentedeprrafopredeter"/>
    <w:uiPriority w:val="99"/>
    <w:semiHidden/>
    <w:unhideWhenUsed/>
    <w:rPr>
      <w:color w:val="605E5C"/>
      <w:shd w:val="clear" w:color="auto" w:fill="E1DFDD"/>
    </w:rPr>
  </w:style>
  <w:style w:type="character" w:customStyle="1" w:styleId="Ttulo1Car">
    <w:name w:val="Título 1 Car"/>
    <w:basedOn w:val="Fuentedeprrafopredeter"/>
    <w:link w:val="Ttulo1"/>
    <w:rsid w:val="002B58E3"/>
    <w:rPr>
      <w:rFonts w:ascii="Times New Roman" w:eastAsia="Batang" w:hAnsi="Times New Roman" w:cs="Arial"/>
      <w:bCs/>
      <w:caps/>
      <w:kern w:val="32"/>
      <w:sz w:val="16"/>
      <w:szCs w:val="16"/>
      <w:lang w:eastAsia="de-DE"/>
    </w:rPr>
  </w:style>
  <w:style w:type="character" w:customStyle="1" w:styleId="Ttulo2Car">
    <w:name w:val="Título 2 Car"/>
    <w:basedOn w:val="Fuentedeprrafopredeter"/>
    <w:link w:val="Ttulo2"/>
    <w:rsid w:val="002B58E3"/>
    <w:rPr>
      <w:rFonts w:ascii="Times New Roman" w:eastAsia="Batang" w:hAnsi="Times New Roman" w:cs="Arial"/>
      <w:i/>
      <w:iCs/>
      <w:kern w:val="32"/>
      <w:sz w:val="20"/>
      <w:szCs w:val="20"/>
      <w:lang w:eastAsia="de-DE"/>
    </w:rPr>
  </w:style>
  <w:style w:type="paragraph" w:customStyle="1" w:styleId="heading1">
    <w:name w:val="heading1"/>
    <w:basedOn w:val="Ttulo1"/>
    <w:next w:val="Normal"/>
    <w:rsid w:val="002B58E3"/>
    <w:rPr>
      <w:snapToGrid w:val="0"/>
      <w:lang w:eastAsia="en-US"/>
    </w:rPr>
  </w:style>
  <w:style w:type="character" w:customStyle="1" w:styleId="initial12">
    <w:name w:val="initial_12"/>
    <w:rsid w:val="002B58E3"/>
    <w:rPr>
      <w:sz w:val="24"/>
      <w:szCs w:val="24"/>
    </w:rPr>
  </w:style>
  <w:style w:type="character" w:customStyle="1" w:styleId="initial10">
    <w:name w:val="initial_10"/>
    <w:rsid w:val="002B58E3"/>
    <w:rPr>
      <w:sz w:val="20"/>
      <w:szCs w:val="20"/>
      <w:lang w:eastAsia="en-US"/>
    </w:rPr>
  </w:style>
  <w:style w:type="paragraph" w:customStyle="1" w:styleId="heading1withoutNr">
    <w:name w:val="heading1_withoutNr"/>
    <w:basedOn w:val="heading1"/>
    <w:next w:val="Normal"/>
    <w:rsid w:val="002B58E3"/>
    <w:pPr>
      <w:numPr>
        <w:numId w:val="0"/>
      </w:numPr>
      <w:spacing w:before="360" w:after="180"/>
    </w:pPr>
  </w:style>
  <w:style w:type="paragraph" w:styleId="Descripcin">
    <w:name w:val="caption"/>
    <w:basedOn w:val="Normal"/>
    <w:next w:val="Normal"/>
    <w:qFormat/>
    <w:rsid w:val="002B58E3"/>
    <w:pPr>
      <w:tabs>
        <w:tab w:val="left" w:pos="340"/>
        <w:tab w:val="left" w:pos="680"/>
      </w:tabs>
      <w:spacing w:after="0" w:line="240" w:lineRule="auto"/>
      <w:ind w:firstLine="227"/>
      <w:jc w:val="both"/>
    </w:pPr>
    <w:rPr>
      <w:rFonts w:ascii="Times New Roman" w:eastAsia="Batang" w:hAnsi="Times New Roman"/>
      <w:bCs/>
      <w:sz w:val="20"/>
      <w:szCs w:val="20"/>
      <w:lang w:eastAsia="de-DE"/>
    </w:rPr>
  </w:style>
  <w:style w:type="paragraph" w:customStyle="1" w:styleId="End">
    <w:name w:val="End"/>
    <w:rsid w:val="002B58E3"/>
    <w:pPr>
      <w:spacing w:after="0" w:line="20" w:lineRule="exact"/>
    </w:pPr>
    <w:rPr>
      <w:rFonts w:ascii="Times New Roman" w:eastAsia="Batang" w:hAnsi="Times New Roman" w:cs="Times New Roman"/>
      <w:snapToGrid w:val="0"/>
      <w:sz w:val="2"/>
      <w:szCs w:val="2"/>
    </w:rPr>
  </w:style>
  <w:style w:type="character" w:customStyle="1" w:styleId="AbsatzNormal">
    <w:name w:val="AbsatzNormal"/>
    <w:basedOn w:val="Fuentedeprrafopredeter"/>
    <w:rsid w:val="002B58E3"/>
  </w:style>
  <w:style w:type="paragraph" w:styleId="Encabezado">
    <w:name w:val="header"/>
    <w:basedOn w:val="Normal"/>
    <w:link w:val="EncabezadoCar"/>
    <w:uiPriority w:val="99"/>
    <w:unhideWhenUsed/>
    <w:rsid w:val="007548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48EE"/>
    <w:rPr>
      <w:rFonts w:ascii="Calibri" w:eastAsia="Calibri" w:hAnsi="Calibri" w:cs="Times New Roman"/>
    </w:rPr>
  </w:style>
  <w:style w:type="paragraph" w:styleId="Piedepgina">
    <w:name w:val="footer"/>
    <w:basedOn w:val="Normal"/>
    <w:link w:val="PiedepginaCar"/>
    <w:uiPriority w:val="99"/>
    <w:unhideWhenUsed/>
    <w:rsid w:val="007548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48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51000">
      <w:bodyDiv w:val="1"/>
      <w:marLeft w:val="0"/>
      <w:marRight w:val="0"/>
      <w:marTop w:val="0"/>
      <w:marBottom w:val="0"/>
      <w:divBdr>
        <w:top w:val="none" w:sz="0" w:space="0" w:color="auto"/>
        <w:left w:val="none" w:sz="0" w:space="0" w:color="auto"/>
        <w:bottom w:val="none" w:sz="0" w:space="0" w:color="auto"/>
        <w:right w:val="none" w:sz="0" w:space="0" w:color="auto"/>
      </w:divBdr>
    </w:div>
    <w:div w:id="1002514277">
      <w:bodyDiv w:val="1"/>
      <w:marLeft w:val="0"/>
      <w:marRight w:val="0"/>
      <w:marTop w:val="0"/>
      <w:marBottom w:val="0"/>
      <w:divBdr>
        <w:top w:val="none" w:sz="0" w:space="0" w:color="auto"/>
        <w:left w:val="none" w:sz="0" w:space="0" w:color="auto"/>
        <w:bottom w:val="none" w:sz="0" w:space="0" w:color="auto"/>
        <w:right w:val="none" w:sz="0" w:space="0" w:color="auto"/>
      </w:divBdr>
    </w:div>
    <w:div w:id="103010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barteche@infomed.sld.cu" TargetMode="External"/><Relationship Id="rId13" Type="http://schemas.openxmlformats.org/officeDocument/2006/relationships/hyperlink" Target="https://www.ecimed.sld.cu/2019/09/04/" TargetMode="External"/><Relationship Id="rId18" Type="http://schemas.openxmlformats.org/officeDocument/2006/relationships/hyperlink" Target="http://www.medigraphic.com/patologiaclinica" TargetMode="External"/><Relationship Id="rId3" Type="http://schemas.openxmlformats.org/officeDocument/2006/relationships/styles" Target="styles.xml"/><Relationship Id="rId21" Type="http://schemas.openxmlformats.org/officeDocument/2006/relationships/hyperlink" Target="http://www.Revcardiologia" TargetMode="External"/><Relationship Id="rId7" Type="http://schemas.openxmlformats.org/officeDocument/2006/relationships/endnotes" Target="endnotes.xml"/><Relationship Id="rId12" Type="http://schemas.openxmlformats.org/officeDocument/2006/relationships/hyperlink" Target="https://www.bvs.sld.cu/libros/encuesta-nacionalriesgo/encuesta-nacionalcompleto" TargetMode="External"/><Relationship Id="rId17" Type="http://schemas.openxmlformats.org/officeDocument/2006/relationships/hyperlink" Target="https://scielo.sls.cu/scielo.php?script=sci-arttext&amp;pid=S0138-65572015000300001&amp;Ing=es" TargetMode="External"/><Relationship Id="rId2" Type="http://schemas.openxmlformats.org/officeDocument/2006/relationships/numbering" Target="numbering.xml"/><Relationship Id="rId16" Type="http://schemas.openxmlformats.org/officeDocument/2006/relationships/hyperlink" Target="https://doi.org/10.1016/s0140-6736(10)60834-3" TargetMode="External"/><Relationship Id="rId20" Type="http://schemas.openxmlformats.org/officeDocument/2006/relationships/hyperlink" Target="https://scielo.isciii.Es/scielo.php?script=sciarttext&amp;pid=S0465546X2018000400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s0140-6736(04)17018-9"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www.medigraphic.com/patologiaclinic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clinicazurbano.com/images/clinicavascular/investigacion/publicacione/"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419" sz="1200" b="1">
                <a:solidFill>
                  <a:sysClr val="windowText" lastClr="000000"/>
                </a:solidFill>
                <a:latin typeface="Arial" panose="020B0604020202020204" pitchFamily="34" charset="0"/>
                <a:cs typeface="Arial" panose="020B0604020202020204" pitchFamily="34" charset="0"/>
              </a:rPr>
              <a:t>VMR</a:t>
            </a:r>
            <a:r>
              <a:rPr lang="es-419" sz="1200" b="1" baseline="0">
                <a:solidFill>
                  <a:sysClr val="windowText" lastClr="000000"/>
                </a:solidFill>
                <a:latin typeface="Arial" panose="020B0604020202020204" pitchFamily="34" charset="0"/>
                <a:cs typeface="Arial" panose="020B0604020202020204" pitchFamily="34" charset="0"/>
              </a:rPr>
              <a:t> Apo A:1.90 g/l        VMR Apo B100: 1.32 g/l   </a:t>
            </a:r>
            <a:endParaRPr lang="es-419" sz="12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U"/>
        </a:p>
      </c:txPr>
    </c:title>
    <c:autoTitleDeleted val="0"/>
    <c:plotArea>
      <c:layout>
        <c:manualLayout>
          <c:layoutTarget val="inner"/>
          <c:xMode val="edge"/>
          <c:yMode val="edge"/>
          <c:x val="7.0832299808677765E-2"/>
          <c:y val="0.2220363833831116"/>
          <c:w val="0.83637160739522942"/>
          <c:h val="0.61093570200276692"/>
        </c:manualLayout>
      </c:layout>
      <c:barChart>
        <c:barDir val="col"/>
        <c:grouping val="clustered"/>
        <c:varyColors val="0"/>
        <c:ser>
          <c:idx val="0"/>
          <c:order val="0"/>
          <c:tx>
            <c:strRef>
              <c:f>Hoja1!$E$8</c:f>
              <c:strCache>
                <c:ptCount val="1"/>
                <c:pt idx="0">
                  <c:v>Número</c:v>
                </c:pt>
              </c:strCache>
            </c:strRef>
          </c:tx>
          <c:spPr>
            <a:solidFill>
              <a:schemeClr val="accent1"/>
            </a:solidFill>
            <a:ln>
              <a:noFill/>
            </a:ln>
            <a:effectLst/>
          </c:spPr>
          <c:invertIfNegative val="0"/>
          <c:dPt>
            <c:idx val="0"/>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1-25FA-46B5-BC24-B439F1BB7669}"/>
              </c:ext>
            </c:extLst>
          </c:dPt>
          <c:dPt>
            <c:idx val="1"/>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3-25FA-46B5-BC24-B439F1BB7669}"/>
              </c:ext>
            </c:extLst>
          </c:dPt>
          <c:cat>
            <c:strRef>
              <c:f>Hoja1!$C$9:$D$10</c:f>
              <c:strCache>
                <c:ptCount val="2"/>
                <c:pt idx="0">
                  <c:v>Apo A</c:v>
                </c:pt>
                <c:pt idx="1">
                  <c:v>Apo B</c:v>
                </c:pt>
              </c:strCache>
            </c:strRef>
          </c:cat>
          <c:val>
            <c:numRef>
              <c:f>Hoja1!$E$9:$E$10</c:f>
              <c:numCache>
                <c:formatCode>General</c:formatCode>
                <c:ptCount val="2"/>
                <c:pt idx="0">
                  <c:v>1.01</c:v>
                </c:pt>
                <c:pt idx="1">
                  <c:v>1.42</c:v>
                </c:pt>
              </c:numCache>
            </c:numRef>
          </c:val>
          <c:extLst>
            <c:ext xmlns:c16="http://schemas.microsoft.com/office/drawing/2014/chart" uri="{C3380CC4-5D6E-409C-BE32-E72D297353CC}">
              <c16:uniqueId val="{00000004-25FA-46B5-BC24-B439F1BB7669}"/>
            </c:ext>
          </c:extLst>
        </c:ser>
        <c:dLbls>
          <c:showLegendKey val="0"/>
          <c:showVal val="0"/>
          <c:showCatName val="0"/>
          <c:showSerName val="0"/>
          <c:showPercent val="0"/>
          <c:showBubbleSize val="0"/>
        </c:dLbls>
        <c:gapWidth val="219"/>
        <c:overlap val="-27"/>
        <c:axId val="401679720"/>
        <c:axId val="401681032"/>
      </c:barChart>
      <c:catAx>
        <c:axId val="401679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U"/>
          </a:p>
        </c:txPr>
        <c:crossAx val="401681032"/>
        <c:crosses val="autoZero"/>
        <c:auto val="1"/>
        <c:lblAlgn val="ctr"/>
        <c:lblOffset val="100"/>
        <c:noMultiLvlLbl val="0"/>
      </c:catAx>
      <c:valAx>
        <c:axId val="401681032"/>
        <c:scaling>
          <c:orientation val="minMax"/>
        </c:scaling>
        <c:delete val="0"/>
        <c:axPos val="l"/>
        <c:majorGridlines>
          <c:spPr>
            <a:ln w="9525" cap="flat" cmpd="sng" algn="ctr">
              <a:solidFill>
                <a:schemeClr val="bg2">
                  <a:lumMod val="9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U"/>
          </a:p>
        </c:txPr>
        <c:crossAx val="401679720"/>
        <c:crosses val="autoZero"/>
        <c:crossBetween val="between"/>
      </c:valAx>
      <c:spPr>
        <a:noFill/>
        <a:ln>
          <a:solidFill>
            <a:schemeClr val="bg2">
              <a:lumMod val="9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s-C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latin typeface="Arial" panose="020B0604020202020204" pitchFamily="34" charset="0"/>
                <a:cs typeface="Arial" panose="020B0604020202020204" pitchFamily="34" charset="0"/>
              </a:rPr>
              <a:t>VMR</a:t>
            </a:r>
            <a:r>
              <a:rPr lang="en-US" sz="1100" b="1" baseline="0">
                <a:solidFill>
                  <a:sysClr val="windowText" lastClr="000000"/>
                </a:solidFill>
                <a:latin typeface="Arial" panose="020B0604020202020204" pitchFamily="34" charset="0"/>
                <a:cs typeface="Arial" panose="020B0604020202020204" pitchFamily="34" charset="0"/>
              </a:rPr>
              <a:t> rApoB/ApoA: 1 Decil </a:t>
            </a:r>
            <a:endParaRPr lang="en-US" sz="11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manualLayout>
          <c:layoutTarget val="inner"/>
          <c:xMode val="edge"/>
          <c:yMode val="edge"/>
          <c:x val="7.1738382099827885E-2"/>
          <c:y val="0.17994491429312076"/>
          <c:w val="0.79157794899966649"/>
          <c:h val="0.68052147802512342"/>
        </c:manualLayout>
      </c:layout>
      <c:barChart>
        <c:barDir val="col"/>
        <c:grouping val="clustered"/>
        <c:varyColors val="0"/>
        <c:ser>
          <c:idx val="0"/>
          <c:order val="0"/>
          <c:tx>
            <c:strRef>
              <c:f>Hoja1!$C$14:$D$14</c:f>
              <c:strCache>
                <c:ptCount val="2"/>
                <c:pt idx="0">
                  <c:v>Índice r ApoB/ApoA</c:v>
                </c:pt>
              </c:strCache>
            </c:strRef>
          </c:tx>
          <c:spPr>
            <a:solidFill>
              <a:schemeClr val="accent6">
                <a:lumMod val="40000"/>
                <a:lumOff val="60000"/>
              </a:schemeClr>
            </a:solidFill>
            <a:ln>
              <a:solidFill>
                <a:schemeClr val="accent6">
                  <a:lumMod val="60000"/>
                  <a:lumOff val="40000"/>
                </a:schemeClr>
              </a:solidFill>
            </a:ln>
            <a:effectLst/>
          </c:spPr>
          <c:invertIfNegative val="0"/>
          <c:cat>
            <c:strRef>
              <c:f>Hoja1!$E$13:$F$13</c:f>
              <c:strCache>
                <c:ptCount val="1"/>
                <c:pt idx="0">
                  <c:v>r ApoB/ApoA</c:v>
                </c:pt>
              </c:strCache>
            </c:strRef>
          </c:cat>
          <c:val>
            <c:numRef>
              <c:f>Hoja1!$E$14:$F$14</c:f>
              <c:numCache>
                <c:formatCode>General</c:formatCode>
                <c:ptCount val="2"/>
                <c:pt idx="0">
                  <c:v>0.56000000000000005</c:v>
                </c:pt>
              </c:numCache>
            </c:numRef>
          </c:val>
          <c:extLst>
            <c:ext xmlns:c16="http://schemas.microsoft.com/office/drawing/2014/chart" uri="{C3380CC4-5D6E-409C-BE32-E72D297353CC}">
              <c16:uniqueId val="{00000000-DDE8-4558-A0EC-BB64A6E06E57}"/>
            </c:ext>
          </c:extLst>
        </c:ser>
        <c:dLbls>
          <c:showLegendKey val="0"/>
          <c:showVal val="0"/>
          <c:showCatName val="0"/>
          <c:showSerName val="0"/>
          <c:showPercent val="0"/>
          <c:showBubbleSize val="0"/>
        </c:dLbls>
        <c:gapWidth val="219"/>
        <c:overlap val="-27"/>
        <c:axId val="405702176"/>
        <c:axId val="405702504"/>
      </c:barChart>
      <c:catAx>
        <c:axId val="40570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U"/>
          </a:p>
        </c:txPr>
        <c:crossAx val="405702504"/>
        <c:crosses val="autoZero"/>
        <c:auto val="1"/>
        <c:lblAlgn val="ctr"/>
        <c:lblOffset val="100"/>
        <c:noMultiLvlLbl val="0"/>
      </c:catAx>
      <c:valAx>
        <c:axId val="405702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U"/>
          </a:p>
        </c:txPr>
        <c:crossAx val="405702176"/>
        <c:crosses val="autoZero"/>
        <c:crossBetween val="between"/>
      </c:valAx>
      <c:spPr>
        <a:noFill/>
        <a:ln>
          <a:solidFill>
            <a:schemeClr val="tx1">
              <a:lumMod val="50000"/>
              <a:lumOff val="5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s-C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latin typeface="Arial" panose="020B0604020202020204" pitchFamily="34" charset="0"/>
                <a:cs typeface="Arial" panose="020B0604020202020204" pitchFamily="34" charset="0"/>
              </a:rPr>
              <a:t>VMR Índice ApoB/Col.T:0.55 g/l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U"/>
        </a:p>
      </c:txPr>
    </c:title>
    <c:autoTitleDeleted val="0"/>
    <c:plotArea>
      <c:layout>
        <c:manualLayout>
          <c:layoutTarget val="inner"/>
          <c:xMode val="edge"/>
          <c:yMode val="edge"/>
          <c:x val="7.4295900178253119E-2"/>
          <c:y val="0.21863307086614173"/>
          <c:w val="0.82350564468211529"/>
          <c:h val="0.61183359580052499"/>
        </c:manualLayout>
      </c:layout>
      <c:barChart>
        <c:barDir val="col"/>
        <c:grouping val="clustered"/>
        <c:varyColors val="0"/>
        <c:ser>
          <c:idx val="0"/>
          <c:order val="0"/>
          <c:tx>
            <c:strRef>
              <c:f>Hoja1!$C$34:$D$34</c:f>
              <c:strCache>
                <c:ptCount val="2"/>
                <c:pt idx="0">
                  <c:v>Índice ApoB/Col.T</c:v>
                </c:pt>
              </c:strCache>
            </c:strRef>
          </c:tx>
          <c:spPr>
            <a:solidFill>
              <a:schemeClr val="accent1"/>
            </a:solidFill>
            <a:ln>
              <a:noFill/>
            </a:ln>
            <a:effectLst/>
          </c:spPr>
          <c:invertIfNegative val="0"/>
          <c:cat>
            <c:strRef>
              <c:f>Hoja1!$E$33:$F$33</c:f>
              <c:strCache>
                <c:ptCount val="1"/>
                <c:pt idx="0">
                  <c:v>rApoB/Col.Total</c:v>
                </c:pt>
              </c:strCache>
            </c:strRef>
          </c:cat>
          <c:val>
            <c:numRef>
              <c:f>Hoja1!$E$34:$F$34</c:f>
              <c:numCache>
                <c:formatCode>General</c:formatCode>
                <c:ptCount val="2"/>
                <c:pt idx="0">
                  <c:v>0.73</c:v>
                </c:pt>
              </c:numCache>
            </c:numRef>
          </c:val>
          <c:extLst>
            <c:ext xmlns:c16="http://schemas.microsoft.com/office/drawing/2014/chart" uri="{C3380CC4-5D6E-409C-BE32-E72D297353CC}">
              <c16:uniqueId val="{00000000-F364-404C-A273-3E0657E3948F}"/>
            </c:ext>
          </c:extLst>
        </c:ser>
        <c:dLbls>
          <c:showLegendKey val="0"/>
          <c:showVal val="0"/>
          <c:showCatName val="0"/>
          <c:showSerName val="0"/>
          <c:showPercent val="0"/>
          <c:showBubbleSize val="0"/>
        </c:dLbls>
        <c:gapWidth val="219"/>
        <c:overlap val="-27"/>
        <c:axId val="402469312"/>
        <c:axId val="402473248"/>
      </c:barChart>
      <c:catAx>
        <c:axId val="40246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U"/>
          </a:p>
        </c:txPr>
        <c:crossAx val="402473248"/>
        <c:crosses val="autoZero"/>
        <c:auto val="1"/>
        <c:lblAlgn val="ctr"/>
        <c:lblOffset val="100"/>
        <c:noMultiLvlLbl val="0"/>
      </c:catAx>
      <c:valAx>
        <c:axId val="402473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U"/>
          </a:p>
        </c:txPr>
        <c:crossAx val="402469312"/>
        <c:crosses val="autoZero"/>
        <c:crossBetween val="between"/>
      </c:valAx>
      <c:spPr>
        <a:noFill/>
        <a:ln>
          <a:solidFill>
            <a:schemeClr val="bg2">
              <a:lumMod val="9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es-C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0.02257</cdr:y>
    </cdr:from>
    <cdr:to>
      <cdr:x>0.06875</cdr:x>
      <cdr:y>0.12326</cdr:y>
    </cdr:to>
    <cdr:sp macro="" textlink="">
      <cdr:nvSpPr>
        <cdr:cNvPr id="2" name="CuadroTexto 1">
          <a:extLst xmlns:a="http://schemas.openxmlformats.org/drawingml/2006/main">
            <a:ext uri="{FF2B5EF4-FFF2-40B4-BE49-F238E27FC236}">
              <a16:creationId xmlns:a16="http://schemas.microsoft.com/office/drawing/2014/main" id="{CFCC5577-8068-24BA-B303-36A3E82A16AF}"/>
            </a:ext>
          </a:extLst>
        </cdr:cNvPr>
        <cdr:cNvSpPr txBox="1"/>
      </cdr:nvSpPr>
      <cdr:spPr>
        <a:xfrm xmlns:a="http://schemas.openxmlformats.org/drawingml/2006/main">
          <a:off x="0" y="61913"/>
          <a:ext cx="31432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U" sz="1100" b="1">
              <a:latin typeface="Arial" panose="020B0604020202020204" pitchFamily="34" charset="0"/>
              <a:cs typeface="Arial" panose="020B0604020202020204" pitchFamily="34" charset="0"/>
            </a:rPr>
            <a:t>g/l</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0.0191</cdr:y>
    </cdr:from>
    <cdr:to>
      <cdr:x>0.08437</cdr:x>
      <cdr:y>0.11632</cdr:y>
    </cdr:to>
    <cdr:sp macro="" textlink="">
      <cdr:nvSpPr>
        <cdr:cNvPr id="2" name="CuadroTexto 1">
          <a:extLst xmlns:a="http://schemas.openxmlformats.org/drawingml/2006/main">
            <a:ext uri="{FF2B5EF4-FFF2-40B4-BE49-F238E27FC236}">
              <a16:creationId xmlns:a16="http://schemas.microsoft.com/office/drawing/2014/main" id="{D9BFBCDA-03C3-EA3F-B3C2-36F7B4181ADA}"/>
            </a:ext>
          </a:extLst>
        </cdr:cNvPr>
        <cdr:cNvSpPr txBox="1"/>
      </cdr:nvSpPr>
      <cdr:spPr>
        <a:xfrm xmlns:a="http://schemas.openxmlformats.org/drawingml/2006/main">
          <a:off x="0" y="52388"/>
          <a:ext cx="385762"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U" sz="1100" b="1">
              <a:solidFill>
                <a:sysClr val="windowText" lastClr="000000"/>
              </a:solidFill>
            </a:rPr>
            <a:t>Decil</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0.01215</cdr:y>
    </cdr:from>
    <cdr:to>
      <cdr:x>0.07917</cdr:x>
      <cdr:y>0.11632</cdr:y>
    </cdr:to>
    <cdr:sp macro="" textlink="">
      <cdr:nvSpPr>
        <cdr:cNvPr id="2" name="CuadroTexto 1">
          <a:extLst xmlns:a="http://schemas.openxmlformats.org/drawingml/2006/main">
            <a:ext uri="{FF2B5EF4-FFF2-40B4-BE49-F238E27FC236}">
              <a16:creationId xmlns:a16="http://schemas.microsoft.com/office/drawing/2014/main" id="{9768CFAF-D452-222E-FCB9-6E058D787FFC}"/>
            </a:ext>
          </a:extLst>
        </cdr:cNvPr>
        <cdr:cNvSpPr txBox="1"/>
      </cdr:nvSpPr>
      <cdr:spPr>
        <a:xfrm xmlns:a="http://schemas.openxmlformats.org/drawingml/2006/main">
          <a:off x="0" y="33338"/>
          <a:ext cx="36195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CU" sz="1100" b="1">
              <a:solidFill>
                <a:sysClr val="windowText" lastClr="000000"/>
              </a:solidFill>
              <a:latin typeface="Arial" panose="020B0604020202020204" pitchFamily="34" charset="0"/>
              <a:cs typeface="Arial" panose="020B0604020202020204" pitchFamily="34" charset="0"/>
            </a:rPr>
            <a:t>g/l</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7B7F3-49CC-437D-BED8-399A654D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10</Pages>
  <Words>2734</Words>
  <Characters>15040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dc:creator>
  <cp:keywords/>
  <dc:description/>
  <cp:lastModifiedBy>Rafa</cp:lastModifiedBy>
  <cp:revision>75</cp:revision>
  <dcterms:created xsi:type="dcterms:W3CDTF">2021-09-19T20:42:00Z</dcterms:created>
  <dcterms:modified xsi:type="dcterms:W3CDTF">2022-12-06T16:56:00Z</dcterms:modified>
</cp:coreProperties>
</file>