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48" w:rsidRPr="006C4548" w:rsidRDefault="006C4548" w:rsidP="001D1105">
      <w:pPr>
        <w:spacing w:line="360" w:lineRule="auto"/>
        <w:jc w:val="center"/>
        <w:rPr>
          <w:rFonts w:ascii="Verdana" w:hAnsi="Verdana" w:cs="Arial"/>
          <w:b/>
          <w:sz w:val="28"/>
          <w:szCs w:val="28"/>
          <w:lang w:val="es-ES"/>
        </w:rPr>
      </w:pPr>
      <w:r w:rsidRPr="006C4548">
        <w:rPr>
          <w:rFonts w:ascii="Verdana" w:hAnsi="Verdana" w:cs="Arial"/>
          <w:b/>
          <w:sz w:val="28"/>
          <w:szCs w:val="28"/>
          <w:lang w:val="es-ES"/>
        </w:rPr>
        <w:t>Morfovirtual 2022</w:t>
      </w:r>
    </w:p>
    <w:p w:rsidR="006C4548" w:rsidRPr="006C4548" w:rsidRDefault="006C4548" w:rsidP="001D1105">
      <w:pPr>
        <w:spacing w:line="360" w:lineRule="auto"/>
        <w:jc w:val="center"/>
        <w:rPr>
          <w:rFonts w:ascii="Verdana" w:hAnsi="Verdana" w:cs="Arial"/>
          <w:b/>
          <w:sz w:val="28"/>
          <w:szCs w:val="28"/>
          <w:lang w:val="es-ES"/>
        </w:rPr>
      </w:pPr>
      <w:r w:rsidRPr="006C4548">
        <w:rPr>
          <w:rFonts w:ascii="Verdana" w:hAnsi="Verdana" w:cs="Arial"/>
          <w:b/>
          <w:sz w:val="28"/>
          <w:szCs w:val="28"/>
          <w:lang w:val="es-ES"/>
        </w:rPr>
        <w:t xml:space="preserve">VI Congreso virtual de Ciencias Morfológicas. </w:t>
      </w:r>
    </w:p>
    <w:p w:rsidR="006C4548" w:rsidRDefault="006C4548" w:rsidP="001D1105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F63037">
        <w:rPr>
          <w:rFonts w:ascii="Verdana" w:hAnsi="Verdana" w:cs="Arial"/>
          <w:b/>
          <w:sz w:val="28"/>
          <w:szCs w:val="28"/>
        </w:rPr>
        <w:t xml:space="preserve">Sexta Jornada Científica de La cátedra Santiago </w:t>
      </w:r>
      <w:r w:rsidR="00911C05" w:rsidRPr="00F63037">
        <w:rPr>
          <w:rFonts w:ascii="Verdana" w:hAnsi="Verdana" w:cs="Arial"/>
          <w:b/>
          <w:sz w:val="28"/>
          <w:szCs w:val="28"/>
        </w:rPr>
        <w:t>Ramón</w:t>
      </w:r>
      <w:r w:rsidRPr="00F63037">
        <w:rPr>
          <w:rFonts w:ascii="Verdana" w:hAnsi="Verdana" w:cs="Arial"/>
          <w:b/>
          <w:sz w:val="28"/>
          <w:szCs w:val="28"/>
        </w:rPr>
        <w:t xml:space="preserve"> y Cajal</w:t>
      </w:r>
    </w:p>
    <w:p w:rsidR="00911C05" w:rsidRPr="00F63037" w:rsidRDefault="00911C05" w:rsidP="001D1105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</w:p>
    <w:p w:rsidR="002F7F8B" w:rsidRDefault="002F7F8B" w:rsidP="00911C05">
      <w:pPr>
        <w:jc w:val="both"/>
        <w:rPr>
          <w:rFonts w:ascii="Verdana" w:hAnsi="Verdana" w:cs="Arial"/>
          <w:b/>
          <w:sz w:val="28"/>
          <w:szCs w:val="28"/>
          <w:lang w:val="es-ES"/>
        </w:rPr>
      </w:pPr>
      <w:r w:rsidRPr="002F7F8B">
        <w:rPr>
          <w:rFonts w:ascii="Verdana" w:hAnsi="Verdana" w:cs="Arial"/>
          <w:b/>
          <w:sz w:val="28"/>
          <w:szCs w:val="28"/>
        </w:rPr>
        <w:t>C</w:t>
      </w:r>
      <w:r w:rsidR="00911C05">
        <w:rPr>
          <w:rFonts w:ascii="Verdana" w:hAnsi="Verdana" w:cs="Arial"/>
          <w:b/>
          <w:sz w:val="28"/>
          <w:szCs w:val="28"/>
        </w:rPr>
        <w:t>ARACTERIZACIÓN MORFOMETRICA DE LAS OBSTRUCCIONES INTESTINALES CONGENITAS EN RECIEN NACIDOS</w:t>
      </w:r>
    </w:p>
    <w:p w:rsidR="006C4548" w:rsidRDefault="006C4548" w:rsidP="00911C05">
      <w:pPr>
        <w:jc w:val="both"/>
        <w:rPr>
          <w:rFonts w:ascii="Verdana" w:hAnsi="Verdana" w:cs="Arial"/>
          <w:b/>
          <w:sz w:val="28"/>
          <w:szCs w:val="28"/>
          <w:lang w:val="es-ES"/>
        </w:rPr>
      </w:pPr>
    </w:p>
    <w:p w:rsidR="00F83166" w:rsidRDefault="002F7F8B" w:rsidP="002F7F8B">
      <w:pPr>
        <w:jc w:val="both"/>
        <w:rPr>
          <w:rFonts w:ascii="Verdana" w:hAnsi="Verdana" w:cs="Arial"/>
          <w:szCs w:val="28"/>
          <w:vertAlign w:val="superscript"/>
        </w:rPr>
      </w:pPr>
      <w:r w:rsidRPr="00911C05">
        <w:rPr>
          <w:rFonts w:ascii="Verdana" w:hAnsi="Verdana" w:cs="Arial"/>
          <w:szCs w:val="28"/>
        </w:rPr>
        <w:t>Yanet, Pupo González</w:t>
      </w:r>
      <w:r w:rsidRPr="00911C05">
        <w:rPr>
          <w:rFonts w:ascii="Verdana" w:hAnsi="Verdana" w:cs="Arial"/>
          <w:szCs w:val="28"/>
          <w:vertAlign w:val="superscript"/>
        </w:rPr>
        <w:t>1</w:t>
      </w:r>
      <w:r w:rsidRPr="00911C05">
        <w:rPr>
          <w:rFonts w:ascii="Verdana" w:hAnsi="Verdana" w:cs="Arial"/>
          <w:szCs w:val="28"/>
        </w:rPr>
        <w:t>, Kenia, Carcasses Sánchez</w:t>
      </w:r>
      <w:r w:rsidR="00813034" w:rsidRPr="00911C05">
        <w:rPr>
          <w:rFonts w:ascii="Verdana" w:hAnsi="Verdana" w:cs="Arial"/>
          <w:szCs w:val="28"/>
          <w:vertAlign w:val="superscript"/>
        </w:rPr>
        <w:t>2</w:t>
      </w:r>
      <w:r w:rsidR="00813034" w:rsidRPr="00911C05">
        <w:rPr>
          <w:rFonts w:ascii="Verdana" w:hAnsi="Verdana" w:cs="Arial"/>
          <w:szCs w:val="28"/>
        </w:rPr>
        <w:t>, Dania, Vargas Batista</w:t>
      </w:r>
      <w:r w:rsidR="00813034" w:rsidRPr="00911C05">
        <w:rPr>
          <w:rFonts w:ascii="Verdana" w:hAnsi="Verdana" w:cs="Arial"/>
          <w:szCs w:val="28"/>
          <w:vertAlign w:val="superscript"/>
        </w:rPr>
        <w:t>3</w:t>
      </w:r>
      <w:r w:rsidR="00813034" w:rsidRPr="00911C05">
        <w:rPr>
          <w:rFonts w:ascii="Verdana" w:hAnsi="Verdana" w:cs="Arial"/>
          <w:szCs w:val="28"/>
        </w:rPr>
        <w:t>, Yasnay, Jorge Sai</w:t>
      </w:r>
      <w:r w:rsidR="00F83166" w:rsidRPr="00911C05">
        <w:rPr>
          <w:rFonts w:ascii="Verdana" w:hAnsi="Verdana" w:cs="Arial"/>
          <w:szCs w:val="28"/>
        </w:rPr>
        <w:t>n</w:t>
      </w:r>
      <w:r w:rsidR="00813034" w:rsidRPr="00911C05">
        <w:rPr>
          <w:rFonts w:ascii="Verdana" w:hAnsi="Verdana" w:cs="Arial"/>
          <w:szCs w:val="28"/>
        </w:rPr>
        <w:t>z</w:t>
      </w:r>
      <w:r w:rsidR="00001AD6">
        <w:rPr>
          <w:rFonts w:ascii="Verdana" w:hAnsi="Verdana" w:cs="Arial"/>
          <w:szCs w:val="28"/>
        </w:rPr>
        <w:t>.</w:t>
      </w:r>
      <w:r w:rsidR="00813034" w:rsidRPr="00911C05">
        <w:rPr>
          <w:rFonts w:ascii="Verdana" w:hAnsi="Verdana" w:cs="Arial"/>
          <w:szCs w:val="28"/>
        </w:rPr>
        <w:t xml:space="preserve"> </w:t>
      </w:r>
      <w:r w:rsidR="00813034" w:rsidRPr="00911C05">
        <w:rPr>
          <w:rFonts w:ascii="Verdana" w:hAnsi="Verdana" w:cs="Arial"/>
          <w:szCs w:val="28"/>
          <w:vertAlign w:val="superscript"/>
        </w:rPr>
        <w:t>4</w:t>
      </w:r>
    </w:p>
    <w:p w:rsidR="00911C05" w:rsidRDefault="00F83166" w:rsidP="002F7F8B">
      <w:pPr>
        <w:jc w:val="both"/>
        <w:rPr>
          <w:rFonts w:ascii="Verdana" w:hAnsi="Verdana" w:cs="Arial"/>
          <w:szCs w:val="28"/>
        </w:rPr>
      </w:pPr>
      <w:r w:rsidRPr="00911C05">
        <w:rPr>
          <w:rFonts w:ascii="Verdana" w:hAnsi="Verdana" w:cs="Arial"/>
          <w:b/>
          <w:szCs w:val="28"/>
          <w:vertAlign w:val="superscript"/>
        </w:rPr>
        <w:t>1</w:t>
      </w:r>
      <w:r w:rsidRPr="00F83166">
        <w:rPr>
          <w:rFonts w:ascii="Verdana" w:hAnsi="Verdana" w:cs="Arial"/>
          <w:b/>
          <w:sz w:val="28"/>
          <w:szCs w:val="28"/>
          <w:vertAlign w:val="superscript"/>
        </w:rPr>
        <w:t xml:space="preserve"> </w:t>
      </w:r>
      <w:r w:rsidR="000B4620" w:rsidRPr="00911C05">
        <w:rPr>
          <w:rFonts w:ascii="Verdana" w:hAnsi="Verdana" w:cs="Arial"/>
          <w:szCs w:val="28"/>
        </w:rPr>
        <w:t xml:space="preserve">Especialista </w:t>
      </w:r>
      <w:r w:rsidR="000B4620" w:rsidRPr="00911C05">
        <w:rPr>
          <w:rFonts w:ascii="Verdana" w:eastAsia="Times New Roman" w:hAnsi="Verdana" w:cs="Arial"/>
          <w:szCs w:val="28"/>
          <w:lang w:val="es-MX"/>
        </w:rPr>
        <w:t>de Primer</w:t>
      </w:r>
      <w:r w:rsidR="000B4620" w:rsidRPr="00911C05">
        <w:rPr>
          <w:rFonts w:ascii="Verdana" w:hAnsi="Verdana" w:cs="Arial"/>
          <w:szCs w:val="28"/>
        </w:rPr>
        <w:t xml:space="preserve">grado en Medicina General Integraly Embriología, Ciencias Básicas, </w:t>
      </w:r>
      <w:r w:rsidR="00911C05">
        <w:rPr>
          <w:rFonts w:ascii="Verdana" w:hAnsi="Verdana" w:cs="Arial"/>
          <w:szCs w:val="28"/>
        </w:rPr>
        <w:t>Universidad de Ciencias Médicas de Holguín.</w:t>
      </w:r>
    </w:p>
    <w:p w:rsidR="00911C05" w:rsidRDefault="000B4620" w:rsidP="002F7F8B">
      <w:pPr>
        <w:jc w:val="both"/>
        <w:rPr>
          <w:rFonts w:ascii="Verdana" w:hAnsi="Verdana" w:cs="Arial"/>
          <w:szCs w:val="28"/>
        </w:rPr>
      </w:pPr>
      <w:r w:rsidRPr="00911C05">
        <w:rPr>
          <w:rFonts w:ascii="Verdana" w:hAnsi="Verdana" w:cs="Arial"/>
          <w:szCs w:val="28"/>
          <w:vertAlign w:val="superscript"/>
        </w:rPr>
        <w:t>2</w:t>
      </w:r>
      <w:r w:rsidRPr="00911C05">
        <w:rPr>
          <w:rFonts w:ascii="Verdana" w:hAnsi="Verdana" w:cs="Arial"/>
          <w:szCs w:val="28"/>
        </w:rPr>
        <w:t xml:space="preserve">Especialista </w:t>
      </w:r>
      <w:r w:rsidRPr="00911C05">
        <w:rPr>
          <w:rFonts w:ascii="Verdana" w:eastAsia="Times New Roman" w:hAnsi="Verdana" w:cs="Arial"/>
          <w:szCs w:val="28"/>
          <w:lang w:val="es-MX"/>
        </w:rPr>
        <w:t>de Primer</w:t>
      </w:r>
      <w:r w:rsidRPr="00911C05">
        <w:rPr>
          <w:rFonts w:ascii="Verdana" w:hAnsi="Verdana" w:cs="Arial"/>
          <w:szCs w:val="28"/>
        </w:rPr>
        <w:t>grado en Embriología,</w:t>
      </w:r>
      <w:r w:rsidR="00911C05">
        <w:rPr>
          <w:rFonts w:ascii="Verdana" w:hAnsi="Verdana" w:cs="Arial"/>
          <w:szCs w:val="28"/>
        </w:rPr>
        <w:t xml:space="preserve"> </w:t>
      </w:r>
      <w:r w:rsidRPr="00911C05">
        <w:rPr>
          <w:rFonts w:ascii="Verdana" w:hAnsi="Verdana" w:cs="Arial"/>
          <w:szCs w:val="28"/>
        </w:rPr>
        <w:t xml:space="preserve">Ciencias Básicas, </w:t>
      </w:r>
      <w:r w:rsidR="00911C05">
        <w:rPr>
          <w:rFonts w:ascii="Verdana" w:hAnsi="Verdana" w:cs="Arial"/>
          <w:szCs w:val="28"/>
        </w:rPr>
        <w:t>Universidad de Ciencias Médicas de Holguín.</w:t>
      </w:r>
    </w:p>
    <w:p w:rsidR="00911C05" w:rsidRDefault="000B4620" w:rsidP="002F7F8B">
      <w:pPr>
        <w:jc w:val="both"/>
        <w:rPr>
          <w:rFonts w:ascii="Verdana" w:hAnsi="Verdana" w:cs="Arial"/>
          <w:szCs w:val="28"/>
        </w:rPr>
      </w:pPr>
      <w:r w:rsidRPr="00911C05">
        <w:rPr>
          <w:rFonts w:ascii="Verdana" w:hAnsi="Verdana" w:cs="Arial"/>
          <w:szCs w:val="28"/>
          <w:vertAlign w:val="superscript"/>
        </w:rPr>
        <w:t xml:space="preserve">3 </w:t>
      </w:r>
      <w:r w:rsidRPr="00911C05">
        <w:rPr>
          <w:rFonts w:ascii="Verdana" w:hAnsi="Verdana" w:cs="Arial"/>
          <w:szCs w:val="28"/>
        </w:rPr>
        <w:t xml:space="preserve">Especialista </w:t>
      </w:r>
      <w:r w:rsidRPr="00911C05">
        <w:rPr>
          <w:rFonts w:ascii="Verdana" w:eastAsia="Times New Roman" w:hAnsi="Verdana" w:cs="Arial"/>
          <w:szCs w:val="28"/>
          <w:lang w:val="es-MX"/>
        </w:rPr>
        <w:t>de Primer</w:t>
      </w:r>
      <w:r w:rsidRPr="00911C05">
        <w:rPr>
          <w:rFonts w:ascii="Verdana" w:hAnsi="Verdana" w:cs="Arial"/>
          <w:szCs w:val="28"/>
        </w:rPr>
        <w:t>grado en Medicina General Integral</w:t>
      </w:r>
      <w:r w:rsidR="00911C05">
        <w:rPr>
          <w:rFonts w:ascii="Verdana" w:hAnsi="Verdana" w:cs="Arial"/>
          <w:szCs w:val="28"/>
        </w:rPr>
        <w:t xml:space="preserve"> </w:t>
      </w:r>
      <w:r w:rsidRPr="00911C05">
        <w:rPr>
          <w:rFonts w:ascii="Verdana" w:hAnsi="Verdana" w:cs="Arial"/>
          <w:szCs w:val="28"/>
        </w:rPr>
        <w:t>y Embriología,</w:t>
      </w:r>
      <w:r w:rsidR="00911C05">
        <w:rPr>
          <w:rFonts w:ascii="Verdana" w:hAnsi="Verdana" w:cs="Arial"/>
          <w:szCs w:val="28"/>
        </w:rPr>
        <w:t xml:space="preserve"> </w:t>
      </w:r>
      <w:r w:rsidRPr="00911C05">
        <w:rPr>
          <w:rFonts w:ascii="Verdana" w:hAnsi="Verdana" w:cs="Arial"/>
          <w:szCs w:val="28"/>
        </w:rPr>
        <w:t xml:space="preserve">Ciencias Básicas, </w:t>
      </w:r>
      <w:r w:rsidR="00911C05">
        <w:rPr>
          <w:rFonts w:ascii="Verdana" w:hAnsi="Verdana" w:cs="Arial"/>
          <w:szCs w:val="28"/>
        </w:rPr>
        <w:t>Universidad de Ciencias Médicas de Holguín.</w:t>
      </w:r>
    </w:p>
    <w:p w:rsidR="000B4620" w:rsidRPr="00911C05" w:rsidRDefault="000B4620" w:rsidP="002F7F8B">
      <w:pPr>
        <w:jc w:val="both"/>
        <w:rPr>
          <w:rFonts w:ascii="Verdana" w:hAnsi="Verdana" w:cs="Arial"/>
          <w:szCs w:val="28"/>
        </w:rPr>
      </w:pPr>
      <w:r w:rsidRPr="00911C05">
        <w:rPr>
          <w:rFonts w:ascii="Verdana" w:hAnsi="Verdana" w:cs="Arial"/>
          <w:szCs w:val="28"/>
          <w:vertAlign w:val="superscript"/>
        </w:rPr>
        <w:t>4</w:t>
      </w:r>
      <w:r w:rsidRPr="00911C05">
        <w:rPr>
          <w:rFonts w:ascii="Verdana" w:hAnsi="Verdana" w:cs="Arial"/>
          <w:szCs w:val="28"/>
        </w:rPr>
        <w:t xml:space="preserve">Especialista </w:t>
      </w:r>
      <w:r w:rsidRPr="00911C05">
        <w:rPr>
          <w:rFonts w:ascii="Verdana" w:eastAsia="Times New Roman" w:hAnsi="Verdana" w:cs="Arial"/>
          <w:szCs w:val="28"/>
          <w:lang w:val="es-MX"/>
        </w:rPr>
        <w:t>de Primer</w:t>
      </w:r>
      <w:r w:rsidRPr="00911C05">
        <w:rPr>
          <w:rFonts w:ascii="Verdana" w:hAnsi="Verdana" w:cs="Arial"/>
          <w:szCs w:val="28"/>
        </w:rPr>
        <w:t>grado en Medicina General Integral</w:t>
      </w:r>
      <w:r w:rsidR="00911C05">
        <w:rPr>
          <w:rFonts w:ascii="Verdana" w:hAnsi="Verdana" w:cs="Arial"/>
          <w:szCs w:val="28"/>
        </w:rPr>
        <w:t xml:space="preserve"> </w:t>
      </w:r>
      <w:r w:rsidR="00001AD6">
        <w:rPr>
          <w:rFonts w:ascii="Verdana" w:hAnsi="Verdana" w:cs="Arial"/>
          <w:szCs w:val="28"/>
        </w:rPr>
        <w:t>y Bioquímica, Ciencias Básicas, Universidad de Ciencias Médicas de Holguín.</w:t>
      </w:r>
    </w:p>
    <w:p w:rsidR="006C4548" w:rsidRPr="00911C05" w:rsidRDefault="006C4548" w:rsidP="002F7F8B">
      <w:pPr>
        <w:jc w:val="both"/>
        <w:rPr>
          <w:rFonts w:ascii="Verdana" w:hAnsi="Verdana" w:cs="Arial"/>
          <w:szCs w:val="28"/>
        </w:rPr>
      </w:pPr>
    </w:p>
    <w:p w:rsidR="00001AD6" w:rsidRDefault="00001AD6" w:rsidP="000B4620">
      <w:pPr>
        <w:spacing w:line="480" w:lineRule="auto"/>
        <w:jc w:val="both"/>
        <w:rPr>
          <w:rFonts w:ascii="Verdana" w:hAnsi="Verdana" w:cs="Arial"/>
          <w:szCs w:val="28"/>
        </w:rPr>
      </w:pPr>
      <w:r w:rsidRPr="00001AD6">
        <w:rPr>
          <w:rFonts w:ascii="Verdana" w:hAnsi="Verdana" w:cs="Arial"/>
          <w:szCs w:val="28"/>
        </w:rPr>
        <w:t xml:space="preserve">Correo para la correspondencia: </w:t>
      </w:r>
      <w:hyperlink r:id="rId8" w:history="1">
        <w:r w:rsidRPr="009D6412">
          <w:rPr>
            <w:rStyle w:val="Hipervnculo"/>
            <w:rFonts w:ascii="Verdana" w:hAnsi="Verdana" w:cs="Arial"/>
            <w:szCs w:val="28"/>
          </w:rPr>
          <w:t>yanetpupogonzalez@gmail.com</w:t>
        </w:r>
      </w:hyperlink>
    </w:p>
    <w:p w:rsidR="002F7F8B" w:rsidRPr="00001AD6" w:rsidRDefault="002F7F8B" w:rsidP="000B4620">
      <w:pPr>
        <w:spacing w:line="480" w:lineRule="auto"/>
        <w:jc w:val="both"/>
        <w:rPr>
          <w:rFonts w:ascii="Verdana" w:hAnsi="Verdana" w:cs="Arial"/>
          <w:szCs w:val="28"/>
        </w:rPr>
      </w:pPr>
      <w:r w:rsidRPr="00001AD6">
        <w:rPr>
          <w:rFonts w:ascii="Verdana" w:hAnsi="Verdana" w:cs="Arial"/>
          <w:szCs w:val="28"/>
        </w:rPr>
        <w:br w:type="page"/>
      </w:r>
    </w:p>
    <w:p w:rsidR="001D1105" w:rsidRPr="000716A4" w:rsidRDefault="001D1105" w:rsidP="00001AD6">
      <w:pPr>
        <w:spacing w:line="360" w:lineRule="auto"/>
        <w:rPr>
          <w:rFonts w:ascii="Verdana" w:hAnsi="Verdana" w:cs="Arial"/>
          <w:b/>
          <w:lang w:val="es-ES"/>
        </w:rPr>
      </w:pPr>
      <w:r w:rsidRPr="000716A4">
        <w:rPr>
          <w:rFonts w:ascii="Verdana" w:hAnsi="Verdana" w:cs="Arial"/>
          <w:b/>
          <w:lang w:val="es-ES"/>
        </w:rPr>
        <w:lastRenderedPageBreak/>
        <w:t>RESUMEN</w:t>
      </w:r>
    </w:p>
    <w:p w:rsidR="00A45E37" w:rsidRDefault="00001AD6" w:rsidP="00D0542B">
      <w:pPr>
        <w:spacing w:after="20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hd w:val="clear" w:color="auto" w:fill="FFFFFF"/>
        </w:rPr>
        <w:t xml:space="preserve">Introducción: </w:t>
      </w:r>
      <w:r w:rsidR="00D0542B" w:rsidRPr="000716A4">
        <w:rPr>
          <w:rFonts w:ascii="Verdana" w:hAnsi="Verdana" w:cs="Arial"/>
          <w:shd w:val="clear" w:color="auto" w:fill="FFFFFF"/>
        </w:rPr>
        <w:t xml:space="preserve">Las malformaciones congénitas del tracto digestivo constituyen un espectro variado de patologías. </w:t>
      </w:r>
      <w:r w:rsidR="00D0542B" w:rsidRPr="000716A4">
        <w:rPr>
          <w:rStyle w:val="A3"/>
          <w:rFonts w:ascii="Verdana" w:hAnsi="Verdana" w:cs="Arial"/>
          <w:sz w:val="22"/>
        </w:rPr>
        <w:t>E</w:t>
      </w:r>
      <w:r w:rsidR="00D0542B" w:rsidRPr="000716A4">
        <w:rPr>
          <w:rFonts w:ascii="Verdana" w:hAnsi="Verdana" w:cs="Arial"/>
        </w:rPr>
        <w:t>ntre las más frecuentes se encuentran las atresias intestinales</w:t>
      </w:r>
      <w:r w:rsidR="00D0542B" w:rsidRPr="000716A4">
        <w:rPr>
          <w:rStyle w:val="A3"/>
          <w:rFonts w:ascii="Verdana" w:hAnsi="Verdana" w:cs="Arial"/>
          <w:sz w:val="22"/>
        </w:rPr>
        <w:t xml:space="preserve"> que </w:t>
      </w:r>
      <w:r w:rsidR="00D0542B" w:rsidRPr="000716A4">
        <w:rPr>
          <w:rFonts w:ascii="Verdana" w:hAnsi="Verdana" w:cs="Arial"/>
          <w:lang w:val="es-ES"/>
        </w:rPr>
        <w:t>constituyen errores de la morfogénesis</w:t>
      </w:r>
      <w:r w:rsidR="00D0542B" w:rsidRPr="000716A4">
        <w:rPr>
          <w:rStyle w:val="A3"/>
          <w:rFonts w:ascii="Verdana" w:hAnsi="Verdana" w:cs="Arial"/>
          <w:sz w:val="22"/>
        </w:rPr>
        <w:t xml:space="preserve">. </w:t>
      </w:r>
      <w:r>
        <w:rPr>
          <w:rStyle w:val="A3"/>
          <w:rFonts w:ascii="Verdana" w:hAnsi="Verdana" w:cs="Arial"/>
          <w:sz w:val="22"/>
        </w:rPr>
        <w:t>Objetivo:</w:t>
      </w:r>
      <w:r>
        <w:rPr>
          <w:rFonts w:ascii="Verdana" w:hAnsi="Verdana" w:cs="Arial"/>
        </w:rPr>
        <w:t xml:space="preserve"> C</w:t>
      </w:r>
      <w:r w:rsidRPr="000716A4">
        <w:rPr>
          <w:rFonts w:ascii="Verdana" w:hAnsi="Verdana" w:cs="Arial"/>
          <w:lang w:val="es-ES"/>
        </w:rPr>
        <w:t xml:space="preserve">aracterización de las obstrucciones intestinales congénitas, en recién nacidos intervenidos quirúrgicamente en la provincia Holguín en los años 2018 a 2020. </w:t>
      </w:r>
      <w:r>
        <w:rPr>
          <w:rStyle w:val="A3"/>
          <w:rFonts w:ascii="Verdana" w:hAnsi="Verdana" w:cs="Arial"/>
          <w:sz w:val="22"/>
        </w:rPr>
        <w:t xml:space="preserve"> Método: </w:t>
      </w:r>
      <w:r w:rsidR="001D1105" w:rsidRPr="000716A4">
        <w:rPr>
          <w:rFonts w:ascii="Verdana" w:hAnsi="Verdana" w:cs="Arial"/>
          <w:lang w:val="es-ES"/>
        </w:rPr>
        <w:t xml:space="preserve">Se realizó un estudio </w:t>
      </w:r>
      <w:r w:rsidRPr="000716A4">
        <w:rPr>
          <w:rFonts w:ascii="Verdana" w:hAnsi="Verdana" w:cs="Arial"/>
          <w:lang w:val="es-ES"/>
        </w:rPr>
        <w:t>transversal,</w:t>
      </w:r>
      <w:r>
        <w:rPr>
          <w:rFonts w:ascii="Verdana" w:hAnsi="Verdana" w:cs="Arial"/>
          <w:lang w:val="es-ES"/>
        </w:rPr>
        <w:t xml:space="preserve"> s</w:t>
      </w:r>
      <w:r w:rsidR="001D1105" w:rsidRPr="000716A4">
        <w:rPr>
          <w:rFonts w:ascii="Verdana" w:hAnsi="Verdana" w:cs="Arial"/>
          <w:lang w:val="es-ES"/>
        </w:rPr>
        <w:t>e consideró un universo que incluyó el total de recién nacidos con diagnóstico prenatal o postnatal de obstrucción intestinal congénita, a los que se le</w:t>
      </w:r>
      <w:r>
        <w:rPr>
          <w:rFonts w:ascii="Verdana" w:hAnsi="Verdana" w:cs="Arial"/>
          <w:lang w:val="es-ES"/>
        </w:rPr>
        <w:t>s</w:t>
      </w:r>
      <w:r w:rsidR="001D1105" w:rsidRPr="000716A4">
        <w:rPr>
          <w:rFonts w:ascii="Verdana" w:hAnsi="Verdana" w:cs="Arial"/>
          <w:lang w:val="es-ES"/>
        </w:rPr>
        <w:t xml:space="preserve"> realizó biopsia. La muestra fue de tipo intencionada y coincidió con el universo. Se</w:t>
      </w:r>
      <w:r w:rsidR="00CC759E" w:rsidRPr="000716A4">
        <w:rPr>
          <w:rFonts w:ascii="Verdana" w:hAnsi="Verdana" w:cs="Arial"/>
          <w:lang w:val="es-ES"/>
        </w:rPr>
        <w:t xml:space="preserve"> empleó el sistema morfométrico</w:t>
      </w:r>
      <w:r>
        <w:rPr>
          <w:rFonts w:ascii="Verdana" w:hAnsi="Verdana" w:cs="Arial"/>
          <w:lang w:val="es-ES"/>
        </w:rPr>
        <w:t xml:space="preserve"> </w:t>
      </w:r>
      <w:r w:rsidR="001D1105" w:rsidRPr="000716A4">
        <w:rPr>
          <w:rFonts w:ascii="Verdana" w:hAnsi="Verdana" w:cs="Arial"/>
          <w:lang w:val="es-ES"/>
        </w:rPr>
        <w:t xml:space="preserve">ImageJ para el estudio de las alteraciones tisulares microscópicos que caracterizan el origen y desarrollo de las malformaciones estudiadas. </w:t>
      </w:r>
      <w:r>
        <w:rPr>
          <w:rFonts w:ascii="Verdana" w:hAnsi="Verdana" w:cs="Arial"/>
          <w:lang w:val="es-ES"/>
        </w:rPr>
        <w:t xml:space="preserve">Resultados: </w:t>
      </w:r>
      <w:r w:rsidR="001D1105" w:rsidRPr="000716A4">
        <w:rPr>
          <w:rFonts w:ascii="Verdana" w:hAnsi="Verdana" w:cs="Arial"/>
        </w:rPr>
        <w:t>Predominaron las atresias ileales y yeyunales del Tipo III y IV</w:t>
      </w:r>
      <w:r w:rsidR="00D0542B" w:rsidRPr="000716A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  <w:r w:rsidR="00D0542B" w:rsidRPr="000716A4">
        <w:rPr>
          <w:rFonts w:ascii="Verdana" w:hAnsi="Verdana" w:cs="Arial"/>
        </w:rPr>
        <w:t xml:space="preserve">El espesor de la Capa Muscular de la pared intestinal y de la Submucosa fue menor a nivel del Colon. </w:t>
      </w:r>
      <w:r>
        <w:rPr>
          <w:rFonts w:ascii="Verdana" w:hAnsi="Verdana" w:cs="Arial"/>
        </w:rPr>
        <w:t xml:space="preserve"> </w:t>
      </w:r>
      <w:r w:rsidR="00D0542B" w:rsidRPr="000716A4">
        <w:rPr>
          <w:rFonts w:ascii="Verdana" w:hAnsi="Verdana" w:cs="Arial"/>
        </w:rPr>
        <w:t xml:space="preserve">La </w:t>
      </w:r>
      <w:r w:rsidR="00D0542B" w:rsidRPr="000716A4">
        <w:rPr>
          <w:rFonts w:ascii="Verdana" w:hAnsi="Verdana" w:cs="Arial"/>
          <w:lang w:val="es-ES"/>
        </w:rPr>
        <w:t>profundidad</w:t>
      </w:r>
      <w:r w:rsidR="00D0542B" w:rsidRPr="000716A4">
        <w:rPr>
          <w:rFonts w:ascii="Verdana" w:hAnsi="Verdana" w:cs="Arial"/>
        </w:rPr>
        <w:t xml:space="preserve"> de </w:t>
      </w:r>
      <w:r w:rsidR="00D0542B" w:rsidRPr="000716A4">
        <w:rPr>
          <w:rFonts w:ascii="Verdana" w:hAnsi="Verdana" w:cs="Arial"/>
          <w:lang w:val="es-ES"/>
        </w:rPr>
        <w:t>las</w:t>
      </w:r>
      <w:r w:rsidR="00D0542B" w:rsidRPr="000716A4">
        <w:rPr>
          <w:rFonts w:ascii="Verdana" w:hAnsi="Verdana" w:cs="Arial"/>
        </w:rPr>
        <w:t xml:space="preserve"> criptas estuvo disminuida </w:t>
      </w:r>
      <w:r w:rsidR="00D0542B" w:rsidRPr="000716A4">
        <w:rPr>
          <w:rFonts w:ascii="Verdana" w:eastAsia="Times New Roman" w:hAnsi="Verdana" w:cs="Arial"/>
          <w:lang w:eastAsia="es-ES"/>
        </w:rPr>
        <w:t xml:space="preserve">aproximadamente a la mitad del tamaño normal en los tres segmentos estudiados. </w:t>
      </w:r>
      <w:r w:rsidR="00D0542B" w:rsidRPr="000716A4">
        <w:rPr>
          <w:rFonts w:ascii="Verdana" w:hAnsi="Verdana" w:cs="Arial"/>
        </w:rPr>
        <w:t>La altura del epitelio estuvo dism</w:t>
      </w:r>
      <w:r w:rsidR="00694E73">
        <w:rPr>
          <w:rFonts w:ascii="Verdana" w:hAnsi="Verdana" w:cs="Arial"/>
        </w:rPr>
        <w:t>inuida en el yeyuno y el íleon.</w:t>
      </w:r>
      <w:r>
        <w:rPr>
          <w:rFonts w:ascii="Verdana" w:hAnsi="Verdana" w:cs="Arial"/>
        </w:rPr>
        <w:t xml:space="preserve"> Conclusiones: El estudio morfométrica de las atresias intestinales evidencio características especificas que permiten un manejo </w:t>
      </w:r>
      <w:r w:rsidR="00A45E37">
        <w:rPr>
          <w:rFonts w:ascii="Verdana" w:hAnsi="Verdana" w:cs="Arial"/>
        </w:rPr>
        <w:t>más</w:t>
      </w:r>
      <w:r>
        <w:rPr>
          <w:rFonts w:ascii="Verdana" w:hAnsi="Verdana" w:cs="Arial"/>
        </w:rPr>
        <w:t xml:space="preserve"> eficiente del </w:t>
      </w:r>
      <w:r w:rsidR="00A45E37">
        <w:rPr>
          <w:rFonts w:ascii="Verdana" w:hAnsi="Verdana" w:cs="Arial"/>
        </w:rPr>
        <w:t>paciente.</w:t>
      </w:r>
    </w:p>
    <w:p w:rsidR="00D0542B" w:rsidRPr="000716A4" w:rsidRDefault="00A45E37" w:rsidP="00D0542B">
      <w:pPr>
        <w:spacing w:after="20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Palabras claves: Atresias intestinales, Recién nacido, Morfometría, Intervención quirúrgica.</w:t>
      </w:r>
      <w:r w:rsidR="00001AD6">
        <w:rPr>
          <w:rFonts w:ascii="Verdana" w:hAnsi="Verdana" w:cs="Arial"/>
        </w:rPr>
        <w:t xml:space="preserve"> </w:t>
      </w:r>
    </w:p>
    <w:p w:rsidR="001D1105" w:rsidRPr="000716A4" w:rsidRDefault="001D1105" w:rsidP="00D0542B">
      <w:pPr>
        <w:spacing w:line="360" w:lineRule="auto"/>
        <w:jc w:val="both"/>
        <w:rPr>
          <w:rFonts w:ascii="Verdana" w:hAnsi="Verdana" w:cs="Arial"/>
          <w:color w:val="000000"/>
          <w:vertAlign w:val="superscript"/>
        </w:rPr>
      </w:pPr>
    </w:p>
    <w:p w:rsidR="001D1105" w:rsidRPr="000716A4" w:rsidRDefault="001D1105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D1105" w:rsidRPr="000716A4" w:rsidRDefault="001D1105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D1105" w:rsidRPr="000716A4" w:rsidRDefault="001D1105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D1105" w:rsidRPr="000716A4" w:rsidRDefault="001D1105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D1105" w:rsidRPr="000716A4" w:rsidRDefault="001D1105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CF4006" w:rsidRDefault="00CF4006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CF4006" w:rsidRDefault="00CF4006" w:rsidP="00ED7692">
      <w:pPr>
        <w:spacing w:after="0" w:line="360" w:lineRule="auto"/>
        <w:jc w:val="center"/>
        <w:rPr>
          <w:rFonts w:ascii="Verdana" w:hAnsi="Verdana" w:cs="Arial"/>
          <w:b/>
        </w:rPr>
      </w:pPr>
    </w:p>
    <w:p w:rsidR="00D029B0" w:rsidRPr="000716A4" w:rsidRDefault="005D59B1" w:rsidP="003923B0">
      <w:pPr>
        <w:spacing w:after="0" w:line="360" w:lineRule="auto"/>
        <w:rPr>
          <w:rFonts w:ascii="Verdana" w:hAnsi="Verdana" w:cs="Arial"/>
          <w:b/>
        </w:rPr>
      </w:pPr>
      <w:r w:rsidRPr="000716A4">
        <w:rPr>
          <w:rFonts w:ascii="Verdana" w:hAnsi="Verdana" w:cs="Arial"/>
          <w:b/>
        </w:rPr>
        <w:lastRenderedPageBreak/>
        <w:t>INTRODUCCIÓN</w:t>
      </w:r>
    </w:p>
    <w:p w:rsidR="009A31F1" w:rsidRDefault="009A31F1" w:rsidP="009A31F1">
      <w:pPr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El sistema digestivo es un conjunto de órganos complejo y bien organizado, que comienza a formarse durante la etapa embrionaria y su morfogénesis principal concluye alrededor de la décima semana</w:t>
      </w:r>
      <w:r>
        <w:rPr>
          <w:rFonts w:ascii="Verdana" w:hAnsi="Verdana" w:cs="Arial"/>
        </w:rPr>
        <w:t>.</w:t>
      </w:r>
    </w:p>
    <w:p w:rsidR="009A31F1" w:rsidRDefault="009A31F1" w:rsidP="009A31F1">
      <w:pPr>
        <w:spacing w:line="360" w:lineRule="auto"/>
        <w:jc w:val="both"/>
        <w:rPr>
          <w:rFonts w:ascii="Verdana" w:hAnsi="Verdana" w:cs="Arial"/>
          <w:vertAlign w:val="superscript"/>
          <w:lang w:val="es-MX"/>
        </w:rPr>
      </w:pPr>
      <w:r w:rsidRPr="000716A4">
        <w:rPr>
          <w:rFonts w:ascii="Verdana" w:hAnsi="Verdana" w:cs="Arial"/>
        </w:rPr>
        <w:t>Al final de la tercera semana han quedado formadas, reorganizadas y determinadas las tres capas germinativas (endodermo, mesodermo y ectodermo) e inicia el plegamiento ventral del embrión. En la cuarta semana durante el plegamiento cefálico y caudal, el techo del saco vitelino queda incluido dentro del embrión formando el intestino primitivo, con un revestimiento interno dado por células del endodermo, rodeadas por células del mesodermo.</w:t>
      </w:r>
      <w:r w:rsidR="00551E0B">
        <w:rPr>
          <w:rFonts w:ascii="Verdana" w:hAnsi="Verdana" w:cs="Arial"/>
          <w:vertAlign w:val="superscript"/>
        </w:rPr>
        <w:t>1, 2</w:t>
      </w:r>
      <w:r w:rsidRPr="000716A4">
        <w:rPr>
          <w:rFonts w:ascii="Verdana" w:hAnsi="Verdana" w:cs="Arial"/>
          <w:vertAlign w:val="superscript"/>
        </w:rPr>
        <w:t xml:space="preserve">, </w:t>
      </w:r>
      <w:r w:rsidR="00551E0B">
        <w:rPr>
          <w:rFonts w:ascii="Verdana" w:hAnsi="Verdana" w:cs="Arial"/>
          <w:vertAlign w:val="superscript"/>
        </w:rPr>
        <w:t>3</w:t>
      </w:r>
      <w:r w:rsidRPr="000716A4">
        <w:rPr>
          <w:rFonts w:ascii="Verdana" w:hAnsi="Verdana" w:cs="Arial"/>
        </w:rPr>
        <w:t>Entre el endodermo y el mesodermo van a ocurrir importantes interacciones para la diferenciación de las capas que lo conforman</w:t>
      </w:r>
      <w:r w:rsidRPr="000716A4">
        <w:rPr>
          <w:rFonts w:ascii="Verdana" w:hAnsi="Verdana" w:cs="Arial"/>
          <w:lang w:val="es-MX"/>
        </w:rPr>
        <w:t>.</w:t>
      </w:r>
      <w:r w:rsidR="00551E0B">
        <w:rPr>
          <w:rFonts w:ascii="Verdana" w:hAnsi="Verdana" w:cs="Arial"/>
          <w:vertAlign w:val="superscript"/>
          <w:lang w:val="es-MX"/>
        </w:rPr>
        <w:t>4</w:t>
      </w:r>
      <w:r w:rsidRPr="000716A4">
        <w:rPr>
          <w:rFonts w:ascii="Verdana" w:hAnsi="Verdana" w:cs="Arial"/>
          <w:vertAlign w:val="superscript"/>
          <w:lang w:val="es-MX"/>
        </w:rPr>
        <w:t>, 5</w:t>
      </w:r>
    </w:p>
    <w:p w:rsidR="009604A1" w:rsidRPr="009604A1" w:rsidRDefault="009A31F1" w:rsidP="009A31F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hAnsi="Verdana" w:cs="Arial"/>
        </w:rPr>
        <w:t>A lo largo de este, la pared tiene cuatro capas: mucosa, submucosa, muscular y serosa. Si bien estas capas recubren todo el tubo digestivo, existen variaciones en sus diferentes segmentos. De ellas, la mucosa deriva del endodermo, mientras que la submucosa y la muscular d</w:t>
      </w:r>
      <w:r w:rsidR="00D37B18">
        <w:rPr>
          <w:rFonts w:ascii="Verdana" w:hAnsi="Verdana" w:cs="Arial"/>
        </w:rPr>
        <w:t>erivan del mesodermo esplácnico</w:t>
      </w:r>
      <w:r w:rsidR="009604A1" w:rsidRPr="000716A4">
        <w:rPr>
          <w:rFonts w:ascii="Verdana" w:hAnsi="Verdana" w:cs="Arial"/>
        </w:rPr>
        <w:t>.</w:t>
      </w:r>
      <w:r w:rsidR="003923B0">
        <w:rPr>
          <w:rFonts w:ascii="Verdana" w:hAnsi="Verdana" w:cs="Arial"/>
        </w:rPr>
        <w:t xml:space="preserve"> </w:t>
      </w:r>
      <w:r w:rsidR="009604A1" w:rsidRPr="000716A4">
        <w:rPr>
          <w:rFonts w:ascii="Verdana" w:hAnsi="Verdana" w:cs="Arial"/>
        </w:rPr>
        <w:t>La diferenciación epitelial del intestino medio ocurre entre la séptima y la décima semana y sigue</w:t>
      </w:r>
      <w:r w:rsidR="003923B0">
        <w:rPr>
          <w:rFonts w:ascii="Verdana" w:hAnsi="Verdana" w:cs="Arial"/>
        </w:rPr>
        <w:t xml:space="preserve"> </w:t>
      </w:r>
      <w:r w:rsidR="009604A1" w:rsidRPr="000716A4">
        <w:rPr>
          <w:rFonts w:ascii="Verdana" w:hAnsi="Verdana" w:cs="Arial"/>
        </w:rPr>
        <w:t xml:space="preserve">un patrón </w:t>
      </w:r>
      <w:r w:rsidR="003923B0">
        <w:rPr>
          <w:rFonts w:ascii="Verdana" w:hAnsi="Verdana" w:cs="Arial"/>
        </w:rPr>
        <w:t xml:space="preserve">céfalo </w:t>
      </w:r>
      <w:r w:rsidR="009604A1" w:rsidRPr="000716A4">
        <w:rPr>
          <w:rFonts w:ascii="Verdana" w:hAnsi="Verdana" w:cs="Arial"/>
        </w:rPr>
        <w:t xml:space="preserve">caudal. </w:t>
      </w:r>
      <w:r w:rsidR="00551E0B">
        <w:rPr>
          <w:rFonts w:ascii="Verdana" w:hAnsi="Verdana" w:cs="Arial"/>
          <w:vertAlign w:val="superscript"/>
        </w:rPr>
        <w:t xml:space="preserve">1, 3, </w:t>
      </w:r>
      <w:r w:rsidR="009604A1" w:rsidRPr="000716A4">
        <w:rPr>
          <w:rFonts w:ascii="Verdana" w:hAnsi="Verdana" w:cs="Arial"/>
          <w:vertAlign w:val="superscript"/>
        </w:rPr>
        <w:t>6</w:t>
      </w:r>
    </w:p>
    <w:p w:rsidR="002C3C3F" w:rsidRPr="000716A4" w:rsidRDefault="00F92AA8" w:rsidP="002403E2">
      <w:pPr>
        <w:spacing w:line="360" w:lineRule="auto"/>
        <w:jc w:val="both"/>
        <w:rPr>
          <w:rFonts w:ascii="Verdana" w:hAnsi="Verdana" w:cs="Arial"/>
          <w:color w:val="000000"/>
          <w:vertAlign w:val="superscript"/>
        </w:rPr>
      </w:pPr>
      <w:r w:rsidRPr="00551E0B">
        <w:rPr>
          <w:rFonts w:ascii="Verdana" w:hAnsi="Verdana" w:cs="Arial"/>
          <w:shd w:val="clear" w:color="auto" w:fill="FFFFFF"/>
        </w:rPr>
        <w:t>Las malformaciones congénitas del tracto digestivo constituyen un espectro variado de patologías,</w:t>
      </w:r>
      <w:r w:rsidRPr="00551E0B">
        <w:rPr>
          <w:rStyle w:val="A3"/>
          <w:rFonts w:ascii="Verdana" w:hAnsi="Verdana" w:cs="Arial"/>
          <w:sz w:val="22"/>
        </w:rPr>
        <w:t xml:space="preserve"> con</w:t>
      </w:r>
      <w:r w:rsidR="002C3C3F" w:rsidRPr="00551E0B">
        <w:rPr>
          <w:rStyle w:val="A3"/>
          <w:rFonts w:ascii="Verdana" w:hAnsi="Verdana" w:cs="Arial"/>
          <w:sz w:val="22"/>
        </w:rPr>
        <w:t xml:space="preserve"> anomalías estructurales que involucran diferentes grados de alteraciones morfológicas</w:t>
      </w:r>
      <w:r w:rsidR="009A31F1" w:rsidRPr="00551E0B">
        <w:rPr>
          <w:rStyle w:val="A3"/>
          <w:rFonts w:ascii="Verdana" w:hAnsi="Verdana" w:cs="Arial"/>
          <w:sz w:val="22"/>
        </w:rPr>
        <w:t xml:space="preserve">. </w:t>
      </w:r>
      <w:r w:rsidR="004E3FEB" w:rsidRPr="00551E0B">
        <w:rPr>
          <w:rStyle w:val="A3"/>
          <w:rFonts w:ascii="Verdana" w:hAnsi="Verdana" w:cs="Arial"/>
          <w:sz w:val="22"/>
        </w:rPr>
        <w:t>E</w:t>
      </w:r>
      <w:r w:rsidR="002C3C3F" w:rsidRPr="00551E0B">
        <w:rPr>
          <w:rFonts w:ascii="Verdana" w:hAnsi="Verdana" w:cs="Arial"/>
        </w:rPr>
        <w:t>ntre las más frecuentes se encuentran las atresias intestinales</w:t>
      </w:r>
      <w:r w:rsidR="002C3C3F" w:rsidRPr="000716A4">
        <w:rPr>
          <w:rStyle w:val="A3"/>
          <w:rFonts w:ascii="Verdana" w:hAnsi="Verdana" w:cs="Arial"/>
          <w:sz w:val="22"/>
        </w:rPr>
        <w:t xml:space="preserve"> que adquieren gran relevancia por su alta incidencia y por constituir una entidad que mantiene, aunque progresivamente menor, una alta mortalidad.</w:t>
      </w:r>
      <w:r w:rsidR="00551E0B">
        <w:rPr>
          <w:rStyle w:val="A3"/>
          <w:rFonts w:ascii="Verdana" w:hAnsi="Verdana" w:cs="Arial"/>
          <w:sz w:val="22"/>
          <w:vertAlign w:val="superscript"/>
        </w:rPr>
        <w:t>7</w:t>
      </w:r>
      <w:r w:rsidR="000A7F0D" w:rsidRPr="000716A4">
        <w:rPr>
          <w:rStyle w:val="A3"/>
          <w:rFonts w:ascii="Verdana" w:hAnsi="Verdana" w:cs="Arial"/>
          <w:sz w:val="22"/>
          <w:vertAlign w:val="superscript"/>
        </w:rPr>
        <w:t xml:space="preserve">, </w:t>
      </w:r>
      <w:r w:rsidR="00551E0B">
        <w:rPr>
          <w:rStyle w:val="A3"/>
          <w:rFonts w:ascii="Verdana" w:hAnsi="Verdana" w:cs="Arial"/>
          <w:sz w:val="22"/>
          <w:vertAlign w:val="superscript"/>
        </w:rPr>
        <w:t>8</w:t>
      </w:r>
      <w:r w:rsidR="00026C09" w:rsidRPr="000716A4">
        <w:rPr>
          <w:rStyle w:val="A3"/>
          <w:rFonts w:ascii="Verdana" w:hAnsi="Verdana" w:cs="Arial"/>
          <w:sz w:val="22"/>
          <w:vertAlign w:val="superscript"/>
        </w:rPr>
        <w:t>,</w:t>
      </w:r>
      <w:r w:rsidR="009E0985">
        <w:rPr>
          <w:rStyle w:val="A3"/>
          <w:rFonts w:ascii="Verdana" w:hAnsi="Verdana" w:cs="Arial"/>
          <w:sz w:val="22"/>
          <w:vertAlign w:val="superscript"/>
        </w:rPr>
        <w:t>9</w:t>
      </w:r>
      <w:r w:rsidR="00F6479C" w:rsidRPr="000716A4">
        <w:rPr>
          <w:rStyle w:val="A3"/>
          <w:rFonts w:ascii="Verdana" w:hAnsi="Verdana" w:cs="Arial"/>
          <w:sz w:val="22"/>
          <w:vertAlign w:val="superscript"/>
        </w:rPr>
        <w:t>,1</w:t>
      </w:r>
      <w:r w:rsidR="009E0985">
        <w:rPr>
          <w:rStyle w:val="A3"/>
          <w:rFonts w:ascii="Verdana" w:hAnsi="Verdana" w:cs="Arial"/>
          <w:sz w:val="22"/>
          <w:vertAlign w:val="superscript"/>
        </w:rPr>
        <w:t>0</w:t>
      </w:r>
    </w:p>
    <w:p w:rsidR="007755E1" w:rsidRPr="000716A4" w:rsidRDefault="00A700D8" w:rsidP="002403E2">
      <w:pPr>
        <w:pStyle w:val="NormalWeb"/>
        <w:spacing w:before="0" w:beforeAutospacing="0" w:after="160" w:afterAutospacing="0" w:line="360" w:lineRule="auto"/>
        <w:jc w:val="both"/>
        <w:rPr>
          <w:rFonts w:ascii="Verdana" w:hAnsi="Verdana" w:cs="Arial"/>
          <w:sz w:val="22"/>
          <w:szCs w:val="22"/>
        </w:rPr>
      </w:pPr>
      <w:r w:rsidRPr="000716A4">
        <w:rPr>
          <w:rFonts w:ascii="Verdana" w:hAnsi="Verdana" w:cs="Arial"/>
          <w:sz w:val="22"/>
          <w:szCs w:val="22"/>
        </w:rPr>
        <w:t>E</w:t>
      </w:r>
      <w:r w:rsidR="00975813" w:rsidRPr="000716A4">
        <w:rPr>
          <w:rFonts w:ascii="Verdana" w:hAnsi="Verdana" w:cs="Arial"/>
          <w:sz w:val="22"/>
          <w:szCs w:val="22"/>
        </w:rPr>
        <w:t>s la más frecuente de las malformaciones congénitas obstructivas del tubo digestivo en niños recién nacidos, se le encuentra en cerca de un tercio de los casos de obs</w:t>
      </w:r>
      <w:r w:rsidR="00D62BBB" w:rsidRPr="000716A4">
        <w:rPr>
          <w:rFonts w:ascii="Verdana" w:hAnsi="Verdana" w:cs="Arial"/>
          <w:sz w:val="22"/>
          <w:szCs w:val="22"/>
        </w:rPr>
        <w:t>trucción intestinal neonatal.</w:t>
      </w:r>
      <w:r w:rsidR="000A7F0D" w:rsidRPr="000716A4">
        <w:rPr>
          <w:rFonts w:ascii="Verdana" w:hAnsi="Verdana" w:cs="Arial"/>
          <w:sz w:val="22"/>
          <w:szCs w:val="22"/>
          <w:vertAlign w:val="superscript"/>
        </w:rPr>
        <w:t>2</w:t>
      </w:r>
      <w:r w:rsidR="00F6479C" w:rsidRPr="000716A4">
        <w:rPr>
          <w:rFonts w:ascii="Verdana" w:hAnsi="Verdana" w:cs="Arial"/>
          <w:sz w:val="22"/>
          <w:szCs w:val="22"/>
          <w:vertAlign w:val="superscript"/>
        </w:rPr>
        <w:t>,</w:t>
      </w:r>
      <w:r w:rsidR="009E0985">
        <w:rPr>
          <w:rFonts w:ascii="Verdana" w:hAnsi="Verdana" w:cs="Arial"/>
          <w:sz w:val="22"/>
          <w:szCs w:val="22"/>
          <w:vertAlign w:val="superscript"/>
        </w:rPr>
        <w:t>3</w:t>
      </w:r>
      <w:r w:rsidRPr="000716A4">
        <w:rPr>
          <w:rFonts w:ascii="Verdana" w:hAnsi="Verdana" w:cs="Arial"/>
          <w:sz w:val="22"/>
          <w:szCs w:val="22"/>
        </w:rPr>
        <w:t xml:space="preserve"> S</w:t>
      </w:r>
      <w:r w:rsidR="007370EA" w:rsidRPr="000716A4">
        <w:rPr>
          <w:rFonts w:ascii="Verdana" w:hAnsi="Verdana" w:cs="Arial"/>
          <w:sz w:val="22"/>
          <w:szCs w:val="22"/>
        </w:rPr>
        <w:t>u incidencia es de 2 a 3</w:t>
      </w:r>
      <w:r w:rsidR="00260FC7" w:rsidRPr="000716A4">
        <w:rPr>
          <w:rFonts w:ascii="Verdana" w:hAnsi="Verdana" w:cs="Arial"/>
          <w:sz w:val="22"/>
          <w:szCs w:val="22"/>
        </w:rPr>
        <w:t>por 10,000 nacidos vivos. E</w:t>
      </w:r>
      <w:r w:rsidR="00975813" w:rsidRPr="000716A4">
        <w:rPr>
          <w:rFonts w:ascii="Verdana" w:hAnsi="Verdana" w:cs="Arial"/>
          <w:sz w:val="22"/>
          <w:szCs w:val="22"/>
        </w:rPr>
        <w:t>n</w:t>
      </w:r>
      <w:r w:rsidR="00260FC7" w:rsidRPr="000716A4">
        <w:rPr>
          <w:rFonts w:ascii="Verdana" w:hAnsi="Verdana" w:cs="Arial"/>
          <w:sz w:val="22"/>
          <w:szCs w:val="22"/>
        </w:rPr>
        <w:t xml:space="preserve"> un</w:t>
      </w:r>
      <w:r w:rsidR="00975813" w:rsidRPr="000716A4">
        <w:rPr>
          <w:rFonts w:ascii="Verdana" w:hAnsi="Verdana" w:cs="Arial"/>
          <w:sz w:val="22"/>
          <w:szCs w:val="22"/>
        </w:rPr>
        <w:t xml:space="preserve"> 50% de los casos la atresia ocurre en el duodeno, en 36% se le encuentra en el segmento yeyuno</w:t>
      </w:r>
      <w:r w:rsidR="003923B0">
        <w:rPr>
          <w:rFonts w:ascii="Verdana" w:hAnsi="Verdana" w:cs="Arial"/>
          <w:sz w:val="22"/>
          <w:szCs w:val="22"/>
        </w:rPr>
        <w:t xml:space="preserve"> </w:t>
      </w:r>
      <w:r w:rsidR="00975813" w:rsidRPr="000716A4">
        <w:rPr>
          <w:rFonts w:ascii="Verdana" w:hAnsi="Verdana" w:cs="Arial"/>
          <w:sz w:val="22"/>
          <w:szCs w:val="22"/>
        </w:rPr>
        <w:t>ileal, en 7% la atresia es en el colon, en sólo 5% d</w:t>
      </w:r>
      <w:r w:rsidR="00D62BBB" w:rsidRPr="000716A4">
        <w:rPr>
          <w:rFonts w:ascii="Verdana" w:hAnsi="Verdana" w:cs="Arial"/>
          <w:sz w:val="22"/>
          <w:szCs w:val="22"/>
        </w:rPr>
        <w:t>e los casos es atresia múltiple</w:t>
      </w:r>
      <w:r w:rsidR="00DA5DB5" w:rsidRPr="000716A4">
        <w:rPr>
          <w:rFonts w:ascii="Verdana" w:hAnsi="Verdana" w:cs="Arial"/>
          <w:sz w:val="22"/>
          <w:szCs w:val="22"/>
        </w:rPr>
        <w:t>.</w:t>
      </w:r>
      <w:r w:rsidR="007B198F">
        <w:rPr>
          <w:rFonts w:ascii="Verdana" w:hAnsi="Verdana" w:cs="Arial"/>
          <w:sz w:val="22"/>
          <w:szCs w:val="22"/>
          <w:vertAlign w:val="superscript"/>
        </w:rPr>
        <w:t>14</w:t>
      </w:r>
      <w:r w:rsidR="002A180B" w:rsidRPr="000716A4">
        <w:rPr>
          <w:rFonts w:ascii="Verdana" w:hAnsi="Verdana" w:cs="Arial"/>
          <w:sz w:val="22"/>
          <w:szCs w:val="22"/>
          <w:vertAlign w:val="superscript"/>
        </w:rPr>
        <w:t>,</w:t>
      </w:r>
      <w:r w:rsidR="007B198F">
        <w:rPr>
          <w:rFonts w:ascii="Verdana" w:hAnsi="Verdana" w:cs="Arial"/>
          <w:sz w:val="22"/>
          <w:szCs w:val="22"/>
          <w:vertAlign w:val="superscript"/>
        </w:rPr>
        <w:t>15</w:t>
      </w:r>
    </w:p>
    <w:p w:rsidR="00AA16A9" w:rsidRPr="000716A4" w:rsidRDefault="00AA16A9" w:rsidP="002403E2">
      <w:pPr>
        <w:spacing w:line="360" w:lineRule="auto"/>
        <w:jc w:val="both"/>
        <w:rPr>
          <w:rFonts w:ascii="Verdana" w:eastAsia="Times New Roman" w:hAnsi="Verdana" w:cs="Arial"/>
          <w:vertAlign w:val="superscript"/>
          <w:lang w:val="es-MX"/>
        </w:rPr>
      </w:pPr>
      <w:r w:rsidRPr="000716A4">
        <w:rPr>
          <w:rFonts w:ascii="Verdana" w:eastAsia="Times New Roman" w:hAnsi="Verdana" w:cs="Arial"/>
          <w:lang w:val="es-MX"/>
        </w:rPr>
        <w:lastRenderedPageBreak/>
        <w:t xml:space="preserve">En estudios realizados en </w:t>
      </w:r>
      <w:r w:rsidR="00F330D3" w:rsidRPr="000716A4">
        <w:rPr>
          <w:rFonts w:ascii="Verdana" w:eastAsia="Times New Roman" w:hAnsi="Verdana" w:cs="Arial"/>
          <w:lang w:val="es-MX"/>
        </w:rPr>
        <w:t xml:space="preserve">Méxicodurante el periodo 2012-2015 la tasa de malformaciones congénitas fue de </w:t>
      </w:r>
      <w:r w:rsidR="004E3FEB" w:rsidRPr="000716A4">
        <w:rPr>
          <w:rFonts w:ascii="Verdana" w:eastAsia="Times New Roman" w:hAnsi="Verdana" w:cs="Arial"/>
          <w:lang w:val="es-MX"/>
        </w:rPr>
        <w:t>13.5 por cada 100 nacidos vivos. L</w:t>
      </w:r>
      <w:r w:rsidRPr="000716A4">
        <w:rPr>
          <w:rFonts w:ascii="Verdana" w:eastAsia="Times New Roman" w:hAnsi="Verdana" w:cs="Arial"/>
          <w:lang w:val="es-MX"/>
        </w:rPr>
        <w:t xml:space="preserve">as malformaciones del tubo digestivo </w:t>
      </w:r>
      <w:r w:rsidR="004E3FEB" w:rsidRPr="000716A4">
        <w:rPr>
          <w:rFonts w:ascii="Verdana" w:eastAsia="Times New Roman" w:hAnsi="Verdana" w:cs="Arial"/>
          <w:lang w:val="es-MX"/>
        </w:rPr>
        <w:t xml:space="preserve">en ese país </w:t>
      </w:r>
      <w:r w:rsidR="000E56AE" w:rsidRPr="000716A4">
        <w:rPr>
          <w:rFonts w:ascii="Verdana" w:eastAsia="Times New Roman" w:hAnsi="Verdana" w:cs="Arial"/>
          <w:lang w:val="es-MX"/>
        </w:rPr>
        <w:t>ocupan el cuarto</w:t>
      </w:r>
      <w:r w:rsidRPr="000716A4">
        <w:rPr>
          <w:rFonts w:ascii="Verdana" w:eastAsia="Times New Roman" w:hAnsi="Verdana" w:cs="Arial"/>
          <w:lang w:val="es-MX"/>
        </w:rPr>
        <w:t xml:space="preserve"> lu</w:t>
      </w:r>
      <w:r w:rsidR="00555CF8" w:rsidRPr="000716A4">
        <w:rPr>
          <w:rFonts w:ascii="Verdana" w:eastAsia="Times New Roman" w:hAnsi="Verdana" w:cs="Arial"/>
          <w:lang w:val="es-MX"/>
        </w:rPr>
        <w:t>gar</w:t>
      </w:r>
      <w:r w:rsidRPr="000716A4">
        <w:rPr>
          <w:rFonts w:ascii="Verdana" w:eastAsia="Times New Roman" w:hAnsi="Verdana" w:cs="Arial"/>
          <w:lang w:val="es-MX"/>
        </w:rPr>
        <w:t>.</w:t>
      </w:r>
      <w:r w:rsidR="007B198F">
        <w:rPr>
          <w:rFonts w:ascii="Verdana" w:eastAsia="Times New Roman" w:hAnsi="Verdana" w:cs="Arial"/>
          <w:vertAlign w:val="superscript"/>
          <w:lang w:val="es-MX"/>
        </w:rPr>
        <w:t>16</w:t>
      </w:r>
      <w:r w:rsidR="002A180B" w:rsidRPr="000716A4">
        <w:rPr>
          <w:rFonts w:ascii="Verdana" w:eastAsia="Times New Roman" w:hAnsi="Verdana" w:cs="Arial"/>
          <w:vertAlign w:val="superscript"/>
          <w:lang w:val="es-MX"/>
        </w:rPr>
        <w:t>,</w:t>
      </w:r>
      <w:r w:rsidR="007B198F">
        <w:rPr>
          <w:rFonts w:ascii="Verdana" w:eastAsia="Times New Roman" w:hAnsi="Verdana" w:cs="Arial"/>
          <w:vertAlign w:val="superscript"/>
          <w:lang w:val="es-MX"/>
        </w:rPr>
        <w:t>17</w:t>
      </w:r>
    </w:p>
    <w:p w:rsidR="00E969D3" w:rsidRPr="000716A4" w:rsidRDefault="00E77558" w:rsidP="002403E2">
      <w:pPr>
        <w:spacing w:line="360" w:lineRule="auto"/>
        <w:jc w:val="both"/>
        <w:rPr>
          <w:rFonts w:ascii="Verdana" w:eastAsia="Times New Roman" w:hAnsi="Verdana" w:cs="Arial"/>
          <w:lang w:val="es-MX"/>
        </w:rPr>
      </w:pPr>
      <w:r w:rsidRPr="000716A4">
        <w:rPr>
          <w:rFonts w:ascii="Verdana" w:eastAsia="Times New Roman" w:hAnsi="Verdana" w:cs="Arial"/>
          <w:lang w:val="es-MX"/>
        </w:rPr>
        <w:t>En el anuario e</w:t>
      </w:r>
      <w:r w:rsidR="0019539A" w:rsidRPr="000716A4">
        <w:rPr>
          <w:rFonts w:ascii="Verdana" w:eastAsia="Times New Roman" w:hAnsi="Verdana" w:cs="Arial"/>
          <w:lang w:val="es-MX"/>
        </w:rPr>
        <w:t>stadístico del año</w:t>
      </w:r>
      <w:r w:rsidR="00693C4A" w:rsidRPr="000716A4">
        <w:rPr>
          <w:rFonts w:ascii="Verdana" w:eastAsia="Times New Roman" w:hAnsi="Verdana" w:cs="Arial"/>
          <w:lang w:val="es-MX"/>
        </w:rPr>
        <w:t xml:space="preserve"> 2018</w:t>
      </w:r>
      <w:r w:rsidRPr="000716A4">
        <w:rPr>
          <w:rFonts w:ascii="Verdana" w:eastAsia="Times New Roman" w:hAnsi="Verdana" w:cs="Arial"/>
          <w:lang w:val="es-MX"/>
        </w:rPr>
        <w:t xml:space="preserve"> se puede observar que</w:t>
      </w:r>
      <w:r w:rsidR="003923B0">
        <w:rPr>
          <w:rFonts w:ascii="Verdana" w:eastAsia="Times New Roman" w:hAnsi="Verdana" w:cs="Arial"/>
          <w:lang w:val="es-MX"/>
        </w:rPr>
        <w:t xml:space="preserve"> </w:t>
      </w:r>
      <w:r w:rsidRPr="000716A4">
        <w:rPr>
          <w:rFonts w:ascii="Verdana" w:eastAsia="Times New Roman" w:hAnsi="Verdana" w:cs="Arial"/>
          <w:lang w:val="es-MX"/>
        </w:rPr>
        <w:t xml:space="preserve">las malformaciones congénitas, deformidades y anomalías cromosómicas son las principales causas de muerte en menores de </w:t>
      </w:r>
      <w:r w:rsidR="0003709D" w:rsidRPr="000716A4">
        <w:rPr>
          <w:rFonts w:ascii="Verdana" w:eastAsia="Times New Roman" w:hAnsi="Verdana" w:cs="Arial"/>
          <w:lang w:val="es-MX"/>
        </w:rPr>
        <w:t>un</w:t>
      </w:r>
      <w:r w:rsidR="009604A1">
        <w:rPr>
          <w:rFonts w:ascii="Verdana" w:eastAsia="Times New Roman" w:hAnsi="Verdana" w:cs="Arial"/>
          <w:lang w:val="es-MX"/>
        </w:rPr>
        <w:t>año en Cuba</w:t>
      </w:r>
      <w:r w:rsidRPr="000716A4">
        <w:rPr>
          <w:rFonts w:ascii="Verdana" w:eastAsia="Times New Roman" w:hAnsi="Verdana" w:cs="Arial"/>
          <w:lang w:val="es-MX"/>
        </w:rPr>
        <w:t>. Dentro de ellas las malformaciones del sistema digestivo ocuparon el segundo lugar, con un predominio de las atresias y estenosis de sus diferentes porciones.</w:t>
      </w:r>
      <w:r w:rsidR="007B198F">
        <w:rPr>
          <w:rFonts w:ascii="Verdana" w:eastAsia="Times New Roman" w:hAnsi="Verdana" w:cs="Arial"/>
          <w:vertAlign w:val="superscript"/>
          <w:lang w:val="es-MX"/>
        </w:rPr>
        <w:t>18</w:t>
      </w:r>
    </w:p>
    <w:p w:rsidR="0050301F" w:rsidRPr="000716A4" w:rsidRDefault="00735B6F" w:rsidP="002403E2">
      <w:pPr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eastAsia="Times New Roman" w:hAnsi="Verdana" w:cs="Arial"/>
          <w:bCs/>
          <w:color w:val="0D0D0D"/>
          <w:lang w:eastAsia="es-MX"/>
        </w:rPr>
        <w:t>En Holguín, se realizan cada año más de 200 diagnósticos de malformaciones congénitas,</w:t>
      </w:r>
      <w:r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 de ellas el 35-45% lo constituyen las del tubo digestivo, de las cuales las obstrucciones intestinales congénitas ocupan el primer lugar, similar al comportamiento nacional. </w:t>
      </w:r>
      <w:r w:rsidR="00717572" w:rsidRPr="000716A4">
        <w:rPr>
          <w:rFonts w:ascii="Verdana" w:hAnsi="Verdana" w:cs="Arial"/>
        </w:rPr>
        <w:t xml:space="preserve">En el hospital pediátrico de </w:t>
      </w:r>
      <w:r w:rsidR="00FC42F2" w:rsidRPr="000716A4">
        <w:rPr>
          <w:rFonts w:ascii="Verdana" w:hAnsi="Verdana" w:cs="Arial"/>
        </w:rPr>
        <w:t xml:space="preserve">esta </w:t>
      </w:r>
      <w:r w:rsidR="00717572" w:rsidRPr="000716A4">
        <w:rPr>
          <w:rFonts w:ascii="Verdana" w:hAnsi="Verdana" w:cs="Arial"/>
        </w:rPr>
        <w:t>provincia funciona el Centro Regional de Cirugía Neonatal, donde la tasa de supervivencia alcanza el 83.3%, siendo más baja en neonatos por debajo de los 1500g de peso, pretérminos y con trisomías asociadas.</w:t>
      </w:r>
      <w:r w:rsidR="009074D9">
        <w:rPr>
          <w:rFonts w:ascii="Verdana" w:hAnsi="Verdana" w:cs="Arial"/>
          <w:vertAlign w:val="superscript"/>
        </w:rPr>
        <w:t>1</w:t>
      </w:r>
      <w:r w:rsidR="007B198F">
        <w:rPr>
          <w:rFonts w:ascii="Verdana" w:hAnsi="Verdana" w:cs="Arial"/>
          <w:vertAlign w:val="superscript"/>
        </w:rPr>
        <w:t>1</w:t>
      </w:r>
    </w:p>
    <w:p w:rsidR="009604A1" w:rsidRDefault="0050301F" w:rsidP="002403E2">
      <w:pPr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En un estudio realizado en el hospital pediátrico de Holguín en el periodo comprendido entre 1994 y 2015 se operaron y se siguieron durante el periodo neonatal un total de 295 niños con malformaciones congénitas complejas, de ellos</w:t>
      </w:r>
      <w:r w:rsidR="00131C3B" w:rsidRPr="000716A4">
        <w:rPr>
          <w:rFonts w:ascii="Verdana" w:hAnsi="Verdana" w:cs="Arial"/>
        </w:rPr>
        <w:t xml:space="preserve"> 92</w:t>
      </w:r>
      <w:r w:rsidRPr="000716A4">
        <w:rPr>
          <w:rFonts w:ascii="Verdana" w:hAnsi="Verdana" w:cs="Arial"/>
        </w:rPr>
        <w:t xml:space="preserve"> fueron operado</w:t>
      </w:r>
      <w:r w:rsidR="00131C3B" w:rsidRPr="000716A4">
        <w:rPr>
          <w:rFonts w:ascii="Verdana" w:hAnsi="Verdana" w:cs="Arial"/>
        </w:rPr>
        <w:t>s</w:t>
      </w:r>
      <w:r w:rsidRPr="000716A4">
        <w:rPr>
          <w:rFonts w:ascii="Verdana" w:hAnsi="Verdana" w:cs="Arial"/>
        </w:rPr>
        <w:t xml:space="preserve"> de atresias y estenosis intestinales (31,2%). En el pasado año fueron operados 61 neonatos con malformaciones congénitas en este servicio, de los cuales 31 tuvieron diagnóstico de obstrucciones intestinales congénitas.</w:t>
      </w:r>
      <w:r w:rsidR="009074D9">
        <w:rPr>
          <w:rFonts w:ascii="Verdana" w:hAnsi="Verdana" w:cs="Arial"/>
          <w:vertAlign w:val="superscript"/>
        </w:rPr>
        <w:t>1</w:t>
      </w:r>
      <w:r w:rsidR="007B198F">
        <w:rPr>
          <w:rFonts w:ascii="Verdana" w:hAnsi="Verdana" w:cs="Arial"/>
          <w:vertAlign w:val="superscript"/>
        </w:rPr>
        <w:t>1</w:t>
      </w:r>
    </w:p>
    <w:p w:rsidR="0005320E" w:rsidRPr="000716A4" w:rsidRDefault="0050301F" w:rsidP="003923B0">
      <w:pPr>
        <w:spacing w:line="360" w:lineRule="auto"/>
        <w:jc w:val="both"/>
        <w:rPr>
          <w:rFonts w:ascii="Verdana" w:eastAsia="Times New Roman" w:hAnsi="Verdana" w:cs="Arial"/>
          <w:bCs/>
          <w:color w:val="000000"/>
          <w:lang w:eastAsia="es-MX"/>
        </w:rPr>
      </w:pPr>
      <w:r w:rsidRPr="000716A4">
        <w:rPr>
          <w:rFonts w:ascii="Verdana" w:hAnsi="Verdana" w:cs="Arial"/>
        </w:rPr>
        <w:t>Estos datos nos corroboran que las obstrucciones intestinales congénitas</w:t>
      </w:r>
      <w:r w:rsidR="003923B0">
        <w:rPr>
          <w:rFonts w:ascii="Verdana" w:hAnsi="Verdana" w:cs="Arial"/>
        </w:rPr>
        <w:t xml:space="preserve"> </w:t>
      </w:r>
      <w:r w:rsidR="009E3A27" w:rsidRPr="000716A4">
        <w:rPr>
          <w:rFonts w:ascii="Verdana" w:hAnsi="Verdana" w:cs="Arial"/>
        </w:rPr>
        <w:t>continúan siendo un problema de salud que amerita de nuestra atención para buscar estrategias que nos ayuden a disminuir su incidencia.</w:t>
      </w:r>
      <w:r w:rsidR="003923B0">
        <w:rPr>
          <w:rFonts w:ascii="Verdana" w:hAnsi="Verdana" w:cs="Arial"/>
        </w:rPr>
        <w:t xml:space="preserve"> Por lo que nos propusimos c</w:t>
      </w:r>
      <w:r w:rsidR="009010B1" w:rsidRPr="000716A4">
        <w:rPr>
          <w:rFonts w:ascii="Verdana" w:eastAsia="Times New Roman" w:hAnsi="Verdana" w:cs="Arial"/>
          <w:bCs/>
          <w:color w:val="000000"/>
          <w:lang w:eastAsia="es-MX"/>
        </w:rPr>
        <w:t>aracterizar</w:t>
      </w:r>
      <w:r w:rsidR="003923B0">
        <w:rPr>
          <w:rFonts w:ascii="Verdana" w:eastAsia="Times New Roman" w:hAnsi="Verdana" w:cs="Arial"/>
          <w:bCs/>
          <w:color w:val="000000"/>
          <w:lang w:eastAsia="es-MX"/>
        </w:rPr>
        <w:t xml:space="preserve"> </w:t>
      </w:r>
      <w:r w:rsidR="00D814E2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morfometricamente </w:t>
      </w:r>
      <w:r w:rsidR="00044D44" w:rsidRPr="000716A4">
        <w:rPr>
          <w:rFonts w:ascii="Verdana" w:eastAsia="Times New Roman" w:hAnsi="Verdana" w:cs="Arial"/>
          <w:bCs/>
          <w:color w:val="000000"/>
          <w:lang w:eastAsia="es-MX"/>
        </w:rPr>
        <w:t>las obstrucc</w:t>
      </w:r>
      <w:r w:rsidR="00BA51E7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iones intestinales </w:t>
      </w:r>
      <w:r w:rsidR="00407FAA" w:rsidRPr="000716A4">
        <w:rPr>
          <w:rFonts w:ascii="Verdana" w:eastAsia="Times New Roman" w:hAnsi="Verdana" w:cs="Arial"/>
          <w:bCs/>
          <w:color w:val="000000"/>
          <w:lang w:eastAsia="es-MX"/>
        </w:rPr>
        <w:t>congénitas</w:t>
      </w:r>
      <w:r w:rsidR="00355F7B" w:rsidRPr="000716A4">
        <w:rPr>
          <w:rFonts w:ascii="Verdana" w:eastAsia="Times New Roman" w:hAnsi="Verdana" w:cs="Arial"/>
          <w:bCs/>
          <w:color w:val="000000"/>
          <w:lang w:eastAsia="es-MX"/>
        </w:rPr>
        <w:t>,</w:t>
      </w:r>
      <w:r w:rsidR="00861899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 en recién nacidos</w:t>
      </w:r>
      <w:r w:rsidR="0005320E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 intervenidos quirúrgicamente</w:t>
      </w:r>
      <w:r w:rsidR="0004694F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 en</w:t>
      </w:r>
      <w:r w:rsidR="003923B0">
        <w:rPr>
          <w:rFonts w:ascii="Verdana" w:eastAsia="Times New Roman" w:hAnsi="Verdana" w:cs="Arial"/>
          <w:bCs/>
          <w:color w:val="000000"/>
          <w:lang w:eastAsia="es-MX"/>
        </w:rPr>
        <w:t xml:space="preserve"> </w:t>
      </w:r>
      <w:r w:rsidR="0004694F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la </w:t>
      </w:r>
      <w:r w:rsidR="0005320E" w:rsidRPr="000716A4">
        <w:rPr>
          <w:rFonts w:ascii="Verdana" w:eastAsia="Times New Roman" w:hAnsi="Verdana" w:cs="Arial"/>
          <w:bCs/>
          <w:color w:val="000000"/>
          <w:lang w:eastAsia="es-MX"/>
        </w:rPr>
        <w:t>p</w:t>
      </w:r>
      <w:r w:rsidR="0004694F" w:rsidRPr="000716A4">
        <w:rPr>
          <w:rFonts w:ascii="Verdana" w:eastAsia="Times New Roman" w:hAnsi="Verdana" w:cs="Arial"/>
          <w:bCs/>
          <w:color w:val="000000"/>
          <w:lang w:eastAsia="es-MX"/>
        </w:rPr>
        <w:t>rovincia Holguín</w:t>
      </w:r>
      <w:r w:rsidR="0005320E" w:rsidRPr="000716A4">
        <w:rPr>
          <w:rFonts w:ascii="Verdana" w:eastAsia="Times New Roman" w:hAnsi="Verdana" w:cs="Arial"/>
          <w:bCs/>
          <w:color w:val="000000"/>
          <w:lang w:eastAsia="es-MX"/>
        </w:rPr>
        <w:t xml:space="preserve"> en los años 2018 a 2020.</w:t>
      </w:r>
    </w:p>
    <w:p w:rsidR="008A305F" w:rsidRPr="000716A4" w:rsidRDefault="00876D00" w:rsidP="002403E2">
      <w:pPr>
        <w:pStyle w:val="Prrafodelista"/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br w:type="page"/>
      </w:r>
    </w:p>
    <w:p w:rsidR="002659C0" w:rsidRPr="003923B0" w:rsidRDefault="00C1081B" w:rsidP="003923B0">
      <w:pPr>
        <w:spacing w:line="360" w:lineRule="auto"/>
        <w:rPr>
          <w:rFonts w:ascii="Verdana" w:hAnsi="Verdana" w:cs="Arial"/>
          <w:b/>
        </w:rPr>
      </w:pPr>
      <w:r w:rsidRPr="003923B0">
        <w:rPr>
          <w:rFonts w:ascii="Verdana" w:hAnsi="Verdana" w:cs="Arial"/>
          <w:b/>
        </w:rPr>
        <w:lastRenderedPageBreak/>
        <w:t>MÉTODO</w:t>
      </w:r>
    </w:p>
    <w:p w:rsidR="003923B0" w:rsidRDefault="0046759A" w:rsidP="003923B0">
      <w:pPr>
        <w:spacing w:line="360" w:lineRule="auto"/>
        <w:jc w:val="both"/>
        <w:rPr>
          <w:rFonts w:ascii="Verdana" w:eastAsia="Times New Roman" w:hAnsi="Verdana" w:cs="Arial"/>
          <w:lang w:eastAsia="es-ES"/>
        </w:rPr>
      </w:pPr>
      <w:r w:rsidRPr="000716A4">
        <w:rPr>
          <w:rFonts w:ascii="Verdana" w:eastAsia="Times New Roman" w:hAnsi="Verdana" w:cs="Arial"/>
          <w:lang w:eastAsia="es-ES"/>
        </w:rPr>
        <w:t>Se realizó</w:t>
      </w:r>
      <w:r w:rsidR="00876D00" w:rsidRPr="000716A4">
        <w:rPr>
          <w:rFonts w:ascii="Verdana" w:eastAsia="Times New Roman" w:hAnsi="Verdana" w:cs="Arial"/>
          <w:lang w:eastAsia="es-ES"/>
        </w:rPr>
        <w:t xml:space="preserve"> un estudio </w:t>
      </w:r>
      <w:r w:rsidR="00A32058" w:rsidRPr="000716A4">
        <w:rPr>
          <w:rFonts w:ascii="Verdana" w:eastAsia="Times New Roman" w:hAnsi="Verdana" w:cs="Arial"/>
          <w:lang w:eastAsia="es-ES"/>
        </w:rPr>
        <w:t>transversal retrospectivo</w:t>
      </w:r>
      <w:r w:rsidR="00044D44" w:rsidRPr="000716A4">
        <w:rPr>
          <w:rFonts w:ascii="Verdana" w:eastAsia="Times New Roman" w:hAnsi="Verdana" w:cs="Arial"/>
          <w:lang w:eastAsia="es-ES"/>
        </w:rPr>
        <w:t xml:space="preserve"> </w:t>
      </w:r>
      <w:r w:rsidRPr="000716A4">
        <w:rPr>
          <w:rFonts w:ascii="Verdana" w:eastAsia="Times New Roman" w:hAnsi="Verdana" w:cs="Arial"/>
          <w:lang w:eastAsia="es-ES"/>
        </w:rPr>
        <w:t>con un enfoque mixto, que tiene</w:t>
      </w:r>
      <w:r w:rsidR="00876D00" w:rsidRPr="000716A4">
        <w:rPr>
          <w:rFonts w:ascii="Verdana" w:eastAsia="Times New Roman" w:hAnsi="Verdana" w:cs="Arial"/>
          <w:lang w:eastAsia="es-ES"/>
        </w:rPr>
        <w:t xml:space="preserve"> como objetivo caracte</w:t>
      </w:r>
      <w:r w:rsidR="006E51C3" w:rsidRPr="000716A4">
        <w:rPr>
          <w:rFonts w:ascii="Verdana" w:eastAsia="Times New Roman" w:hAnsi="Verdana" w:cs="Arial"/>
          <w:lang w:eastAsia="es-ES"/>
        </w:rPr>
        <w:t>riza</w:t>
      </w:r>
      <w:r w:rsidR="007620A8" w:rsidRPr="000716A4">
        <w:rPr>
          <w:rFonts w:ascii="Verdana" w:eastAsia="Times New Roman" w:hAnsi="Verdana" w:cs="Arial"/>
          <w:lang w:eastAsia="es-ES"/>
        </w:rPr>
        <w:t xml:space="preserve">r </w:t>
      </w:r>
      <w:r w:rsidR="00044D44" w:rsidRPr="000716A4">
        <w:rPr>
          <w:rFonts w:ascii="Verdana" w:eastAsia="Times New Roman" w:hAnsi="Verdana" w:cs="Arial"/>
          <w:lang w:eastAsia="es-ES"/>
        </w:rPr>
        <w:t>las obstrucc</w:t>
      </w:r>
      <w:r w:rsidR="006E51C3" w:rsidRPr="000716A4">
        <w:rPr>
          <w:rFonts w:ascii="Verdana" w:eastAsia="Times New Roman" w:hAnsi="Verdana" w:cs="Arial"/>
          <w:lang w:eastAsia="es-ES"/>
        </w:rPr>
        <w:t>iones intestinales congénitas</w:t>
      </w:r>
      <w:r w:rsidRPr="000716A4">
        <w:rPr>
          <w:rFonts w:ascii="Verdana" w:eastAsia="Times New Roman" w:hAnsi="Verdana" w:cs="Arial"/>
          <w:lang w:eastAsia="es-ES"/>
        </w:rPr>
        <w:t xml:space="preserve"> de enero de 2018 a diciembre de 2020</w:t>
      </w:r>
      <w:r w:rsidR="00876D00" w:rsidRPr="000716A4">
        <w:rPr>
          <w:rFonts w:ascii="Verdana" w:eastAsia="Times New Roman" w:hAnsi="Verdana" w:cs="Arial"/>
          <w:lang w:eastAsia="es-ES"/>
        </w:rPr>
        <w:t xml:space="preserve"> en el</w:t>
      </w:r>
      <w:r w:rsidR="00F2651B" w:rsidRPr="000716A4">
        <w:rPr>
          <w:rFonts w:ascii="Verdana" w:eastAsia="Times New Roman" w:hAnsi="Verdana" w:cs="Arial"/>
          <w:lang w:eastAsia="es-ES"/>
        </w:rPr>
        <w:t xml:space="preserve"> centro de cirugía neonatal del</w:t>
      </w:r>
      <w:r w:rsidR="00876D00" w:rsidRPr="000716A4">
        <w:rPr>
          <w:rFonts w:ascii="Verdana" w:eastAsia="Times New Roman" w:hAnsi="Verdana" w:cs="Arial"/>
          <w:lang w:eastAsia="es-ES"/>
        </w:rPr>
        <w:t xml:space="preserve"> hospital pediátrico Octavio de la concepción y </w:t>
      </w:r>
      <w:r w:rsidR="009B7810" w:rsidRPr="000716A4">
        <w:rPr>
          <w:rFonts w:ascii="Verdana" w:eastAsia="Times New Roman" w:hAnsi="Verdana" w:cs="Arial"/>
          <w:lang w:eastAsia="es-ES"/>
        </w:rPr>
        <w:t xml:space="preserve">de </w:t>
      </w:r>
      <w:r w:rsidR="00876D00" w:rsidRPr="000716A4">
        <w:rPr>
          <w:rFonts w:ascii="Verdana" w:eastAsia="Times New Roman" w:hAnsi="Verdana" w:cs="Arial"/>
          <w:lang w:eastAsia="es-ES"/>
        </w:rPr>
        <w:t xml:space="preserve">la Pedraja de la provincia de Holguín. </w:t>
      </w:r>
      <w:r w:rsidR="005B30F3">
        <w:rPr>
          <w:rFonts w:ascii="Verdana" w:eastAsia="Times New Roman" w:hAnsi="Verdana" w:cs="Arial"/>
          <w:lang w:eastAsia="es-ES"/>
        </w:rPr>
        <w:t xml:space="preserve">El universo </w:t>
      </w:r>
      <w:r w:rsidR="00C1081B" w:rsidRPr="000716A4">
        <w:rPr>
          <w:rFonts w:ascii="Verdana" w:eastAsia="Times New Roman" w:hAnsi="Verdana" w:cs="Arial"/>
          <w:lang w:eastAsia="es-ES"/>
        </w:rPr>
        <w:t>quedó</w:t>
      </w:r>
      <w:r w:rsidR="00876D00" w:rsidRPr="000716A4">
        <w:rPr>
          <w:rFonts w:ascii="Verdana" w:eastAsia="Times New Roman" w:hAnsi="Verdana" w:cs="Arial"/>
          <w:lang w:eastAsia="es-ES"/>
        </w:rPr>
        <w:t xml:space="preserve"> constituido por el total de recién na</w:t>
      </w:r>
      <w:r w:rsidR="00ED4D21" w:rsidRPr="000716A4">
        <w:rPr>
          <w:rFonts w:ascii="Verdana" w:eastAsia="Times New Roman" w:hAnsi="Verdana" w:cs="Arial"/>
          <w:lang w:eastAsia="es-ES"/>
        </w:rPr>
        <w:t>cidos con diagnóstico</w:t>
      </w:r>
      <w:r w:rsidR="00876D00" w:rsidRPr="000716A4">
        <w:rPr>
          <w:rFonts w:ascii="Verdana" w:eastAsia="Times New Roman" w:hAnsi="Verdana" w:cs="Arial"/>
          <w:lang w:eastAsia="es-ES"/>
        </w:rPr>
        <w:t xml:space="preserve"> prenatal o postnatal de </w:t>
      </w:r>
      <w:r w:rsidR="00ED4D21" w:rsidRPr="000716A4">
        <w:rPr>
          <w:rFonts w:ascii="Verdana" w:eastAsia="Times New Roman" w:hAnsi="Verdana" w:cs="Arial"/>
          <w:lang w:eastAsia="es-ES"/>
        </w:rPr>
        <w:t>obstrucción intestinal congénita</w:t>
      </w:r>
      <w:r w:rsidR="00F2651B" w:rsidRPr="000716A4">
        <w:rPr>
          <w:rFonts w:ascii="Verdana" w:eastAsia="Times New Roman" w:hAnsi="Verdana" w:cs="Arial"/>
          <w:lang w:eastAsia="es-ES"/>
        </w:rPr>
        <w:t>,</w:t>
      </w:r>
      <w:r w:rsidRPr="000716A4">
        <w:rPr>
          <w:rFonts w:ascii="Verdana" w:eastAsia="Times New Roman" w:hAnsi="Verdana" w:cs="Arial"/>
          <w:lang w:eastAsia="es-ES"/>
        </w:rPr>
        <w:t>a los que se le realizó biopsia</w:t>
      </w:r>
      <w:r w:rsidR="003923B0">
        <w:rPr>
          <w:rFonts w:ascii="Verdana" w:eastAsia="Times New Roman" w:hAnsi="Verdana" w:cs="Arial"/>
          <w:lang w:eastAsia="es-ES"/>
        </w:rPr>
        <w:t xml:space="preserve"> </w:t>
      </w:r>
      <w:r w:rsidR="00876D00" w:rsidRPr="000716A4">
        <w:rPr>
          <w:rFonts w:ascii="Verdana" w:eastAsia="Times New Roman" w:hAnsi="Verdana" w:cs="Arial"/>
          <w:lang w:eastAsia="es-ES"/>
        </w:rPr>
        <w:t xml:space="preserve">en el </w:t>
      </w:r>
      <w:r w:rsidR="00821F6A" w:rsidRPr="000716A4">
        <w:rPr>
          <w:rFonts w:ascii="Verdana" w:eastAsia="Times New Roman" w:hAnsi="Verdana" w:cs="Arial"/>
          <w:lang w:eastAsia="es-ES"/>
        </w:rPr>
        <w:t>período señalado</w:t>
      </w:r>
      <w:r w:rsidR="00CB2186" w:rsidRPr="000716A4">
        <w:rPr>
          <w:rFonts w:ascii="Verdana" w:eastAsia="Times New Roman" w:hAnsi="Verdana" w:cs="Arial"/>
          <w:lang w:eastAsia="es-ES"/>
        </w:rPr>
        <w:t>.</w:t>
      </w:r>
      <w:r w:rsidR="003923B0">
        <w:rPr>
          <w:rFonts w:ascii="Verdana" w:eastAsia="Times New Roman" w:hAnsi="Verdana" w:cs="Arial"/>
          <w:lang w:eastAsia="es-ES"/>
        </w:rPr>
        <w:t xml:space="preserve"> </w:t>
      </w:r>
      <w:r w:rsidR="005B30F3">
        <w:rPr>
          <w:rFonts w:ascii="Verdana" w:eastAsia="Times New Roman" w:hAnsi="Verdana" w:cs="Arial"/>
          <w:lang w:eastAsia="es-ES"/>
        </w:rPr>
        <w:t>La muestra</w:t>
      </w:r>
      <w:r w:rsidRPr="000716A4">
        <w:rPr>
          <w:rFonts w:ascii="Verdana" w:eastAsia="Times New Roman" w:hAnsi="Verdana" w:cs="Arial"/>
          <w:lang w:eastAsia="es-ES"/>
        </w:rPr>
        <w:t xml:space="preserve"> se obtuvo</w:t>
      </w:r>
      <w:r w:rsidR="00876D00" w:rsidRPr="000716A4">
        <w:rPr>
          <w:rFonts w:ascii="Verdana" w:eastAsia="Times New Roman" w:hAnsi="Verdana" w:cs="Arial"/>
          <w:lang w:eastAsia="es-ES"/>
        </w:rPr>
        <w:t xml:space="preserve"> por </w:t>
      </w:r>
      <w:r w:rsidR="00ED4D21" w:rsidRPr="000716A4">
        <w:rPr>
          <w:rFonts w:ascii="Verdana" w:eastAsia="Times New Roman" w:hAnsi="Verdana" w:cs="Arial"/>
          <w:lang w:eastAsia="es-ES"/>
        </w:rPr>
        <w:t>muestreo no probabilístico, d</w:t>
      </w:r>
      <w:r w:rsidRPr="000716A4">
        <w:rPr>
          <w:rFonts w:ascii="Verdana" w:eastAsia="Times New Roman" w:hAnsi="Verdana" w:cs="Arial"/>
          <w:lang w:eastAsia="es-ES"/>
        </w:rPr>
        <w:t>e tipo intencionada y coincidió</w:t>
      </w:r>
      <w:r w:rsidR="00876D00" w:rsidRPr="000716A4">
        <w:rPr>
          <w:rFonts w:ascii="Verdana" w:eastAsia="Times New Roman" w:hAnsi="Verdana" w:cs="Arial"/>
          <w:lang w:eastAsia="es-ES"/>
        </w:rPr>
        <w:t xml:space="preserve"> con</w:t>
      </w:r>
      <w:r w:rsidR="00CB2186" w:rsidRPr="000716A4">
        <w:rPr>
          <w:rFonts w:ascii="Verdana" w:eastAsia="Times New Roman" w:hAnsi="Verdana" w:cs="Arial"/>
          <w:lang w:eastAsia="es-ES"/>
        </w:rPr>
        <w:t xml:space="preserve"> el universo.</w:t>
      </w:r>
    </w:p>
    <w:p w:rsidR="0002102F" w:rsidRPr="005B30F3" w:rsidRDefault="0083391C" w:rsidP="003923B0">
      <w:pPr>
        <w:spacing w:line="360" w:lineRule="auto"/>
        <w:jc w:val="both"/>
        <w:rPr>
          <w:rFonts w:ascii="Verdana" w:eastAsia="Calibri" w:hAnsi="Verdana" w:cs="Arial"/>
        </w:rPr>
      </w:pPr>
      <w:r w:rsidRPr="000716A4">
        <w:rPr>
          <w:rFonts w:ascii="Verdana" w:eastAsia="Calibri" w:hAnsi="Verdana" w:cs="Arial"/>
        </w:rPr>
        <w:t>Se realizó</w:t>
      </w:r>
      <w:r w:rsidR="00F7607F" w:rsidRPr="000716A4">
        <w:rPr>
          <w:rFonts w:ascii="Verdana" w:eastAsia="Calibri" w:hAnsi="Verdana" w:cs="Arial"/>
        </w:rPr>
        <w:t xml:space="preserve"> la medición de </w:t>
      </w:r>
      <w:r w:rsidR="00D92421" w:rsidRPr="000716A4">
        <w:rPr>
          <w:rFonts w:ascii="Verdana" w:eastAsia="Calibri" w:hAnsi="Verdana" w:cs="Arial"/>
        </w:rPr>
        <w:t>alteraciones</w:t>
      </w:r>
      <w:r w:rsidR="00F7607F" w:rsidRPr="000716A4">
        <w:rPr>
          <w:rFonts w:ascii="Verdana" w:eastAsia="Calibri" w:hAnsi="Verdana" w:cs="Arial"/>
        </w:rPr>
        <w:t xml:space="preserve"> tisulares </w:t>
      </w:r>
      <w:r w:rsidR="00216549" w:rsidRPr="000716A4">
        <w:rPr>
          <w:rFonts w:ascii="Verdana" w:eastAsia="Calibri" w:hAnsi="Verdana" w:cs="Arial"/>
        </w:rPr>
        <w:t>microscópicas</w:t>
      </w:r>
      <w:r w:rsidR="00F7607F" w:rsidRPr="000716A4">
        <w:rPr>
          <w:rFonts w:ascii="Verdana" w:eastAsia="Calibri" w:hAnsi="Verdana" w:cs="Arial"/>
        </w:rPr>
        <w:t xml:space="preserve">que </w:t>
      </w:r>
      <w:r w:rsidR="00E46313" w:rsidRPr="000716A4">
        <w:rPr>
          <w:rFonts w:ascii="Verdana" w:eastAsia="Calibri" w:hAnsi="Verdana" w:cs="Arial"/>
        </w:rPr>
        <w:t>caracterizan</w:t>
      </w:r>
      <w:r w:rsidR="00F7607F" w:rsidRPr="000716A4">
        <w:rPr>
          <w:rFonts w:ascii="Verdana" w:eastAsia="Calibri" w:hAnsi="Verdana" w:cs="Arial"/>
        </w:rPr>
        <w:t xml:space="preserve"> el origen y d</w:t>
      </w:r>
      <w:r w:rsidR="00E46313" w:rsidRPr="000716A4">
        <w:rPr>
          <w:rFonts w:ascii="Verdana" w:eastAsia="Calibri" w:hAnsi="Verdana" w:cs="Arial"/>
        </w:rPr>
        <w:t>esarrollo de las malformaciones</w:t>
      </w:r>
      <w:r w:rsidR="003846E7" w:rsidRPr="000716A4">
        <w:rPr>
          <w:rFonts w:ascii="Verdana" w:eastAsia="Calibri" w:hAnsi="Verdana" w:cs="Arial"/>
        </w:rPr>
        <w:t xml:space="preserve"> (variable dependiente)</w:t>
      </w:r>
      <w:r w:rsidR="00E46313" w:rsidRPr="000716A4">
        <w:rPr>
          <w:rFonts w:ascii="Verdana" w:eastAsia="Calibri" w:hAnsi="Verdana" w:cs="Arial"/>
        </w:rPr>
        <w:t xml:space="preserve"> y que fueron</w:t>
      </w:r>
      <w:r w:rsidR="003923B0">
        <w:rPr>
          <w:rFonts w:ascii="Verdana" w:eastAsia="Calibri" w:hAnsi="Verdana" w:cs="Arial"/>
        </w:rPr>
        <w:t xml:space="preserve"> </w:t>
      </w:r>
      <w:r w:rsidR="00E46313" w:rsidRPr="000716A4">
        <w:rPr>
          <w:rFonts w:ascii="Verdana" w:eastAsia="Calibri" w:hAnsi="Verdana" w:cs="Arial"/>
        </w:rPr>
        <w:t>observados en preparaciones histológicas digitalizadas, procedentes de cortes histológicos de las regiones intestinales afectadas. Todas las mediciones</w:t>
      </w:r>
      <w:r w:rsidR="00DB0BB9" w:rsidRPr="000716A4">
        <w:rPr>
          <w:rFonts w:ascii="Verdana" w:eastAsia="Calibri" w:hAnsi="Verdana" w:cs="Arial"/>
        </w:rPr>
        <w:t xml:space="preserve"> se</w:t>
      </w:r>
      <w:r w:rsidR="00E46313" w:rsidRPr="000716A4">
        <w:rPr>
          <w:rFonts w:ascii="Verdana" w:eastAsia="Calibri" w:hAnsi="Verdana" w:cs="Arial"/>
        </w:rPr>
        <w:t xml:space="preserve"> realizaron por la</w:t>
      </w:r>
      <w:r w:rsidR="003923B0">
        <w:rPr>
          <w:rFonts w:ascii="Verdana" w:eastAsia="Calibri" w:hAnsi="Verdana" w:cs="Arial"/>
        </w:rPr>
        <w:t>s</w:t>
      </w:r>
      <w:r w:rsidR="00E46313" w:rsidRPr="000716A4">
        <w:rPr>
          <w:rFonts w:ascii="Verdana" w:eastAsia="Calibri" w:hAnsi="Verdana" w:cs="Arial"/>
        </w:rPr>
        <w:t xml:space="preserve"> autora</w:t>
      </w:r>
      <w:r w:rsidR="003923B0">
        <w:rPr>
          <w:rFonts w:ascii="Verdana" w:eastAsia="Calibri" w:hAnsi="Verdana" w:cs="Arial"/>
        </w:rPr>
        <w:t>s</w:t>
      </w:r>
      <w:r w:rsidR="00E46313" w:rsidRPr="000716A4">
        <w:rPr>
          <w:rFonts w:ascii="Verdana" w:eastAsia="Calibri" w:hAnsi="Verdana" w:cs="Arial"/>
        </w:rPr>
        <w:t xml:space="preserve"> de la investigación </w:t>
      </w:r>
      <w:r w:rsidR="003846E7" w:rsidRPr="000716A4">
        <w:rPr>
          <w:rFonts w:ascii="Verdana" w:eastAsia="Calibri" w:hAnsi="Verdana" w:cs="Arial"/>
        </w:rPr>
        <w:t>mediante</w:t>
      </w:r>
      <w:r w:rsidR="003923B0">
        <w:rPr>
          <w:rFonts w:ascii="Verdana" w:eastAsia="Calibri" w:hAnsi="Verdana" w:cs="Arial"/>
        </w:rPr>
        <w:t xml:space="preserve"> </w:t>
      </w:r>
      <w:r w:rsidR="00DB0BB9" w:rsidRPr="000716A4">
        <w:rPr>
          <w:rFonts w:ascii="Verdana" w:eastAsia="Calibri" w:hAnsi="Verdana" w:cs="Arial"/>
        </w:rPr>
        <w:t>el software imageJ</w:t>
      </w:r>
      <w:r w:rsidR="000716A4" w:rsidRPr="000716A4">
        <w:rPr>
          <w:rFonts w:ascii="Verdana" w:eastAsia="Calibri" w:hAnsi="Verdana" w:cs="Arial"/>
        </w:rPr>
        <w:t>. Se realizaron 2</w:t>
      </w:r>
      <w:r w:rsidR="00E46313" w:rsidRPr="000716A4">
        <w:rPr>
          <w:rFonts w:ascii="Verdana" w:eastAsia="Calibri" w:hAnsi="Verdana" w:cs="Arial"/>
        </w:rPr>
        <w:t>0 lecturas de cada variable morfométrica en cada una de las imágenes y se obtuvo el promedio de las mismas por imagen</w:t>
      </w:r>
      <w:r w:rsidR="00490043" w:rsidRPr="000716A4">
        <w:rPr>
          <w:rFonts w:ascii="Verdana" w:eastAsia="Calibri" w:hAnsi="Verdana" w:cs="Arial"/>
        </w:rPr>
        <w:t>.</w:t>
      </w:r>
      <w:r w:rsidR="003923B0">
        <w:rPr>
          <w:rFonts w:ascii="Verdana" w:eastAsia="Calibri" w:hAnsi="Verdana" w:cs="Arial"/>
        </w:rPr>
        <w:t xml:space="preserve"> </w:t>
      </w:r>
      <w:r w:rsidR="0002102F" w:rsidRPr="000716A4">
        <w:rPr>
          <w:rFonts w:ascii="Verdana" w:eastAsia="Times New Roman" w:hAnsi="Verdana" w:cs="Arial"/>
          <w:lang w:eastAsia="es-ES"/>
        </w:rPr>
        <w:t>L</w:t>
      </w:r>
      <w:r w:rsidRPr="000716A4">
        <w:rPr>
          <w:rFonts w:ascii="Verdana" w:hAnsi="Verdana" w:cs="Arial"/>
        </w:rPr>
        <w:t>os datos obtenidos se sometiero</w:t>
      </w:r>
      <w:r w:rsidR="0002102F" w:rsidRPr="000716A4">
        <w:rPr>
          <w:rFonts w:ascii="Verdana" w:hAnsi="Verdana" w:cs="Arial"/>
        </w:rPr>
        <w:t>n a un proceso de revisión y</w:t>
      </w:r>
      <w:r w:rsidR="0002102F" w:rsidRPr="000716A4">
        <w:rPr>
          <w:rFonts w:ascii="Verdana" w:eastAsia="Times New Roman" w:hAnsi="Verdana" w:cs="Arial"/>
          <w:lang w:eastAsia="es-ES"/>
        </w:rPr>
        <w:t xml:space="preserve"> análisis estadístico</w:t>
      </w:r>
      <w:r w:rsidR="0002102F" w:rsidRPr="000716A4">
        <w:rPr>
          <w:rFonts w:ascii="Verdana" w:hAnsi="Verdana" w:cs="Arial"/>
        </w:rPr>
        <w:t xml:space="preserve"> para evitar errores, omisiones y</w:t>
      </w:r>
      <w:r w:rsidR="004F18AC" w:rsidRPr="000716A4">
        <w:rPr>
          <w:rFonts w:ascii="Verdana" w:hAnsi="Verdana" w:cs="Arial"/>
        </w:rPr>
        <w:t>/</w:t>
      </w:r>
      <w:r w:rsidR="0002102F" w:rsidRPr="000716A4">
        <w:rPr>
          <w:rFonts w:ascii="Verdana" w:hAnsi="Verdana" w:cs="Arial"/>
        </w:rPr>
        <w:t>o duplic</w:t>
      </w:r>
      <w:r w:rsidR="00FA5C24" w:rsidRPr="000716A4">
        <w:rPr>
          <w:rFonts w:ascii="Verdana" w:hAnsi="Verdana" w:cs="Arial"/>
        </w:rPr>
        <w:t>idad de los mismos.</w:t>
      </w:r>
      <w:r w:rsidR="003923B0">
        <w:rPr>
          <w:rFonts w:ascii="Verdana" w:hAnsi="Verdana" w:cs="Arial"/>
        </w:rPr>
        <w:t xml:space="preserve"> </w:t>
      </w:r>
      <w:r w:rsidR="00FA5C24" w:rsidRPr="000716A4">
        <w:rPr>
          <w:rFonts w:ascii="Verdana" w:hAnsi="Verdana" w:cs="Arial"/>
        </w:rPr>
        <w:t>S</w:t>
      </w:r>
      <w:r w:rsidRPr="000716A4">
        <w:rPr>
          <w:rFonts w:ascii="Verdana" w:hAnsi="Verdana" w:cs="Arial"/>
        </w:rPr>
        <w:t>e realizaro</w:t>
      </w:r>
      <w:r w:rsidR="0002102F" w:rsidRPr="000716A4">
        <w:rPr>
          <w:rFonts w:ascii="Verdana" w:hAnsi="Verdana" w:cs="Arial"/>
        </w:rPr>
        <w:t>n métodos adecuados de procesamien</w:t>
      </w:r>
      <w:r w:rsidRPr="000716A4">
        <w:rPr>
          <w:rFonts w:ascii="Verdana" w:hAnsi="Verdana" w:cs="Arial"/>
        </w:rPr>
        <w:t>to estadístico, lo que permitió</w:t>
      </w:r>
      <w:r w:rsidR="0002102F" w:rsidRPr="000716A4">
        <w:rPr>
          <w:rFonts w:ascii="Verdana" w:hAnsi="Verdana" w:cs="Arial"/>
        </w:rPr>
        <w:t xml:space="preserve"> realizar comparaciones con la literatura nacional e internacional, llegar a conclusiones y emitir recomendaciones.</w:t>
      </w:r>
    </w:p>
    <w:p w:rsidR="0028662E" w:rsidRDefault="0028243D" w:rsidP="003923B0">
      <w:pPr>
        <w:spacing w:after="0" w:line="360" w:lineRule="auto"/>
        <w:rPr>
          <w:rFonts w:ascii="Verdana" w:eastAsia="Times New Roman" w:hAnsi="Verdana" w:cs="Arial"/>
          <w:b/>
          <w:lang w:val="es-MX" w:bidi="en-US"/>
        </w:rPr>
      </w:pPr>
      <w:r w:rsidRPr="000716A4">
        <w:rPr>
          <w:rFonts w:ascii="Verdana" w:eastAsia="Times New Roman" w:hAnsi="Verdana" w:cs="Arial"/>
          <w:b/>
          <w:lang w:val="es-MX" w:bidi="en-US"/>
        </w:rPr>
        <w:t>ANÁLISIS Y DISCUSIÓN</w:t>
      </w:r>
    </w:p>
    <w:p w:rsidR="003923B0" w:rsidRDefault="003923B0" w:rsidP="003923B0">
      <w:pPr>
        <w:spacing w:line="360" w:lineRule="auto"/>
        <w:jc w:val="both"/>
        <w:rPr>
          <w:rFonts w:ascii="Verdana" w:eastAsia="Times New Roman" w:hAnsi="Verdana" w:cs="Arial"/>
          <w:lang w:val="es-MX" w:bidi="en-US"/>
        </w:rPr>
      </w:pPr>
      <w:r w:rsidRPr="000716A4">
        <w:rPr>
          <w:rFonts w:ascii="Verdana" w:eastAsia="Times New Roman" w:hAnsi="Verdana" w:cs="Arial"/>
          <w:lang w:val="es-MX" w:bidi="en-US"/>
        </w:rPr>
        <w:t>En la tabla 1</w:t>
      </w:r>
      <w:r>
        <w:rPr>
          <w:rFonts w:ascii="Verdana" w:eastAsia="Times New Roman" w:hAnsi="Verdana" w:cs="Arial"/>
          <w:lang w:val="es-MX" w:bidi="en-US"/>
        </w:rPr>
        <w:t xml:space="preserve"> </w:t>
      </w:r>
      <w:r w:rsidRPr="000716A4">
        <w:rPr>
          <w:rFonts w:ascii="Verdana" w:eastAsia="Times New Roman" w:hAnsi="Verdana" w:cs="Arial"/>
          <w:lang w:val="es-MX" w:bidi="en-US"/>
        </w:rPr>
        <w:t xml:space="preserve">se analiza la distribución de las atresias, según su localización anatómica y la variedad de la lesión encontrada. Se observa en cuanto a la localización anatómica hay un predominio de las ileales con un 35,3 %, seguida por las yeyunales con 29,41 % y las yeyunoileales con </w:t>
      </w:r>
      <w:smartTag w:uri="urn:schemas-microsoft-com:office:smarttags" w:element="time">
        <w:smartTagPr>
          <w:attr w:name="Hour" w:val="23"/>
          <w:attr w:name="Minute" w:val="53"/>
        </w:smartTagPr>
        <w:r w:rsidRPr="000716A4">
          <w:rPr>
            <w:rFonts w:ascii="Verdana" w:eastAsia="Times New Roman" w:hAnsi="Verdana" w:cs="Arial"/>
            <w:lang w:val="es-MX" w:bidi="en-US"/>
          </w:rPr>
          <w:t>23,53</w:t>
        </w:r>
      </w:smartTag>
      <w:r w:rsidRPr="000716A4">
        <w:rPr>
          <w:rFonts w:ascii="Verdana" w:eastAsia="Times New Roman" w:hAnsi="Verdana" w:cs="Arial"/>
          <w:lang w:val="es-MX" w:bidi="en-US"/>
        </w:rPr>
        <w:t xml:space="preserve"> % y por último la de</w:t>
      </w:r>
      <w:r w:rsidR="00A1102C">
        <w:rPr>
          <w:rFonts w:ascii="Verdana" w:eastAsia="Times New Roman" w:hAnsi="Verdana" w:cs="Arial"/>
          <w:lang w:val="es-MX" w:bidi="en-US"/>
        </w:rPr>
        <w:t xml:space="preserve"> </w:t>
      </w:r>
      <w:r w:rsidRPr="000716A4">
        <w:rPr>
          <w:rFonts w:ascii="Verdana" w:eastAsia="Times New Roman" w:hAnsi="Verdana" w:cs="Arial"/>
          <w:lang w:val="es-MX" w:bidi="en-US"/>
        </w:rPr>
        <w:t>colon con solo dos casos, para un 11,76 %. Estos resultados coinciden con toda la bibliografía consultada.</w:t>
      </w:r>
    </w:p>
    <w:p w:rsidR="00A1102C" w:rsidRPr="000716A4" w:rsidRDefault="00A1102C" w:rsidP="003923B0">
      <w:pPr>
        <w:spacing w:line="360" w:lineRule="auto"/>
        <w:jc w:val="both"/>
        <w:rPr>
          <w:rFonts w:ascii="Verdana" w:eastAsia="Times New Roman" w:hAnsi="Verdana" w:cs="Arial"/>
          <w:lang w:val="es-MX" w:bidi="en-US"/>
        </w:rPr>
      </w:pPr>
    </w:p>
    <w:p w:rsidR="003923B0" w:rsidRPr="003923B0" w:rsidRDefault="003923B0" w:rsidP="003923B0">
      <w:pPr>
        <w:spacing w:after="0" w:line="360" w:lineRule="auto"/>
        <w:rPr>
          <w:rFonts w:ascii="Verdana" w:eastAsia="Times New Roman" w:hAnsi="Verdana" w:cs="Arial"/>
          <w:lang w:val="es-MX" w:bidi="en-US"/>
        </w:rPr>
      </w:pPr>
    </w:p>
    <w:p w:rsidR="0028662E" w:rsidRPr="00A1102C" w:rsidRDefault="00D0542B" w:rsidP="002403E2">
      <w:pPr>
        <w:spacing w:line="360" w:lineRule="auto"/>
        <w:jc w:val="both"/>
        <w:rPr>
          <w:rFonts w:ascii="Verdana" w:hAnsi="Verdana" w:cs="Arial"/>
        </w:rPr>
      </w:pPr>
      <w:r w:rsidRPr="00A1102C">
        <w:rPr>
          <w:rFonts w:ascii="Verdana" w:hAnsi="Verdana" w:cs="Arial"/>
        </w:rPr>
        <w:lastRenderedPageBreak/>
        <w:t>Tabla 1</w:t>
      </w:r>
      <w:r w:rsidR="0028662E" w:rsidRPr="00A1102C">
        <w:rPr>
          <w:rFonts w:ascii="Verdana" w:hAnsi="Verdana" w:cs="Arial"/>
        </w:rPr>
        <w:t>. Clasificación de las Atresias según localización y variedad</w:t>
      </w:r>
    </w:p>
    <w:tbl>
      <w:tblPr>
        <w:tblStyle w:val="SombreamentoClaro1"/>
        <w:tblW w:w="0" w:type="auto"/>
        <w:tblInd w:w="-459" w:type="dxa"/>
        <w:tblLayout w:type="fixed"/>
        <w:tblLook w:val="04A0"/>
      </w:tblPr>
      <w:tblGrid>
        <w:gridCol w:w="1701"/>
        <w:gridCol w:w="709"/>
        <w:gridCol w:w="851"/>
        <w:gridCol w:w="776"/>
        <w:gridCol w:w="813"/>
        <w:gridCol w:w="719"/>
        <w:gridCol w:w="813"/>
        <w:gridCol w:w="719"/>
        <w:gridCol w:w="813"/>
        <w:gridCol w:w="786"/>
        <w:gridCol w:w="813"/>
      </w:tblGrid>
      <w:tr w:rsidR="003B2EAA" w:rsidRPr="000716A4" w:rsidTr="00C206BF">
        <w:trPr>
          <w:cnfStyle w:val="100000000000"/>
        </w:trPr>
        <w:tc>
          <w:tcPr>
            <w:cnfStyle w:val="001000000000"/>
            <w:tcW w:w="1701" w:type="dxa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 xml:space="preserve">Localización </w:t>
            </w:r>
          </w:p>
        </w:tc>
        <w:tc>
          <w:tcPr>
            <w:tcW w:w="709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Tipo I</w:t>
            </w:r>
          </w:p>
        </w:tc>
        <w:tc>
          <w:tcPr>
            <w:tcW w:w="851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  <w:tc>
          <w:tcPr>
            <w:tcW w:w="776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Tipo II</w:t>
            </w:r>
          </w:p>
        </w:tc>
        <w:tc>
          <w:tcPr>
            <w:tcW w:w="813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Tipo III</w:t>
            </w:r>
          </w:p>
        </w:tc>
        <w:tc>
          <w:tcPr>
            <w:tcW w:w="813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Tipo IV</w:t>
            </w:r>
          </w:p>
        </w:tc>
        <w:tc>
          <w:tcPr>
            <w:tcW w:w="813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  <w:tc>
          <w:tcPr>
            <w:tcW w:w="786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Total</w:t>
            </w:r>
          </w:p>
        </w:tc>
        <w:tc>
          <w:tcPr>
            <w:tcW w:w="813" w:type="dxa"/>
          </w:tcPr>
          <w:p w:rsidR="003B2EAA" w:rsidRPr="00A1102C" w:rsidRDefault="003B2EAA" w:rsidP="003B2EAA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%</w:t>
            </w:r>
          </w:p>
        </w:tc>
      </w:tr>
      <w:tr w:rsidR="003B2EAA" w:rsidRPr="000716A4" w:rsidTr="00C206BF">
        <w:trPr>
          <w:cnfStyle w:val="000000100000"/>
        </w:trPr>
        <w:tc>
          <w:tcPr>
            <w:cnfStyle w:val="001000000000"/>
            <w:tcW w:w="1701" w:type="dxa"/>
            <w:shd w:val="clear" w:color="auto" w:fill="FFFFFF" w:themeFill="background1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Yeyunal</w:t>
            </w:r>
          </w:p>
        </w:tc>
        <w:tc>
          <w:tcPr>
            <w:tcW w:w="70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7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8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29,41</w:t>
            </w:r>
          </w:p>
        </w:tc>
      </w:tr>
      <w:tr w:rsidR="003B2EAA" w:rsidRPr="000716A4" w:rsidTr="00C206BF">
        <w:tc>
          <w:tcPr>
            <w:cnfStyle w:val="001000000000"/>
            <w:tcW w:w="1701" w:type="dxa"/>
            <w:shd w:val="clear" w:color="auto" w:fill="FFFFFF" w:themeFill="background1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Ileal</w:t>
            </w:r>
          </w:p>
        </w:tc>
        <w:tc>
          <w:tcPr>
            <w:tcW w:w="70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7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8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35,</w:t>
            </w:r>
            <w:r w:rsidR="00EC316D" w:rsidRPr="00A1102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3B2EAA" w:rsidRPr="000716A4" w:rsidTr="00C206BF">
        <w:trPr>
          <w:cnfStyle w:val="000000100000"/>
        </w:trPr>
        <w:tc>
          <w:tcPr>
            <w:cnfStyle w:val="001000000000"/>
            <w:tcW w:w="1701" w:type="dxa"/>
            <w:shd w:val="clear" w:color="auto" w:fill="FFFFFF" w:themeFill="background1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Yeyuno-Ileal</w:t>
            </w:r>
          </w:p>
        </w:tc>
        <w:tc>
          <w:tcPr>
            <w:tcW w:w="70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19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17,65</w:t>
            </w:r>
          </w:p>
        </w:tc>
        <w:tc>
          <w:tcPr>
            <w:tcW w:w="786" w:type="dxa"/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3" w:type="dxa"/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23,53</w:t>
            </w:r>
          </w:p>
        </w:tc>
      </w:tr>
      <w:tr w:rsidR="003B2EAA" w:rsidRPr="000716A4" w:rsidTr="00C206BF">
        <w:tc>
          <w:tcPr>
            <w:cnfStyle w:val="001000000000"/>
            <w:tcW w:w="170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>Colon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19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5,88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</w:tr>
      <w:tr w:rsidR="003B2EAA" w:rsidRPr="000716A4" w:rsidTr="00C206BF">
        <w:trPr>
          <w:cnfStyle w:val="000000100000"/>
        </w:trPr>
        <w:tc>
          <w:tcPr>
            <w:cnfStyle w:val="001000000000"/>
            <w:tcW w:w="1701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2403E2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A1102C">
              <w:rPr>
                <w:rFonts w:ascii="Arial" w:hAnsi="Arial" w:cs="Arial"/>
                <w:b w:val="0"/>
                <w:sz w:val="18"/>
                <w:szCs w:val="18"/>
              </w:rPr>
              <w:t xml:space="preserve">Total </w:t>
            </w:r>
          </w:p>
        </w:tc>
        <w:tc>
          <w:tcPr>
            <w:tcW w:w="70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11,76</w:t>
            </w:r>
          </w:p>
        </w:tc>
        <w:tc>
          <w:tcPr>
            <w:tcW w:w="77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17,6</w:t>
            </w:r>
            <w:r w:rsidR="00C206BF" w:rsidRPr="00A1102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35,</w:t>
            </w:r>
            <w:r w:rsidR="00EC316D" w:rsidRPr="00A1102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19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35,</w:t>
            </w:r>
            <w:r w:rsidR="00EC316D" w:rsidRPr="00A1102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6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3B2EAA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1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3B2EAA" w:rsidRPr="00A1102C" w:rsidRDefault="00C206BF" w:rsidP="003B2EAA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A1102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:rsidR="003A1E99" w:rsidRPr="000716A4" w:rsidRDefault="0028662E" w:rsidP="002403E2">
      <w:pPr>
        <w:spacing w:line="360" w:lineRule="auto"/>
        <w:rPr>
          <w:rFonts w:ascii="Verdana" w:hAnsi="Verdana" w:cs="Arial"/>
        </w:rPr>
      </w:pPr>
      <w:r w:rsidRPr="000716A4">
        <w:rPr>
          <w:rFonts w:ascii="Verdana" w:hAnsi="Verdana" w:cs="Arial"/>
        </w:rPr>
        <w:t>Fuente: Historias clínicas</w:t>
      </w:r>
    </w:p>
    <w:p w:rsidR="00496380" w:rsidRPr="000716A4" w:rsidRDefault="007851DA" w:rsidP="00D73742">
      <w:pPr>
        <w:spacing w:line="360" w:lineRule="auto"/>
        <w:jc w:val="both"/>
        <w:rPr>
          <w:rFonts w:ascii="Verdana" w:eastAsia="Times New Roman" w:hAnsi="Verdana" w:cs="Arial"/>
          <w:lang w:val="es-MX" w:bidi="en-US"/>
        </w:rPr>
      </w:pPr>
      <w:r w:rsidRPr="000716A4">
        <w:rPr>
          <w:rFonts w:ascii="Verdana" w:eastAsia="Times New Roman" w:hAnsi="Verdana" w:cs="Arial"/>
          <w:lang w:val="es-MX" w:bidi="en-US"/>
        </w:rPr>
        <w:t>De los casos analizados, e</w:t>
      </w:r>
      <w:r w:rsidR="00496380" w:rsidRPr="000716A4">
        <w:rPr>
          <w:rFonts w:ascii="Verdana" w:eastAsia="Times New Roman" w:hAnsi="Verdana" w:cs="Arial"/>
          <w:lang w:val="es-MX" w:bidi="en-US"/>
        </w:rPr>
        <w:t>n cuanto a la variedad de la lesión</w:t>
      </w:r>
      <w:r w:rsidRPr="000716A4">
        <w:rPr>
          <w:rFonts w:ascii="Verdana" w:eastAsia="Times New Roman" w:hAnsi="Verdana" w:cs="Arial"/>
          <w:lang w:val="es-MX" w:bidi="en-US"/>
        </w:rPr>
        <w:t>,</w:t>
      </w:r>
      <w:r w:rsidR="00496380" w:rsidRPr="000716A4">
        <w:rPr>
          <w:rFonts w:ascii="Verdana" w:eastAsia="Times New Roman" w:hAnsi="Verdana" w:cs="Arial"/>
          <w:lang w:val="es-MX" w:bidi="en-US"/>
        </w:rPr>
        <w:t xml:space="preserve"> la mayoría pertenecían al Tipo III y Tipo IV con un 35,3 % cada una</w:t>
      </w:r>
      <w:r w:rsidRPr="000716A4">
        <w:rPr>
          <w:rFonts w:ascii="Verdana" w:eastAsia="Times New Roman" w:hAnsi="Verdana" w:cs="Arial"/>
          <w:lang w:val="es-MX" w:bidi="en-US"/>
        </w:rPr>
        <w:t>, la Tipo I y Tipo II presentaron</w:t>
      </w:r>
      <w:r w:rsidR="00496380" w:rsidRPr="000716A4">
        <w:rPr>
          <w:rFonts w:ascii="Verdana" w:eastAsia="Times New Roman" w:hAnsi="Verdana" w:cs="Arial"/>
          <w:lang w:val="es-MX" w:bidi="en-US"/>
        </w:rPr>
        <w:t xml:space="preserve"> 11,76 % y 17,64 % respectivamente. Tanto las yeyunoileales como las </w:t>
      </w:r>
      <w:r w:rsidRPr="000716A4">
        <w:rPr>
          <w:rFonts w:ascii="Verdana" w:eastAsia="Times New Roman" w:hAnsi="Verdana" w:cs="Arial"/>
          <w:lang w:val="es-MX" w:bidi="en-US"/>
        </w:rPr>
        <w:t>colónicas</w:t>
      </w:r>
      <w:r w:rsidR="00A1102C">
        <w:rPr>
          <w:rFonts w:ascii="Verdana" w:eastAsia="Times New Roman" w:hAnsi="Verdana" w:cs="Arial"/>
          <w:lang w:val="es-MX" w:bidi="en-US"/>
        </w:rPr>
        <w:t xml:space="preserve"> </w:t>
      </w:r>
      <w:r w:rsidRPr="000716A4">
        <w:rPr>
          <w:rFonts w:ascii="Verdana" w:eastAsia="Times New Roman" w:hAnsi="Verdana" w:cs="Arial"/>
          <w:lang w:val="es-MX" w:bidi="en-US"/>
        </w:rPr>
        <w:t>se limitaron a la variedad Tipo III y IV.</w:t>
      </w:r>
      <w:r w:rsidR="00E87AC5" w:rsidRPr="000716A4">
        <w:rPr>
          <w:rFonts w:ascii="Verdana" w:eastAsia="Times New Roman" w:hAnsi="Verdana" w:cs="Arial"/>
          <w:lang w:val="es-MX" w:bidi="en-US"/>
        </w:rPr>
        <w:t xml:space="preserve"> Los resultados en cuanto a los porcentajes de los diferentes tipos de atresia oscilan mucho </w:t>
      </w:r>
      <w:r w:rsidR="00E76E6B" w:rsidRPr="000716A4">
        <w:rPr>
          <w:rFonts w:ascii="Verdana" w:eastAsia="Times New Roman" w:hAnsi="Verdana" w:cs="Arial"/>
          <w:lang w:val="es-MX" w:bidi="en-US"/>
        </w:rPr>
        <w:t>en la bibliografía consultada.</w:t>
      </w:r>
    </w:p>
    <w:p w:rsidR="00A179CE" w:rsidRPr="00A179CE" w:rsidRDefault="001E34EC" w:rsidP="002403E2">
      <w:pPr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hAnsi="Verdana" w:cs="Arial"/>
        </w:rPr>
        <w:t xml:space="preserve">Siu Uribe </w:t>
      </w:r>
      <w:r w:rsidR="005275BE" w:rsidRPr="000716A4">
        <w:rPr>
          <w:rFonts w:ascii="Verdana" w:hAnsi="Verdana" w:cs="Arial"/>
        </w:rPr>
        <w:t>refiere un predominio en las atresias Tipo III, II y IV, en ese orden, resultado que está en concordancia con lo encontrado por</w:t>
      </w:r>
      <w:r w:rsidR="00A1102C">
        <w:rPr>
          <w:rFonts w:ascii="Verdana" w:hAnsi="Verdana" w:cs="Arial"/>
        </w:rPr>
        <w:t xml:space="preserve"> </w:t>
      </w:r>
      <w:r w:rsidR="00C02113" w:rsidRPr="000716A4">
        <w:rPr>
          <w:rFonts w:ascii="Verdana" w:hAnsi="Verdana" w:cs="Arial"/>
        </w:rPr>
        <w:t>Gavín Barros</w:t>
      </w:r>
      <w:r w:rsidR="00D00A02">
        <w:rPr>
          <w:rFonts w:ascii="Verdana" w:hAnsi="Verdana" w:cs="Arial"/>
          <w:vertAlign w:val="superscript"/>
        </w:rPr>
        <w:t>13</w:t>
      </w:r>
      <w:r w:rsidR="00A1102C">
        <w:rPr>
          <w:rFonts w:ascii="Verdana" w:hAnsi="Verdana" w:cs="Arial"/>
          <w:vertAlign w:val="superscript"/>
        </w:rPr>
        <w:t xml:space="preserve"> </w:t>
      </w:r>
      <w:r w:rsidR="005275BE" w:rsidRPr="000716A4">
        <w:rPr>
          <w:rFonts w:ascii="Verdana" w:hAnsi="Verdana" w:cs="Arial"/>
        </w:rPr>
        <w:t>en su estudio en Ecuador</w:t>
      </w:r>
      <w:r w:rsidR="002557A3" w:rsidRPr="000716A4">
        <w:rPr>
          <w:rFonts w:ascii="Verdana" w:hAnsi="Verdana" w:cs="Arial"/>
        </w:rPr>
        <w:t>.</w:t>
      </w:r>
      <w:r w:rsidR="00A1102C">
        <w:rPr>
          <w:rFonts w:ascii="Verdana" w:hAnsi="Verdana" w:cs="Arial"/>
        </w:rPr>
        <w:t xml:space="preserve"> </w:t>
      </w:r>
      <w:r w:rsidR="002557A3" w:rsidRPr="000716A4">
        <w:rPr>
          <w:rFonts w:ascii="Verdana" w:hAnsi="Verdana" w:cs="Arial"/>
        </w:rPr>
        <w:t>HayderNeamah</w:t>
      </w:r>
      <w:r w:rsidR="00D00A02">
        <w:rPr>
          <w:rFonts w:ascii="Verdana" w:hAnsi="Verdana" w:cs="Arial"/>
          <w:vertAlign w:val="superscript"/>
        </w:rPr>
        <w:t>23</w:t>
      </w:r>
      <w:r w:rsidR="00A1102C">
        <w:rPr>
          <w:rFonts w:ascii="Verdana" w:hAnsi="Verdana" w:cs="Arial"/>
          <w:vertAlign w:val="superscript"/>
        </w:rPr>
        <w:t xml:space="preserve"> </w:t>
      </w:r>
      <w:r w:rsidR="002557A3" w:rsidRPr="000716A4">
        <w:rPr>
          <w:rFonts w:ascii="Verdana" w:hAnsi="Verdana" w:cs="Arial"/>
        </w:rPr>
        <w:t xml:space="preserve">por su parte describe un mayor número de casos en los Tipo III y Tipo I y Valladárez Suárez </w:t>
      </w:r>
      <w:r w:rsidR="00432962">
        <w:rPr>
          <w:rFonts w:ascii="Verdana" w:hAnsi="Verdana" w:cs="Arial"/>
          <w:vertAlign w:val="superscript"/>
        </w:rPr>
        <w:t>20</w:t>
      </w:r>
      <w:r w:rsidR="00A1102C">
        <w:rPr>
          <w:rFonts w:ascii="Verdana" w:hAnsi="Verdana" w:cs="Arial"/>
          <w:vertAlign w:val="superscript"/>
        </w:rPr>
        <w:t xml:space="preserve"> </w:t>
      </w:r>
      <w:r w:rsidR="002557A3" w:rsidRPr="000716A4">
        <w:rPr>
          <w:rFonts w:ascii="Verdana" w:hAnsi="Verdana" w:cs="Arial"/>
        </w:rPr>
        <w:t>en los Tipo III y Tipo IV.</w:t>
      </w:r>
      <w:r w:rsidR="00E87AC5" w:rsidRPr="000716A4">
        <w:rPr>
          <w:rFonts w:ascii="Verdana" w:hAnsi="Verdana" w:cs="Arial"/>
        </w:rPr>
        <w:t xml:space="preserve"> En oposición a </w:t>
      </w:r>
      <w:r w:rsidR="008636B0" w:rsidRPr="000716A4">
        <w:rPr>
          <w:rFonts w:ascii="Verdana" w:hAnsi="Verdana" w:cs="Arial"/>
        </w:rPr>
        <w:t>estos</w:t>
      </w:r>
      <w:r w:rsidR="00E87AC5" w:rsidRPr="000716A4">
        <w:rPr>
          <w:rFonts w:ascii="Verdana" w:hAnsi="Verdana" w:cs="Arial"/>
        </w:rPr>
        <w:t xml:space="preserve"> hallazgos Rodríguez-García </w:t>
      </w:r>
      <w:r w:rsidR="009E0985">
        <w:rPr>
          <w:rFonts w:ascii="Verdana" w:hAnsi="Verdana" w:cs="Arial"/>
          <w:vertAlign w:val="superscript"/>
        </w:rPr>
        <w:t>19</w:t>
      </w:r>
      <w:r w:rsidR="00A1102C">
        <w:rPr>
          <w:rFonts w:ascii="Verdana" w:hAnsi="Verdana" w:cs="Arial"/>
          <w:vertAlign w:val="superscript"/>
        </w:rPr>
        <w:t xml:space="preserve"> </w:t>
      </w:r>
      <w:r w:rsidR="00E87AC5" w:rsidRPr="000716A4">
        <w:rPr>
          <w:rFonts w:ascii="Verdana" w:hAnsi="Verdana" w:cs="Arial"/>
        </w:rPr>
        <w:t>encontró un predominio en la incidencia de las Tipo I y Tipo II</w:t>
      </w:r>
      <w:r w:rsidR="00EE23FB" w:rsidRPr="000716A4">
        <w:rPr>
          <w:rFonts w:ascii="Verdana" w:hAnsi="Verdana" w:cs="Arial"/>
        </w:rPr>
        <w:t>.</w:t>
      </w:r>
    </w:p>
    <w:p w:rsidR="0028662E" w:rsidRPr="00A1102C" w:rsidRDefault="00D0542B" w:rsidP="002403E2">
      <w:pPr>
        <w:spacing w:line="360" w:lineRule="auto"/>
        <w:jc w:val="both"/>
        <w:rPr>
          <w:rFonts w:ascii="Verdana" w:hAnsi="Verdana" w:cs="Arial"/>
        </w:rPr>
      </w:pPr>
      <w:r w:rsidRPr="00A1102C">
        <w:rPr>
          <w:rFonts w:ascii="Verdana" w:hAnsi="Verdana" w:cs="Arial"/>
        </w:rPr>
        <w:t>Tabla 2</w:t>
      </w:r>
      <w:r w:rsidR="00C46168" w:rsidRPr="00A1102C">
        <w:rPr>
          <w:rFonts w:ascii="Verdana" w:hAnsi="Verdana" w:cs="Arial"/>
        </w:rPr>
        <w:t>. Espesor de la Capa M</w:t>
      </w:r>
      <w:r w:rsidR="0028662E" w:rsidRPr="00A1102C">
        <w:rPr>
          <w:rFonts w:ascii="Verdana" w:hAnsi="Verdana" w:cs="Arial"/>
        </w:rPr>
        <w:t xml:space="preserve">uscular en </w:t>
      </w:r>
      <w:r w:rsidR="00C46168" w:rsidRPr="00A1102C">
        <w:rPr>
          <w:rFonts w:ascii="Verdana" w:hAnsi="Verdana" w:cs="Arial"/>
        </w:rPr>
        <w:t>Colon</w:t>
      </w:r>
      <w:r w:rsidR="0028662E" w:rsidRPr="00A1102C">
        <w:rPr>
          <w:rFonts w:ascii="Verdana" w:hAnsi="Verdana" w:cs="Arial"/>
        </w:rPr>
        <w:t>, Íleon y</w:t>
      </w:r>
      <w:r w:rsidR="00C46168" w:rsidRPr="00A1102C">
        <w:rPr>
          <w:rFonts w:ascii="Verdana" w:hAnsi="Verdana" w:cs="Arial"/>
        </w:rPr>
        <w:t>Yeyuno.</w:t>
      </w:r>
    </w:p>
    <w:tbl>
      <w:tblPr>
        <w:tblStyle w:val="Sombreadoclaro1"/>
        <w:tblW w:w="0" w:type="auto"/>
        <w:shd w:val="clear" w:color="auto" w:fill="FFFFFF" w:themeFill="background1"/>
        <w:tblLook w:val="04A0"/>
      </w:tblPr>
      <w:tblGrid>
        <w:gridCol w:w="2161"/>
        <w:gridCol w:w="2161"/>
        <w:gridCol w:w="2161"/>
        <w:gridCol w:w="2161"/>
      </w:tblGrid>
      <w:tr w:rsidR="0028662E" w:rsidRPr="00A1102C" w:rsidTr="002403E2">
        <w:trPr>
          <w:cnfStyle w:val="100000000000"/>
        </w:trPr>
        <w:tc>
          <w:tcPr>
            <w:cnfStyle w:val="001000000000"/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8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8024E2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 xml:space="preserve">Colon 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>Íleon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2403E2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>Yeyuno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>Promedio y DE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8024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222,48 ± 88,46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305,85 ±159,66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299,98 ±165,20</w:t>
            </w:r>
          </w:p>
        </w:tc>
      </w:tr>
      <w:tr w:rsidR="0028662E" w:rsidRPr="00A1102C" w:rsidTr="002403E2">
        <w:tc>
          <w:tcPr>
            <w:cnfStyle w:val="001000000000"/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>IC para p≤0,05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8024E2">
            <w:pPr>
              <w:spacing w:line="360" w:lineRule="auto"/>
              <w:cnfStyle w:val="0000000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230,42-214,54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cnfStyle w:val="0000000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314,66-297,03</w:t>
            </w:r>
          </w:p>
        </w:tc>
        <w:tc>
          <w:tcPr>
            <w:tcW w:w="2161" w:type="dxa"/>
            <w:shd w:val="clear" w:color="auto" w:fill="FFFFFF" w:themeFill="background1"/>
          </w:tcPr>
          <w:p w:rsidR="0028662E" w:rsidRPr="00A1102C" w:rsidRDefault="008024E2" w:rsidP="002403E2">
            <w:pPr>
              <w:spacing w:line="360" w:lineRule="auto"/>
              <w:cnfStyle w:val="0000000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307,91-292,05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8"/>
              </w:rPr>
            </w:pPr>
            <w:r w:rsidRPr="00A1102C">
              <w:rPr>
                <w:rFonts w:ascii="Verdana" w:hAnsi="Verdana" w:cs="Arial"/>
                <w:b w:val="0"/>
                <w:sz w:val="18"/>
              </w:rPr>
              <w:t>CV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28662E" w:rsidRPr="00A1102C" w:rsidRDefault="008024E2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0,39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0,52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28662E" w:rsidRPr="00A1102C" w:rsidRDefault="008024E2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</w:rPr>
            </w:pPr>
            <w:r w:rsidRPr="00A1102C">
              <w:rPr>
                <w:rFonts w:ascii="Verdana" w:eastAsia="Times New Roman" w:hAnsi="Verdana" w:cs="Arial"/>
                <w:sz w:val="18"/>
                <w:lang w:eastAsia="es-ES"/>
              </w:rPr>
              <w:t>0,55</w:t>
            </w:r>
          </w:p>
        </w:tc>
      </w:tr>
    </w:tbl>
    <w:p w:rsidR="00A1102C" w:rsidRDefault="00A1102C" w:rsidP="0049064A">
      <w:pPr>
        <w:spacing w:line="360" w:lineRule="auto"/>
        <w:jc w:val="both"/>
        <w:rPr>
          <w:rFonts w:ascii="Verdana" w:hAnsi="Verdana" w:cs="Arial"/>
        </w:rPr>
      </w:pPr>
    </w:p>
    <w:p w:rsidR="00916774" w:rsidRPr="000716A4" w:rsidRDefault="00D0542B" w:rsidP="0049064A">
      <w:pPr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En la tabla 2</w:t>
      </w:r>
      <w:r w:rsidR="002C265C" w:rsidRPr="000716A4">
        <w:rPr>
          <w:rFonts w:ascii="Verdana" w:hAnsi="Verdana" w:cs="Arial"/>
        </w:rPr>
        <w:t xml:space="preserve"> se analiza el espesor de la capa muscular de la pared intestinal a nivel de</w:t>
      </w:r>
      <w:r w:rsidR="008024E2" w:rsidRPr="000716A4">
        <w:rPr>
          <w:rFonts w:ascii="Verdana" w:hAnsi="Verdana" w:cs="Arial"/>
        </w:rPr>
        <w:t>l Colon, Íleon y Yeyuno. Se observa una diferencia de esta capa entre el colon, donde es menor su grosor</w:t>
      </w:r>
      <w:r w:rsidR="00916774" w:rsidRPr="000716A4">
        <w:rPr>
          <w:rFonts w:ascii="Verdana" w:hAnsi="Verdana" w:cs="Arial"/>
        </w:rPr>
        <w:t xml:space="preserve"> con </w:t>
      </w:r>
      <w:r w:rsidR="00916774" w:rsidRPr="000716A4">
        <w:rPr>
          <w:rFonts w:ascii="Verdana" w:eastAsia="Times New Roman" w:hAnsi="Verdana" w:cs="Arial"/>
          <w:lang w:eastAsia="es-ES"/>
        </w:rPr>
        <w:t>222,48 micras (± 88,46);</w:t>
      </w:r>
      <w:r w:rsidR="008024E2" w:rsidRPr="000716A4">
        <w:rPr>
          <w:rFonts w:ascii="Verdana" w:hAnsi="Verdana" w:cs="Arial"/>
        </w:rPr>
        <w:t xml:space="preserve"> y el yeyuno y el íleon, donde hay similitud en las medidas obtenidas</w:t>
      </w:r>
      <w:r w:rsidR="00916774" w:rsidRPr="000716A4">
        <w:rPr>
          <w:rFonts w:ascii="Verdana" w:hAnsi="Verdana" w:cs="Arial"/>
        </w:rPr>
        <w:t xml:space="preserve"> con </w:t>
      </w:r>
      <w:r w:rsidR="00916774" w:rsidRPr="000716A4">
        <w:rPr>
          <w:rFonts w:ascii="Verdana" w:eastAsia="Times New Roman" w:hAnsi="Verdana" w:cs="Arial"/>
          <w:lang w:eastAsia="es-ES"/>
        </w:rPr>
        <w:t>299,98 micras (±165,20) y 305,85 micras (±159,66) respectivamente</w:t>
      </w:r>
      <w:r w:rsidR="008024E2" w:rsidRPr="000716A4">
        <w:rPr>
          <w:rFonts w:ascii="Verdana" w:hAnsi="Verdana" w:cs="Arial"/>
        </w:rPr>
        <w:t>.</w:t>
      </w:r>
    </w:p>
    <w:p w:rsidR="00A179CE" w:rsidRDefault="008024E2" w:rsidP="00B30763">
      <w:pPr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lastRenderedPageBreak/>
        <w:t xml:space="preserve">En la literatura revisada </w:t>
      </w:r>
      <w:r w:rsidR="0049064A" w:rsidRPr="000716A4">
        <w:rPr>
          <w:rFonts w:ascii="Verdana" w:hAnsi="Verdana" w:cs="Arial"/>
        </w:rPr>
        <w:t>no se encontró medidas de referencias para poder comparar con los parámetros normales</w:t>
      </w:r>
      <w:r w:rsidR="00916774" w:rsidRPr="000716A4">
        <w:rPr>
          <w:rFonts w:ascii="Verdana" w:hAnsi="Verdana" w:cs="Arial"/>
        </w:rPr>
        <w:t>.</w:t>
      </w:r>
      <w:r w:rsidR="00E177CF" w:rsidRPr="000716A4">
        <w:rPr>
          <w:rFonts w:ascii="Verdana" w:hAnsi="Verdana" w:cs="Arial"/>
          <w:shd w:val="clear" w:color="auto" w:fill="FFFFFF"/>
        </w:rPr>
        <w:t xml:space="preserve"> Sin embargo</w:t>
      </w:r>
      <w:r w:rsidR="008D580C" w:rsidRPr="000716A4">
        <w:rPr>
          <w:rFonts w:ascii="Verdana" w:hAnsi="Verdana" w:cs="Arial"/>
          <w:shd w:val="clear" w:color="auto" w:fill="FFFFFF"/>
        </w:rPr>
        <w:t>,</w:t>
      </w:r>
      <w:r w:rsidR="00E177CF" w:rsidRPr="000716A4">
        <w:rPr>
          <w:rFonts w:ascii="Verdana" w:hAnsi="Verdana" w:cs="Arial"/>
          <w:shd w:val="clear" w:color="auto" w:fill="FFFFFF"/>
        </w:rPr>
        <w:t xml:space="preserve"> un estudio realizado por </w:t>
      </w:r>
      <w:r w:rsidR="00E177CF" w:rsidRPr="000716A4">
        <w:rPr>
          <w:rFonts w:ascii="Verdana" w:hAnsi="Verdana" w:cs="Arial"/>
        </w:rPr>
        <w:t xml:space="preserve">Gavín Barros </w:t>
      </w:r>
      <w:r w:rsidR="00D00A02">
        <w:rPr>
          <w:rFonts w:ascii="Verdana" w:hAnsi="Verdana" w:cs="Arial"/>
          <w:vertAlign w:val="superscript"/>
        </w:rPr>
        <w:t>13</w:t>
      </w:r>
      <w:r w:rsidR="00A1102C">
        <w:rPr>
          <w:rFonts w:ascii="Verdana" w:hAnsi="Verdana" w:cs="Arial"/>
          <w:vertAlign w:val="superscript"/>
        </w:rPr>
        <w:t xml:space="preserve"> </w:t>
      </w:r>
      <w:r w:rsidR="00E177CF" w:rsidRPr="000716A4">
        <w:rPr>
          <w:rFonts w:ascii="Verdana" w:hAnsi="Verdana" w:cs="Arial"/>
          <w:shd w:val="clear" w:color="auto" w:fill="FFFFFF"/>
        </w:rPr>
        <w:t xml:space="preserve">describe una </w:t>
      </w:r>
      <w:r w:rsidR="0049064A" w:rsidRPr="000716A4">
        <w:rPr>
          <w:rFonts w:ascii="Verdana" w:hAnsi="Verdana" w:cs="Arial"/>
        </w:rPr>
        <w:t>atrofia severa de las capas musculares externa e interna</w:t>
      </w:r>
      <w:r w:rsidR="00E177CF" w:rsidRPr="000716A4">
        <w:rPr>
          <w:rFonts w:ascii="Verdana" w:hAnsi="Verdana" w:cs="Arial"/>
        </w:rPr>
        <w:t xml:space="preserve"> en casos de pacientes con atresias intestinales. Por otra parte Madrigal Rubiales </w:t>
      </w:r>
      <w:r w:rsidR="00D00A02">
        <w:rPr>
          <w:rFonts w:ascii="Verdana" w:hAnsi="Verdana" w:cs="Arial"/>
          <w:vertAlign w:val="superscript"/>
        </w:rPr>
        <w:t>16</w:t>
      </w:r>
      <w:r w:rsidR="00A1102C">
        <w:rPr>
          <w:rFonts w:ascii="Verdana" w:hAnsi="Verdana" w:cs="Arial"/>
          <w:vertAlign w:val="superscript"/>
        </w:rPr>
        <w:t xml:space="preserve"> </w:t>
      </w:r>
      <w:r w:rsidR="00E177CF" w:rsidRPr="000716A4">
        <w:rPr>
          <w:rFonts w:ascii="Verdana" w:hAnsi="Verdana" w:cs="Arial"/>
        </w:rPr>
        <w:t>refiere que en la zona afectada se apreciaba una interrupción microscópica de la pared muscular por donde penetraban estructuras vasculares.</w:t>
      </w:r>
    </w:p>
    <w:p w:rsidR="00A179CE" w:rsidRPr="000716A4" w:rsidRDefault="007A1AAD" w:rsidP="00B30763">
      <w:pPr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hAnsi="Verdana" w:cs="Arial"/>
        </w:rPr>
        <w:t>La literatura</w:t>
      </w:r>
      <w:r w:rsidR="008636B0" w:rsidRPr="000716A4">
        <w:rPr>
          <w:rFonts w:ascii="Verdana" w:hAnsi="Verdana" w:cs="Arial"/>
        </w:rPr>
        <w:t xml:space="preserve"> sobre anatomía </w:t>
      </w:r>
      <w:r w:rsidRPr="000716A4">
        <w:rPr>
          <w:rFonts w:ascii="Verdana" w:hAnsi="Verdana" w:cs="Arial"/>
        </w:rPr>
        <w:t>patológica revisada explica que las lesiones a nivel de la capa muscular varían según la variante de atresia que presente el paciente. Por eso se puede encontrar la capa muscular intacta, presentar atrofia, hipertrofia o aspecto fibrótico secundario a lesiones isquémicas con necrosis y cicatrización.</w:t>
      </w:r>
      <w:r w:rsidR="00BE5FB3">
        <w:rPr>
          <w:rFonts w:ascii="Verdana" w:hAnsi="Verdana" w:cs="Arial"/>
          <w:vertAlign w:val="superscript"/>
        </w:rPr>
        <w:t>1</w:t>
      </w:r>
      <w:r w:rsidR="00D00A02">
        <w:rPr>
          <w:rFonts w:ascii="Verdana" w:hAnsi="Verdana" w:cs="Arial"/>
          <w:vertAlign w:val="superscript"/>
        </w:rPr>
        <w:t>2, 19, 22</w:t>
      </w:r>
    </w:p>
    <w:p w:rsidR="0028662E" w:rsidRPr="00A1102C" w:rsidRDefault="00D0542B" w:rsidP="002403E2">
      <w:pPr>
        <w:spacing w:line="360" w:lineRule="auto"/>
        <w:rPr>
          <w:rFonts w:ascii="Verdana" w:hAnsi="Verdana" w:cs="Arial"/>
        </w:rPr>
      </w:pPr>
      <w:r w:rsidRPr="00A1102C">
        <w:rPr>
          <w:rFonts w:ascii="Verdana" w:hAnsi="Verdana" w:cs="Arial"/>
        </w:rPr>
        <w:t>Tabla 3</w:t>
      </w:r>
      <w:r w:rsidR="0028662E" w:rsidRPr="00A1102C">
        <w:rPr>
          <w:rFonts w:ascii="Verdana" w:hAnsi="Verdana" w:cs="Arial"/>
        </w:rPr>
        <w:t xml:space="preserve">. Espesor de la </w:t>
      </w:r>
      <w:r w:rsidR="00C46168" w:rsidRPr="00A1102C">
        <w:rPr>
          <w:rFonts w:ascii="Verdana" w:hAnsi="Verdana" w:cs="Arial"/>
        </w:rPr>
        <w:t>C</w:t>
      </w:r>
      <w:r w:rsidR="0028662E" w:rsidRPr="00A1102C">
        <w:rPr>
          <w:rFonts w:ascii="Verdana" w:hAnsi="Verdana" w:cs="Arial"/>
        </w:rPr>
        <w:t>apa Submucosa en</w:t>
      </w:r>
      <w:r w:rsidR="00C46168" w:rsidRPr="00A1102C">
        <w:rPr>
          <w:rFonts w:ascii="Verdana" w:hAnsi="Verdana" w:cs="Arial"/>
        </w:rPr>
        <w:t xml:space="preserve"> Colon</w:t>
      </w:r>
      <w:r w:rsidR="0028662E" w:rsidRPr="00A1102C">
        <w:rPr>
          <w:rFonts w:ascii="Verdana" w:hAnsi="Verdana" w:cs="Arial"/>
        </w:rPr>
        <w:t>, Íleon y</w:t>
      </w:r>
      <w:r w:rsidR="00C46168" w:rsidRPr="00A1102C">
        <w:rPr>
          <w:rFonts w:ascii="Verdana" w:hAnsi="Verdana" w:cs="Arial"/>
        </w:rPr>
        <w:t>Yeyuno</w:t>
      </w:r>
      <w:r w:rsidR="0028662E" w:rsidRPr="00A1102C">
        <w:rPr>
          <w:rFonts w:ascii="Verdana" w:hAnsi="Verdana" w:cs="Arial"/>
        </w:rPr>
        <w:t>.</w:t>
      </w:r>
    </w:p>
    <w:tbl>
      <w:tblPr>
        <w:tblStyle w:val="Sombreadoclaro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28662E" w:rsidRPr="00A1102C" w:rsidTr="002403E2">
        <w:trPr>
          <w:cnfStyle w:val="100000000000"/>
        </w:trPr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C46168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 xml:space="preserve">Colon 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>Íleon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100000000000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>Yeyuno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>Promedio y DE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202,97 ± 168,93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232,60 ± 118,13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251,47 ± 158,62</w:t>
            </w:r>
          </w:p>
        </w:tc>
      </w:tr>
      <w:tr w:rsidR="0028662E" w:rsidRPr="00A1102C" w:rsidTr="002403E2"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>IC para p≤0,05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0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217,23-188,72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0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238,80-226,39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0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258,97-243,98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A1102C">
              <w:rPr>
                <w:rFonts w:ascii="Verdana" w:hAnsi="Verdana" w:cs="Arial"/>
                <w:b w:val="0"/>
                <w:sz w:val="16"/>
                <w:szCs w:val="16"/>
              </w:rPr>
              <w:t>CV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0,83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0,508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C46168" w:rsidP="002403E2">
            <w:pPr>
              <w:spacing w:line="360" w:lineRule="auto"/>
              <w:cnfStyle w:val="000000100000"/>
              <w:rPr>
                <w:rFonts w:ascii="Verdana" w:hAnsi="Verdana" w:cs="Arial"/>
                <w:sz w:val="16"/>
                <w:szCs w:val="16"/>
              </w:rPr>
            </w:pPr>
            <w:r w:rsidRPr="00A1102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0,63</w:t>
            </w:r>
          </w:p>
        </w:tc>
      </w:tr>
    </w:tbl>
    <w:p w:rsidR="00FA7743" w:rsidRPr="00A1102C" w:rsidRDefault="00FA7743" w:rsidP="00AE46F1">
      <w:pPr>
        <w:spacing w:line="360" w:lineRule="auto"/>
        <w:rPr>
          <w:rFonts w:ascii="Verdana" w:hAnsi="Verdana" w:cs="Arial"/>
          <w:sz w:val="16"/>
          <w:szCs w:val="16"/>
        </w:rPr>
      </w:pPr>
    </w:p>
    <w:p w:rsidR="00446E2A" w:rsidRPr="000716A4" w:rsidRDefault="00D0542B" w:rsidP="00B30763">
      <w:pPr>
        <w:spacing w:line="360" w:lineRule="auto"/>
        <w:jc w:val="both"/>
        <w:rPr>
          <w:rFonts w:ascii="Verdana" w:hAnsi="Verdana" w:cs="Arial"/>
          <w:color w:val="000000"/>
          <w:shd w:val="clear" w:color="auto" w:fill="FFFFFF"/>
        </w:rPr>
      </w:pPr>
      <w:r w:rsidRPr="000716A4">
        <w:rPr>
          <w:rFonts w:ascii="Verdana" w:hAnsi="Verdana" w:cs="Arial"/>
        </w:rPr>
        <w:t>En la Tabla 3</w:t>
      </w:r>
      <w:r w:rsidR="00A1102C">
        <w:rPr>
          <w:rFonts w:ascii="Verdana" w:hAnsi="Verdana" w:cs="Arial"/>
        </w:rPr>
        <w:t xml:space="preserve"> </w:t>
      </w:r>
      <w:r w:rsidR="00C46168" w:rsidRPr="000716A4">
        <w:rPr>
          <w:rFonts w:ascii="Verdana" w:hAnsi="Verdana" w:cs="Arial"/>
        </w:rPr>
        <w:t xml:space="preserve">se analiza el espesor de la Capa Submucosa en las regiones del intestino en estudio. En este caso también es más delgada a nivel del Colon </w:t>
      </w:r>
      <w:r w:rsidR="00446E2A" w:rsidRPr="000716A4">
        <w:rPr>
          <w:rFonts w:ascii="Verdana" w:hAnsi="Verdana" w:cs="Arial"/>
        </w:rPr>
        <w:t xml:space="preserve">con </w:t>
      </w:r>
      <w:r w:rsidR="00446E2A" w:rsidRPr="000716A4">
        <w:rPr>
          <w:rFonts w:ascii="Verdana" w:eastAsia="Times New Roman" w:hAnsi="Verdana" w:cs="Arial"/>
          <w:lang w:eastAsia="es-ES"/>
        </w:rPr>
        <w:t>202,97 micras (± 168,93), luego le sigue el Íleon con 232,60 micras (± 118,13) y por último el Yeyuno con 251,47 micras (± 158,62). Esto coincide con la bibliografía que refiere</w:t>
      </w:r>
      <w:r w:rsidR="00446E2A" w:rsidRPr="000716A4">
        <w:rPr>
          <w:rFonts w:ascii="Verdana" w:hAnsi="Verdana" w:cs="Arial"/>
          <w:color w:val="000000"/>
          <w:shd w:val="clear" w:color="auto" w:fill="FFFFFF"/>
        </w:rPr>
        <w:t>que el diámetro de la luz y el grosor de las paredes del yeyuno proximal son casi el doble de las del íleon terminal.</w:t>
      </w:r>
      <w:r w:rsidR="00CD10FA">
        <w:rPr>
          <w:rFonts w:ascii="Verdana" w:hAnsi="Verdana" w:cs="Arial"/>
          <w:color w:val="000000"/>
          <w:shd w:val="clear" w:color="auto" w:fill="FFFFFF"/>
          <w:vertAlign w:val="superscript"/>
        </w:rPr>
        <w:t>23</w:t>
      </w:r>
    </w:p>
    <w:p w:rsidR="00F82633" w:rsidRPr="000716A4" w:rsidRDefault="00F82633" w:rsidP="002403E2">
      <w:pPr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hAnsi="Verdana" w:cs="Arial"/>
        </w:rPr>
        <w:t xml:space="preserve">En </w:t>
      </w:r>
      <w:r w:rsidR="00446E2A" w:rsidRPr="000716A4">
        <w:rPr>
          <w:rFonts w:ascii="Verdana" w:hAnsi="Verdana" w:cs="Arial"/>
        </w:rPr>
        <w:t xml:space="preserve">su estudio histológico Jiménez JH </w:t>
      </w:r>
      <w:r w:rsidR="00CD10FA">
        <w:rPr>
          <w:rFonts w:ascii="Verdana" w:hAnsi="Verdana" w:cs="Arial"/>
          <w:vertAlign w:val="superscript"/>
        </w:rPr>
        <w:t>19</w:t>
      </w:r>
      <w:r w:rsidRPr="000716A4">
        <w:rPr>
          <w:rFonts w:ascii="Verdana" w:hAnsi="Verdana" w:cs="Arial"/>
        </w:rPr>
        <w:t>describe una submucosa normal</w:t>
      </w:r>
      <w:r w:rsidR="00446E2A" w:rsidRPr="000716A4">
        <w:rPr>
          <w:rFonts w:ascii="Verdana" w:hAnsi="Verdana" w:cs="Arial"/>
        </w:rPr>
        <w:t xml:space="preserve"> o alte</w:t>
      </w:r>
      <w:r w:rsidRPr="000716A4">
        <w:rPr>
          <w:rFonts w:ascii="Verdana" w:hAnsi="Verdana" w:cs="Arial"/>
        </w:rPr>
        <w:t>rada</w:t>
      </w:r>
      <w:r w:rsidR="00446E2A" w:rsidRPr="000716A4">
        <w:rPr>
          <w:rFonts w:ascii="Verdana" w:hAnsi="Verdana" w:cs="Arial"/>
        </w:rPr>
        <w:t xml:space="preserve"> con diferentes grados de congestión vascular</w:t>
      </w:r>
      <w:r w:rsidRPr="000716A4">
        <w:rPr>
          <w:rFonts w:ascii="Verdana" w:hAnsi="Verdana" w:cs="Arial"/>
        </w:rPr>
        <w:t>. Gavín Barros</w:t>
      </w:r>
      <w:r w:rsidR="00BE5FB3">
        <w:rPr>
          <w:rFonts w:ascii="Verdana" w:hAnsi="Verdana" w:cs="Arial"/>
          <w:vertAlign w:val="superscript"/>
        </w:rPr>
        <w:t>1</w:t>
      </w:r>
      <w:r w:rsidR="00CD10FA">
        <w:rPr>
          <w:rFonts w:ascii="Verdana" w:hAnsi="Verdana" w:cs="Arial"/>
          <w:vertAlign w:val="superscript"/>
        </w:rPr>
        <w:t>2</w:t>
      </w:r>
      <w:r w:rsidRPr="000716A4">
        <w:rPr>
          <w:rFonts w:ascii="Verdana" w:hAnsi="Verdana" w:cs="Arial"/>
        </w:rPr>
        <w:t xml:space="preserve"> también describe fluctuaciones en las características de la</w:t>
      </w:r>
      <w:r w:rsidR="003A77EE" w:rsidRPr="000716A4">
        <w:rPr>
          <w:rFonts w:ascii="Verdana" w:hAnsi="Verdana" w:cs="Arial"/>
        </w:rPr>
        <w:t xml:space="preserve"> submucosa</w:t>
      </w:r>
      <w:r w:rsidRPr="000716A4">
        <w:rPr>
          <w:rFonts w:ascii="Verdana" w:hAnsi="Verdana" w:cs="Arial"/>
        </w:rPr>
        <w:t>, que van desde</w:t>
      </w:r>
      <w:r w:rsidR="003A77EE" w:rsidRPr="000716A4">
        <w:rPr>
          <w:rFonts w:ascii="Verdana" w:hAnsi="Verdana" w:cs="Arial"/>
        </w:rPr>
        <w:t xml:space="preserve"> edema, congestión y dilatación vascular, acompañados </w:t>
      </w:r>
      <w:r w:rsidRPr="000716A4">
        <w:rPr>
          <w:rFonts w:ascii="Verdana" w:hAnsi="Verdana" w:cs="Arial"/>
        </w:rPr>
        <w:t>de leve infiltrado inflamatorio hasta adelgazamiento de la misma.</w:t>
      </w:r>
    </w:p>
    <w:p w:rsidR="00E7712B" w:rsidRPr="00A179CE" w:rsidRDefault="00F82633" w:rsidP="002403E2">
      <w:pPr>
        <w:spacing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Madrigal Rubiales</w:t>
      </w:r>
      <w:r w:rsidR="00A1102C">
        <w:rPr>
          <w:rFonts w:ascii="Verdana" w:hAnsi="Verdana" w:cs="Arial"/>
        </w:rPr>
        <w:t xml:space="preserve"> </w:t>
      </w:r>
      <w:r w:rsidR="00CD10FA">
        <w:rPr>
          <w:rFonts w:ascii="Verdana" w:hAnsi="Verdana" w:cs="Arial"/>
          <w:vertAlign w:val="superscript"/>
        </w:rPr>
        <w:t>23</w:t>
      </w:r>
      <w:r w:rsidRPr="000716A4">
        <w:rPr>
          <w:rFonts w:ascii="Verdana" w:hAnsi="Verdana" w:cs="Arial"/>
        </w:rPr>
        <w:t xml:space="preserve"> refiere haber enc</w:t>
      </w:r>
      <w:r w:rsidR="000724D5" w:rsidRPr="000716A4">
        <w:rPr>
          <w:rFonts w:ascii="Verdana" w:hAnsi="Verdana" w:cs="Arial"/>
        </w:rPr>
        <w:t xml:space="preserve">ontrado un repliegue de aspecto </w:t>
      </w:r>
      <w:r w:rsidRPr="000716A4">
        <w:rPr>
          <w:rFonts w:ascii="Verdana" w:hAnsi="Verdana" w:cs="Arial"/>
        </w:rPr>
        <w:t xml:space="preserve">membranáceo que ocluía la luz constituido histológicamente por </w:t>
      </w:r>
      <w:r w:rsidRPr="000716A4">
        <w:rPr>
          <w:rFonts w:ascii="Verdana" w:hAnsi="Verdana" w:cs="Arial"/>
        </w:rPr>
        <w:lastRenderedPageBreak/>
        <w:t>submucosa.Esto puede ser debido a que la mucosa y la submucosa del intestino delgado están dispuestas en forma de pliegues circulares que se extienden sobre toda su superficie interna y se proyectan a la luz intestinal, se llaman válvulas conniventes de Kerckring. Son más pronunciadas en el duodeno y el yeyuno en donde sobresa</w:t>
      </w:r>
      <w:r w:rsidR="008D580C" w:rsidRPr="000716A4">
        <w:rPr>
          <w:rFonts w:ascii="Verdana" w:hAnsi="Verdana" w:cs="Arial"/>
        </w:rPr>
        <w:t>len hasta 8 mm en la luz</w:t>
      </w:r>
      <w:r w:rsidRPr="000716A4">
        <w:rPr>
          <w:rFonts w:ascii="Verdana" w:hAnsi="Verdana" w:cs="Arial"/>
        </w:rPr>
        <w:t xml:space="preserve"> del tubo</w:t>
      </w:r>
      <w:r w:rsidR="00E7712B" w:rsidRPr="000716A4">
        <w:rPr>
          <w:rFonts w:ascii="Verdana" w:hAnsi="Verdana" w:cs="Arial"/>
        </w:rPr>
        <w:t>. Una hipertrofia en estos plieg</w:t>
      </w:r>
      <w:r w:rsidR="008D580C" w:rsidRPr="000716A4">
        <w:rPr>
          <w:rFonts w:ascii="Verdana" w:hAnsi="Verdana" w:cs="Arial"/>
        </w:rPr>
        <w:t>u</w:t>
      </w:r>
      <w:r w:rsidR="00E7712B" w:rsidRPr="000716A4">
        <w:rPr>
          <w:rFonts w:ascii="Verdana" w:hAnsi="Verdana" w:cs="Arial"/>
        </w:rPr>
        <w:t>es puede causar la oclusión de la luz intestinal</w:t>
      </w:r>
      <w:r w:rsidRPr="000716A4">
        <w:rPr>
          <w:rFonts w:ascii="Verdana" w:hAnsi="Verdana" w:cs="Arial"/>
        </w:rPr>
        <w:t>.</w:t>
      </w:r>
      <w:r w:rsidR="00CD10FA">
        <w:rPr>
          <w:rFonts w:ascii="Verdana" w:hAnsi="Verdana" w:cs="Arial"/>
          <w:vertAlign w:val="superscript"/>
        </w:rPr>
        <w:t>21</w:t>
      </w:r>
    </w:p>
    <w:p w:rsidR="0028662E" w:rsidRPr="00A1102C" w:rsidRDefault="0028662E" w:rsidP="002403E2">
      <w:pPr>
        <w:spacing w:line="360" w:lineRule="auto"/>
        <w:jc w:val="both"/>
        <w:rPr>
          <w:rFonts w:ascii="Verdana" w:hAnsi="Verdana" w:cs="Arial"/>
        </w:rPr>
      </w:pPr>
      <w:r w:rsidRPr="00A1102C">
        <w:rPr>
          <w:rFonts w:ascii="Verdana" w:hAnsi="Verdana" w:cs="Arial"/>
        </w:rPr>
        <w:t>Tabla</w:t>
      </w:r>
      <w:r w:rsidR="00D0542B" w:rsidRPr="00A1102C">
        <w:rPr>
          <w:rFonts w:ascii="Verdana" w:hAnsi="Verdana" w:cs="Arial"/>
        </w:rPr>
        <w:t xml:space="preserve"> 4</w:t>
      </w:r>
      <w:r w:rsidR="00217B3E" w:rsidRPr="00A1102C">
        <w:rPr>
          <w:rFonts w:ascii="Verdana" w:hAnsi="Verdana" w:cs="Arial"/>
        </w:rPr>
        <w:t xml:space="preserve">.  </w:t>
      </w:r>
      <w:r w:rsidR="00E7712B" w:rsidRPr="00A1102C">
        <w:rPr>
          <w:rFonts w:ascii="Verdana" w:hAnsi="Verdana" w:cs="Arial"/>
        </w:rPr>
        <w:t xml:space="preserve">Profundidad de las </w:t>
      </w:r>
      <w:r w:rsidR="00217B3E" w:rsidRPr="00A1102C">
        <w:rPr>
          <w:rFonts w:ascii="Verdana" w:hAnsi="Verdana" w:cs="Arial"/>
        </w:rPr>
        <w:t>Criptas</w:t>
      </w:r>
      <w:r w:rsidR="00E7712B" w:rsidRPr="00A1102C">
        <w:rPr>
          <w:rFonts w:ascii="Verdana" w:hAnsi="Verdana" w:cs="Arial"/>
        </w:rPr>
        <w:t>en Colon, Íleon y Yeyuno</w:t>
      </w:r>
    </w:p>
    <w:tbl>
      <w:tblPr>
        <w:tblStyle w:val="Sombreadoclaro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28662E" w:rsidRPr="00A1102C" w:rsidTr="002403E2">
        <w:trPr>
          <w:cnfStyle w:val="100000000000"/>
        </w:trPr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944DFD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Colon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Íleon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Yeyuno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Promedio y DE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734DC9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130,81 ± 56,65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178,16 ± 69,81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118,63 ± 48,26</w:t>
            </w:r>
          </w:p>
        </w:tc>
      </w:tr>
      <w:tr w:rsidR="0028662E" w:rsidRPr="00A1102C" w:rsidTr="002403E2">
        <w:tc>
          <w:tcPr>
            <w:cnfStyle w:val="001000000000"/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IC para p≤0,05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734DC9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137,07-124,56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182,76-173,55</w:t>
            </w:r>
          </w:p>
        </w:tc>
        <w:tc>
          <w:tcPr>
            <w:tcW w:w="2161" w:type="dxa"/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121,45-115,81</w:t>
            </w:r>
          </w:p>
        </w:tc>
      </w:tr>
      <w:tr w:rsidR="0028662E" w:rsidRPr="00A1102C" w:rsidTr="002403E2">
        <w:trPr>
          <w:cnfStyle w:val="000000100000"/>
        </w:trPr>
        <w:tc>
          <w:tcPr>
            <w:cnfStyle w:val="001000000000"/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CV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0,43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28662E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0,39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28662E" w:rsidRPr="00A1102C" w:rsidRDefault="00734DC9" w:rsidP="002403E2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0,40</w:t>
            </w:r>
          </w:p>
        </w:tc>
      </w:tr>
    </w:tbl>
    <w:p w:rsidR="00A1102C" w:rsidRPr="00A1102C" w:rsidRDefault="00A1102C" w:rsidP="005E6A55">
      <w:pPr>
        <w:spacing w:line="360" w:lineRule="auto"/>
        <w:jc w:val="both"/>
        <w:rPr>
          <w:rFonts w:ascii="Verdana" w:hAnsi="Verdana" w:cs="Arial"/>
          <w:sz w:val="16"/>
        </w:rPr>
      </w:pPr>
    </w:p>
    <w:p w:rsidR="00F85DB8" w:rsidRPr="000716A4" w:rsidRDefault="00D0542B" w:rsidP="005E6A55">
      <w:pPr>
        <w:spacing w:line="360" w:lineRule="auto"/>
        <w:jc w:val="both"/>
        <w:rPr>
          <w:rFonts w:ascii="Verdana" w:eastAsia="Times New Roman" w:hAnsi="Verdana" w:cs="Arial"/>
          <w:lang w:eastAsia="es-ES"/>
        </w:rPr>
      </w:pPr>
      <w:r w:rsidRPr="000716A4">
        <w:rPr>
          <w:rFonts w:ascii="Verdana" w:hAnsi="Verdana" w:cs="Arial"/>
        </w:rPr>
        <w:t>En la Tabla 4</w:t>
      </w:r>
      <w:r w:rsidR="00734DC9" w:rsidRPr="000716A4">
        <w:rPr>
          <w:rFonts w:ascii="Verdana" w:hAnsi="Verdana" w:cs="Arial"/>
        </w:rPr>
        <w:t xml:space="preserve"> se analiza la profundidad de las criptas, en este caso las medidas más pequeñas están localizadas a nivel del Yeyuno con </w:t>
      </w:r>
      <w:r w:rsidR="00734DC9" w:rsidRPr="000716A4">
        <w:rPr>
          <w:rFonts w:ascii="Verdana" w:eastAsia="Times New Roman" w:hAnsi="Verdana" w:cs="Arial"/>
          <w:lang w:eastAsia="es-ES"/>
        </w:rPr>
        <w:t xml:space="preserve">118,63 micras (± 48,26), en orden creciente continúa el Colon con </w:t>
      </w:r>
      <w:r w:rsidR="00AE180E" w:rsidRPr="000716A4">
        <w:rPr>
          <w:rFonts w:ascii="Verdana" w:eastAsia="Times New Roman" w:hAnsi="Verdana" w:cs="Arial"/>
          <w:lang w:eastAsia="es-ES"/>
        </w:rPr>
        <w:t>130,81 micras (± 56,65) y donde tienen mayor tamaño es en el Íleon con 178,16 micras (± 69,81</w:t>
      </w:r>
      <w:r w:rsidR="00F85DB8" w:rsidRPr="000716A4">
        <w:rPr>
          <w:rFonts w:ascii="Verdana" w:eastAsia="Times New Roman" w:hAnsi="Verdana" w:cs="Arial"/>
          <w:lang w:eastAsia="es-ES"/>
        </w:rPr>
        <w:t xml:space="preserve">). </w:t>
      </w:r>
    </w:p>
    <w:p w:rsidR="00DA1975" w:rsidRPr="000716A4" w:rsidRDefault="00F85DB8" w:rsidP="00EC68E1">
      <w:pPr>
        <w:spacing w:line="360" w:lineRule="auto"/>
        <w:jc w:val="both"/>
        <w:rPr>
          <w:rFonts w:ascii="Verdana" w:hAnsi="Verdana" w:cs="Arial"/>
          <w:vertAlign w:val="superscript"/>
        </w:rPr>
      </w:pPr>
      <w:r w:rsidRPr="000716A4">
        <w:rPr>
          <w:rFonts w:ascii="Verdana" w:eastAsia="Times New Roman" w:hAnsi="Verdana" w:cs="Arial"/>
          <w:lang w:eastAsia="es-ES"/>
        </w:rPr>
        <w:t>Teniendo en cuenta las medidas normales referidas en la literatura</w:t>
      </w:r>
      <w:r w:rsidR="00EC68E1" w:rsidRPr="000716A4">
        <w:rPr>
          <w:rFonts w:ascii="Verdana" w:eastAsia="Times New Roman" w:hAnsi="Verdana" w:cs="Arial"/>
          <w:lang w:eastAsia="es-ES"/>
        </w:rPr>
        <w:t xml:space="preserve"> un</w:t>
      </w:r>
      <w:r w:rsidR="00EC68E1" w:rsidRPr="000716A4">
        <w:rPr>
          <w:rFonts w:ascii="Verdana" w:hAnsi="Verdana" w:cs="Arial"/>
        </w:rPr>
        <w:t xml:space="preserve">fenómeno llamativo </w:t>
      </w:r>
      <w:r w:rsidR="00EC68E1" w:rsidRPr="000716A4">
        <w:rPr>
          <w:rFonts w:ascii="Verdana" w:eastAsia="Times New Roman" w:hAnsi="Verdana" w:cs="Arial"/>
          <w:lang w:eastAsia="es-ES"/>
        </w:rPr>
        <w:t>es l</w:t>
      </w:r>
      <w:r w:rsidR="005E6A55" w:rsidRPr="000716A4">
        <w:rPr>
          <w:rFonts w:ascii="Verdana" w:eastAsia="Times New Roman" w:hAnsi="Verdana" w:cs="Arial"/>
          <w:lang w:eastAsia="es-ES"/>
        </w:rPr>
        <w:t>a afectación evidente de las criptas, pues en los tres segmentos estudia</w:t>
      </w:r>
      <w:r w:rsidR="00350732" w:rsidRPr="000716A4">
        <w:rPr>
          <w:rFonts w:ascii="Verdana" w:eastAsia="Times New Roman" w:hAnsi="Verdana" w:cs="Arial"/>
          <w:lang w:eastAsia="es-ES"/>
        </w:rPr>
        <w:t>dos su tamaño corresponde</w:t>
      </w:r>
      <w:r w:rsidR="005E6A55" w:rsidRPr="000716A4">
        <w:rPr>
          <w:rFonts w:ascii="Verdana" w:eastAsia="Times New Roman" w:hAnsi="Verdana" w:cs="Arial"/>
          <w:lang w:eastAsia="es-ES"/>
        </w:rPr>
        <w:t xml:space="preserve"> aproximadamente</w:t>
      </w:r>
      <w:r w:rsidR="00350732" w:rsidRPr="000716A4">
        <w:rPr>
          <w:rFonts w:ascii="Verdana" w:eastAsia="Times New Roman" w:hAnsi="Verdana" w:cs="Arial"/>
          <w:lang w:eastAsia="es-ES"/>
        </w:rPr>
        <w:t xml:space="preserve"> a</w:t>
      </w:r>
      <w:r w:rsidR="005E6A55" w:rsidRPr="000716A4">
        <w:rPr>
          <w:rFonts w:ascii="Verdana" w:eastAsia="Times New Roman" w:hAnsi="Verdana" w:cs="Arial"/>
          <w:lang w:eastAsia="es-ES"/>
        </w:rPr>
        <w:t xml:space="preserve"> la mitad del tamaño normal. Esto tiene correspondencia con lo descrito por </w:t>
      </w:r>
      <w:r w:rsidR="005E6A55" w:rsidRPr="000716A4">
        <w:rPr>
          <w:rFonts w:ascii="Verdana" w:hAnsi="Verdana" w:cs="Arial"/>
        </w:rPr>
        <w:t xml:space="preserve">Madrigal Rubiales </w:t>
      </w:r>
      <w:r w:rsidR="00CD10FA">
        <w:rPr>
          <w:rFonts w:ascii="Verdana" w:hAnsi="Verdana" w:cs="Arial"/>
          <w:vertAlign w:val="superscript"/>
        </w:rPr>
        <w:t>21</w:t>
      </w:r>
      <w:r w:rsidR="005E6A55" w:rsidRPr="000716A4">
        <w:rPr>
          <w:rFonts w:ascii="Verdana" w:hAnsi="Verdana" w:cs="Arial"/>
        </w:rPr>
        <w:t>que describe un aplanamiento de la</w:t>
      </w:r>
      <w:r w:rsidR="00EC68E1" w:rsidRPr="000716A4">
        <w:rPr>
          <w:rFonts w:ascii="Verdana" w:hAnsi="Verdana" w:cs="Arial"/>
        </w:rPr>
        <w:t xml:space="preserve"> mucosa con subsiguiente disminución del tamaño</w:t>
      </w:r>
      <w:r w:rsidR="00350732" w:rsidRPr="000716A4">
        <w:rPr>
          <w:rFonts w:ascii="Verdana" w:hAnsi="Verdana" w:cs="Arial"/>
        </w:rPr>
        <w:t xml:space="preserve"> de las cript</w:t>
      </w:r>
      <w:r w:rsidR="00EC68E1" w:rsidRPr="000716A4">
        <w:rPr>
          <w:rFonts w:ascii="Verdana" w:hAnsi="Verdana" w:cs="Arial"/>
        </w:rPr>
        <w:t>as</w:t>
      </w:r>
      <w:r w:rsidR="000724D5" w:rsidRPr="000716A4">
        <w:rPr>
          <w:rFonts w:ascii="Verdana" w:hAnsi="Verdana" w:cs="Arial"/>
        </w:rPr>
        <w:t>,</w:t>
      </w:r>
      <w:r w:rsidR="00A668AA" w:rsidRPr="000716A4">
        <w:rPr>
          <w:rFonts w:ascii="Verdana" w:hAnsi="Verdana" w:cs="Arial"/>
        </w:rPr>
        <w:t xml:space="preserve"> mientras que De la Torre Mondragón </w:t>
      </w:r>
      <w:r w:rsidR="00CD10FA">
        <w:rPr>
          <w:rFonts w:ascii="Verdana" w:hAnsi="Verdana" w:cs="Arial"/>
          <w:vertAlign w:val="superscript"/>
        </w:rPr>
        <w:t>23</w:t>
      </w:r>
      <w:r w:rsidR="00A668AA" w:rsidRPr="000716A4">
        <w:rPr>
          <w:rFonts w:ascii="Verdana" w:hAnsi="Verdana" w:cs="Arial"/>
        </w:rPr>
        <w:t>en su estudio en México refiere un engrosamiento en todas las capas del colon</w:t>
      </w:r>
      <w:r w:rsidR="00EC68E1" w:rsidRPr="000716A4">
        <w:rPr>
          <w:rFonts w:ascii="Verdana" w:hAnsi="Verdana" w:cs="Arial"/>
        </w:rPr>
        <w:t>.</w:t>
      </w:r>
    </w:p>
    <w:p w:rsidR="00E271AC" w:rsidRPr="00B872DE" w:rsidRDefault="00587868" w:rsidP="00B872DE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sz w:val="22"/>
          <w:szCs w:val="22"/>
          <w:vertAlign w:val="superscript"/>
        </w:rPr>
      </w:pPr>
      <w:r w:rsidRPr="000716A4">
        <w:rPr>
          <w:rFonts w:ascii="Verdana" w:hAnsi="Verdana" w:cs="Arial"/>
          <w:sz w:val="22"/>
          <w:szCs w:val="22"/>
        </w:rPr>
        <w:t xml:space="preserve">Al tener en cuenta </w:t>
      </w:r>
      <w:r w:rsidR="00AF3972" w:rsidRPr="000716A4">
        <w:rPr>
          <w:rFonts w:ascii="Verdana" w:hAnsi="Verdana" w:cs="Arial"/>
          <w:sz w:val="22"/>
          <w:szCs w:val="22"/>
        </w:rPr>
        <w:t>estos datos se puede decir que e</w:t>
      </w:r>
      <w:r w:rsidR="003B0249" w:rsidRPr="000716A4">
        <w:rPr>
          <w:rFonts w:ascii="Verdana" w:hAnsi="Verdana" w:cs="Arial"/>
          <w:sz w:val="22"/>
          <w:szCs w:val="22"/>
        </w:rPr>
        <w:t>stos valores están</w:t>
      </w:r>
      <w:r w:rsidR="00AF3972" w:rsidRPr="000716A4">
        <w:rPr>
          <w:rFonts w:ascii="Verdana" w:hAnsi="Verdana" w:cs="Arial"/>
          <w:sz w:val="22"/>
          <w:szCs w:val="22"/>
        </w:rPr>
        <w:t xml:space="preserve"> dentro de los límites normales</w:t>
      </w:r>
      <w:r w:rsidR="00BE661D" w:rsidRPr="000716A4">
        <w:rPr>
          <w:rFonts w:ascii="Verdana" w:hAnsi="Verdana" w:cs="Arial"/>
          <w:sz w:val="22"/>
          <w:szCs w:val="22"/>
        </w:rPr>
        <w:t xml:space="preserve"> y</w:t>
      </w:r>
      <w:r w:rsidR="00350732" w:rsidRPr="000716A4">
        <w:rPr>
          <w:rFonts w:ascii="Verdana" w:hAnsi="Verdana" w:cs="Arial"/>
          <w:sz w:val="22"/>
          <w:szCs w:val="22"/>
        </w:rPr>
        <w:t xml:space="preserve"> en </w:t>
      </w:r>
      <w:r w:rsidR="003B0249" w:rsidRPr="000716A4">
        <w:rPr>
          <w:rFonts w:ascii="Verdana" w:hAnsi="Verdana" w:cs="Arial"/>
          <w:sz w:val="22"/>
          <w:szCs w:val="22"/>
        </w:rPr>
        <w:t xml:space="preserve">concordancia con lo descrito </w:t>
      </w:r>
      <w:r w:rsidR="00350732" w:rsidRPr="000716A4">
        <w:rPr>
          <w:rFonts w:ascii="Verdana" w:hAnsi="Verdana" w:cs="Arial"/>
          <w:sz w:val="22"/>
          <w:szCs w:val="22"/>
        </w:rPr>
        <w:t>en la literatura revisada</w:t>
      </w:r>
      <w:r w:rsidR="003B0249" w:rsidRPr="000716A4">
        <w:rPr>
          <w:rFonts w:ascii="Verdana" w:hAnsi="Verdana" w:cs="Arial"/>
          <w:sz w:val="22"/>
          <w:szCs w:val="22"/>
        </w:rPr>
        <w:t>, pues se puede observar una ligera diferencia de tamaño entre ambas regiones, con predominio del Yeyuno.</w:t>
      </w:r>
      <w:r w:rsidR="00BE661D" w:rsidRPr="000716A4">
        <w:rPr>
          <w:rFonts w:ascii="Verdana" w:hAnsi="Verdana" w:cs="Arial"/>
          <w:sz w:val="22"/>
          <w:szCs w:val="22"/>
          <w:shd w:val="clear" w:color="auto" w:fill="FFFFFF"/>
        </w:rPr>
        <w:t xml:space="preserve">En oposición a lo encontrado en este estudio </w:t>
      </w:r>
      <w:r w:rsidR="00BE661D" w:rsidRPr="000716A4">
        <w:rPr>
          <w:rFonts w:ascii="Verdana" w:hAnsi="Verdana" w:cs="Arial"/>
          <w:sz w:val="22"/>
          <w:szCs w:val="22"/>
        </w:rPr>
        <w:t xml:space="preserve">GavínBarros </w:t>
      </w:r>
      <w:r w:rsidR="00CD10FA">
        <w:rPr>
          <w:rFonts w:ascii="Verdana" w:hAnsi="Verdana" w:cs="Arial"/>
          <w:sz w:val="22"/>
          <w:szCs w:val="22"/>
          <w:vertAlign w:val="superscript"/>
        </w:rPr>
        <w:t>13</w:t>
      </w:r>
      <w:r w:rsidR="00BE661D" w:rsidRPr="000716A4">
        <w:rPr>
          <w:rFonts w:ascii="Verdana" w:hAnsi="Verdana" w:cs="Arial"/>
          <w:sz w:val="22"/>
          <w:szCs w:val="22"/>
        </w:rPr>
        <w:t>describe en su investigación que los segmentos afectados estudiados</w:t>
      </w:r>
      <w:r w:rsidR="00CC3798" w:rsidRPr="000716A4">
        <w:rPr>
          <w:rFonts w:ascii="Verdana" w:hAnsi="Verdana" w:cs="Arial"/>
          <w:sz w:val="22"/>
          <w:szCs w:val="22"/>
        </w:rPr>
        <w:t>exhibe</w:t>
      </w:r>
      <w:r w:rsidR="00BE661D" w:rsidRPr="000716A4">
        <w:rPr>
          <w:rFonts w:ascii="Verdana" w:hAnsi="Verdana" w:cs="Arial"/>
          <w:sz w:val="22"/>
          <w:szCs w:val="22"/>
        </w:rPr>
        <w:t>n una</w:t>
      </w:r>
      <w:r w:rsidR="00CC3798" w:rsidRPr="000716A4">
        <w:rPr>
          <w:rFonts w:ascii="Verdana" w:hAnsi="Verdana" w:cs="Arial"/>
          <w:sz w:val="22"/>
          <w:szCs w:val="22"/>
        </w:rPr>
        <w:t xml:space="preserve"> mucosa con atrofia moderada de las vellosidades</w:t>
      </w:r>
      <w:r w:rsidR="00BE661D" w:rsidRPr="000716A4">
        <w:rPr>
          <w:rFonts w:ascii="Verdana" w:hAnsi="Verdana" w:cs="Arial"/>
          <w:sz w:val="22"/>
          <w:szCs w:val="22"/>
        </w:rPr>
        <w:t>.</w:t>
      </w:r>
    </w:p>
    <w:p w:rsidR="00D542E4" w:rsidRPr="00A1102C" w:rsidRDefault="00D542E4" w:rsidP="00D542E4">
      <w:pPr>
        <w:spacing w:line="360" w:lineRule="auto"/>
        <w:jc w:val="both"/>
        <w:rPr>
          <w:rFonts w:ascii="Verdana" w:hAnsi="Verdana" w:cs="Arial"/>
        </w:rPr>
      </w:pPr>
      <w:r w:rsidRPr="00A1102C">
        <w:rPr>
          <w:rFonts w:ascii="Verdana" w:hAnsi="Verdana" w:cs="Arial"/>
        </w:rPr>
        <w:lastRenderedPageBreak/>
        <w:t>Tabla</w:t>
      </w:r>
      <w:r w:rsidR="00D0542B" w:rsidRPr="00A1102C">
        <w:rPr>
          <w:rFonts w:ascii="Verdana" w:hAnsi="Verdana" w:cs="Arial"/>
        </w:rPr>
        <w:t xml:space="preserve"> 5</w:t>
      </w:r>
      <w:r w:rsidRPr="00A1102C">
        <w:rPr>
          <w:rFonts w:ascii="Verdana" w:hAnsi="Verdana" w:cs="Arial"/>
        </w:rPr>
        <w:t>. Altura</w:t>
      </w:r>
      <w:r w:rsidR="002F20A1" w:rsidRPr="00A1102C">
        <w:rPr>
          <w:rFonts w:ascii="Verdana" w:hAnsi="Verdana" w:cs="Arial"/>
        </w:rPr>
        <w:t xml:space="preserve"> del Epitelio</w:t>
      </w:r>
      <w:r w:rsidRPr="00A1102C">
        <w:rPr>
          <w:rFonts w:ascii="Verdana" w:hAnsi="Verdana" w:cs="Arial"/>
        </w:rPr>
        <w:t>en Colon, Íleon y Yeyuno</w:t>
      </w:r>
    </w:p>
    <w:tbl>
      <w:tblPr>
        <w:tblStyle w:val="Sombreadoclaro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D542E4" w:rsidRPr="00A1102C" w:rsidTr="002F20A1">
        <w:trPr>
          <w:cnfStyle w:val="100000000000"/>
        </w:trPr>
        <w:tc>
          <w:tcPr>
            <w:cnfStyle w:val="001000000000"/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Colon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Íleon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1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 xml:space="preserve">Yeyuno </w:t>
            </w:r>
          </w:p>
        </w:tc>
      </w:tr>
      <w:tr w:rsidR="00D542E4" w:rsidRPr="00A1102C" w:rsidTr="002F20A1">
        <w:trPr>
          <w:cnfStyle w:val="000000100000"/>
        </w:trPr>
        <w:tc>
          <w:tcPr>
            <w:cnfStyle w:val="001000000000"/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Promedio y DE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27,14 ± 7,59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5"/>
                <w:attr w:name="Minute" w:val="26"/>
              </w:smartTagPr>
              <w:r w:rsidRPr="00A1102C">
                <w:rPr>
                  <w:rFonts w:ascii="Verdana" w:eastAsia="Times New Roman" w:hAnsi="Verdana" w:cs="Arial"/>
                  <w:sz w:val="18"/>
                  <w:szCs w:val="18"/>
                  <w:lang w:eastAsia="es-ES"/>
                </w:rPr>
                <w:t>15,26</w:t>
              </w:r>
            </w:smartTag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 ± 6,43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5"/>
                <w:attr w:name="Minute" w:val="01"/>
              </w:smartTagPr>
              <w:r w:rsidRPr="00A1102C">
                <w:rPr>
                  <w:rFonts w:ascii="Verdana" w:eastAsia="Times New Roman" w:hAnsi="Verdana" w:cs="Arial"/>
                  <w:sz w:val="18"/>
                  <w:szCs w:val="18"/>
                  <w:lang w:eastAsia="es-ES"/>
                </w:rPr>
                <w:t>15,01</w:t>
              </w:r>
            </w:smartTag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 xml:space="preserve"> ± 3,38</w:t>
            </w:r>
          </w:p>
        </w:tc>
      </w:tr>
      <w:tr w:rsidR="00D542E4" w:rsidRPr="00A1102C" w:rsidTr="002F20A1">
        <w:tc>
          <w:tcPr>
            <w:cnfStyle w:val="001000000000"/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IC para p≤0,05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28,04-26,24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15,50-15,01</w:t>
            </w:r>
          </w:p>
        </w:tc>
        <w:tc>
          <w:tcPr>
            <w:tcW w:w="2161" w:type="dxa"/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0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15,17-14,83</w:t>
            </w:r>
          </w:p>
        </w:tc>
      </w:tr>
      <w:tr w:rsidR="00D542E4" w:rsidRPr="00A1102C" w:rsidTr="002F20A1">
        <w:trPr>
          <w:cnfStyle w:val="000000100000"/>
        </w:trPr>
        <w:tc>
          <w:tcPr>
            <w:cnfStyle w:val="001000000000"/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hAnsi="Verdana" w:cs="Arial"/>
                <w:sz w:val="18"/>
                <w:szCs w:val="18"/>
              </w:rPr>
              <w:t>CV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0,28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D542E4" w:rsidRPr="00A1102C" w:rsidRDefault="00D542E4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0,42</w:t>
            </w:r>
          </w:p>
        </w:tc>
        <w:tc>
          <w:tcPr>
            <w:tcW w:w="2161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D542E4" w:rsidRPr="00A1102C" w:rsidRDefault="002F20A1" w:rsidP="002F20A1">
            <w:pPr>
              <w:spacing w:line="360" w:lineRule="auto"/>
              <w:cnfStyle w:val="000000100000"/>
              <w:rPr>
                <w:rFonts w:ascii="Verdana" w:hAnsi="Verdana" w:cs="Arial"/>
                <w:sz w:val="18"/>
                <w:szCs w:val="18"/>
              </w:rPr>
            </w:pPr>
            <w:r w:rsidRPr="00A1102C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0,22</w:t>
            </w:r>
          </w:p>
        </w:tc>
      </w:tr>
    </w:tbl>
    <w:p w:rsidR="00D542E4" w:rsidRPr="00A1102C" w:rsidRDefault="00D542E4" w:rsidP="002403E2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</w:p>
    <w:p w:rsidR="002F20A1" w:rsidRPr="000716A4" w:rsidRDefault="00D0542B" w:rsidP="002716C8">
      <w:pPr>
        <w:spacing w:line="360" w:lineRule="auto"/>
        <w:jc w:val="both"/>
        <w:rPr>
          <w:rFonts w:ascii="Verdana" w:eastAsia="Times New Roman" w:hAnsi="Verdana" w:cs="Arial"/>
          <w:lang w:eastAsia="es-ES"/>
        </w:rPr>
      </w:pPr>
      <w:r w:rsidRPr="000716A4">
        <w:rPr>
          <w:rFonts w:ascii="Verdana" w:hAnsi="Verdana" w:cs="Arial"/>
        </w:rPr>
        <w:t>En la Tabla 5</w:t>
      </w:r>
      <w:r w:rsidR="002F20A1" w:rsidRPr="000716A4">
        <w:rPr>
          <w:rFonts w:ascii="Verdana" w:hAnsi="Verdana" w:cs="Arial"/>
        </w:rPr>
        <w:t xml:space="preserve"> se recoge la altura del epitelio</w:t>
      </w:r>
      <w:r w:rsidR="00851A48" w:rsidRPr="000716A4">
        <w:rPr>
          <w:rFonts w:ascii="Verdana" w:hAnsi="Verdana" w:cs="Arial"/>
        </w:rPr>
        <w:t xml:space="preserve"> que cubre toda la superficie de la mucosa</w:t>
      </w:r>
      <w:r w:rsidR="002F20A1" w:rsidRPr="000716A4">
        <w:rPr>
          <w:rFonts w:ascii="Verdana" w:hAnsi="Verdana" w:cs="Arial"/>
        </w:rPr>
        <w:t xml:space="preserve">, en este caso la medida obtenida en el Colon con </w:t>
      </w:r>
      <w:r w:rsidR="002F20A1" w:rsidRPr="000716A4">
        <w:rPr>
          <w:rFonts w:ascii="Verdana" w:eastAsia="Times New Roman" w:hAnsi="Verdana" w:cs="Arial"/>
          <w:lang w:eastAsia="es-ES"/>
        </w:rPr>
        <w:t>27,14 micras(± 7,59)</w:t>
      </w:r>
      <w:r w:rsidR="002F20A1" w:rsidRPr="000716A4">
        <w:rPr>
          <w:rFonts w:ascii="Verdana" w:hAnsi="Verdana" w:cs="Arial"/>
        </w:rPr>
        <w:t xml:space="preserve">casi duplica las del Íleon y el Yeyuno, con </w:t>
      </w:r>
      <w:smartTag w:uri="urn:schemas-microsoft-com:office:smarttags" w:element="time">
        <w:smartTagPr>
          <w:attr w:name="Hour" w:val="15"/>
          <w:attr w:name="Minute" w:val="26"/>
        </w:smartTagPr>
        <w:r w:rsidR="002F20A1" w:rsidRPr="000716A4">
          <w:rPr>
            <w:rFonts w:ascii="Verdana" w:eastAsia="Times New Roman" w:hAnsi="Verdana" w:cs="Arial"/>
            <w:lang w:eastAsia="es-ES"/>
          </w:rPr>
          <w:t>15,26</w:t>
        </w:r>
      </w:smartTag>
      <w:r w:rsidR="002F20A1" w:rsidRPr="000716A4">
        <w:rPr>
          <w:rFonts w:ascii="Verdana" w:eastAsia="Times New Roman" w:hAnsi="Verdana" w:cs="Arial"/>
          <w:lang w:eastAsia="es-ES"/>
        </w:rPr>
        <w:t xml:space="preserve"> micras(± 6,43) y </w:t>
      </w:r>
      <w:smartTag w:uri="urn:schemas-microsoft-com:office:smarttags" w:element="time">
        <w:smartTagPr>
          <w:attr w:name="Hour" w:val="15"/>
          <w:attr w:name="Minute" w:val="01"/>
        </w:smartTagPr>
        <w:r w:rsidR="002F20A1" w:rsidRPr="000716A4">
          <w:rPr>
            <w:rFonts w:ascii="Verdana" w:eastAsia="Times New Roman" w:hAnsi="Verdana" w:cs="Arial"/>
            <w:lang w:eastAsia="es-ES"/>
          </w:rPr>
          <w:t>15,01</w:t>
        </w:r>
      </w:smartTag>
      <w:r w:rsidR="00FE0D02" w:rsidRPr="000716A4">
        <w:rPr>
          <w:rFonts w:ascii="Verdana" w:eastAsia="Times New Roman" w:hAnsi="Verdana" w:cs="Arial"/>
          <w:lang w:eastAsia="es-ES"/>
        </w:rPr>
        <w:t xml:space="preserve"> micras(</w:t>
      </w:r>
      <w:r w:rsidR="002F20A1" w:rsidRPr="000716A4">
        <w:rPr>
          <w:rFonts w:ascii="Verdana" w:eastAsia="Times New Roman" w:hAnsi="Verdana" w:cs="Arial"/>
          <w:lang w:eastAsia="es-ES"/>
        </w:rPr>
        <w:t>± 3,38</w:t>
      </w:r>
      <w:r w:rsidR="00FE0D02" w:rsidRPr="000716A4">
        <w:rPr>
          <w:rFonts w:ascii="Verdana" w:eastAsia="Times New Roman" w:hAnsi="Verdana" w:cs="Arial"/>
          <w:lang w:eastAsia="es-ES"/>
        </w:rPr>
        <w:t xml:space="preserve">) respectivamente. </w:t>
      </w:r>
      <w:r w:rsidR="00B30763" w:rsidRPr="000716A4">
        <w:rPr>
          <w:rFonts w:ascii="Verdana" w:eastAsia="Times New Roman" w:hAnsi="Verdana" w:cs="Arial"/>
          <w:lang w:eastAsia="es-ES"/>
        </w:rPr>
        <w:t>Al comparar las medidas de los tres</w:t>
      </w:r>
      <w:r w:rsidR="00FE0D02" w:rsidRPr="000716A4">
        <w:rPr>
          <w:rFonts w:ascii="Verdana" w:eastAsia="Times New Roman" w:hAnsi="Verdana" w:cs="Arial"/>
          <w:lang w:eastAsia="es-ES"/>
        </w:rPr>
        <w:t xml:space="preserve"> segmentos es lógico el resultado encontrado, </w:t>
      </w:r>
      <w:r w:rsidR="00851A48" w:rsidRPr="000716A4">
        <w:rPr>
          <w:rFonts w:ascii="Verdana" w:eastAsia="Times New Roman" w:hAnsi="Verdana" w:cs="Arial"/>
          <w:lang w:eastAsia="es-ES"/>
        </w:rPr>
        <w:t>al</w:t>
      </w:r>
      <w:r w:rsidR="00FE0D02" w:rsidRPr="000716A4">
        <w:rPr>
          <w:rFonts w:ascii="Verdana" w:eastAsia="Times New Roman" w:hAnsi="Verdana" w:cs="Arial"/>
          <w:lang w:eastAsia="es-ES"/>
        </w:rPr>
        <w:t xml:space="preserve"> tener </w:t>
      </w:r>
      <w:r w:rsidR="00851A48" w:rsidRPr="000716A4">
        <w:rPr>
          <w:rFonts w:ascii="Verdana" w:eastAsia="Times New Roman" w:hAnsi="Verdana" w:cs="Arial"/>
          <w:lang w:eastAsia="es-ES"/>
        </w:rPr>
        <w:t xml:space="preserve">en </w:t>
      </w:r>
      <w:r w:rsidR="00FE0D02" w:rsidRPr="000716A4">
        <w:rPr>
          <w:rFonts w:ascii="Verdana" w:eastAsia="Times New Roman" w:hAnsi="Verdana" w:cs="Arial"/>
          <w:lang w:eastAsia="es-ES"/>
        </w:rPr>
        <w:t xml:space="preserve">cuenta que el epitelio del intestino delgado tiene como función la absorción de nutrientes y al </w:t>
      </w:r>
      <w:r w:rsidR="009E3F60" w:rsidRPr="000716A4">
        <w:rPr>
          <w:rFonts w:ascii="Verdana" w:eastAsia="Times New Roman" w:hAnsi="Verdana" w:cs="Arial"/>
          <w:lang w:eastAsia="es-ES"/>
        </w:rPr>
        <w:t>disminuir su tamañofacilita realizarla.</w:t>
      </w:r>
    </w:p>
    <w:p w:rsidR="00EE0B3C" w:rsidRPr="000716A4" w:rsidRDefault="009E3F60" w:rsidP="0087762A">
      <w:pPr>
        <w:spacing w:after="0" w:line="360" w:lineRule="auto"/>
        <w:jc w:val="both"/>
        <w:rPr>
          <w:rFonts w:ascii="Verdana" w:eastAsia="Times New Roman" w:hAnsi="Verdana" w:cs="Arial"/>
          <w:lang w:eastAsia="es-ES"/>
        </w:rPr>
      </w:pPr>
      <w:r w:rsidRPr="000716A4">
        <w:rPr>
          <w:rFonts w:ascii="Verdana" w:eastAsia="Times New Roman" w:hAnsi="Verdana" w:cs="Arial"/>
          <w:lang w:eastAsia="es-ES"/>
        </w:rPr>
        <w:t>L</w:t>
      </w:r>
      <w:r w:rsidR="00851A48" w:rsidRPr="000716A4">
        <w:rPr>
          <w:rFonts w:ascii="Verdana" w:eastAsia="Times New Roman" w:hAnsi="Verdana" w:cs="Arial"/>
          <w:lang w:eastAsia="es-ES"/>
        </w:rPr>
        <w:t>a literatura describe</w:t>
      </w:r>
      <w:r w:rsidR="00461EBA" w:rsidRPr="000716A4">
        <w:rPr>
          <w:rFonts w:ascii="Verdana" w:eastAsia="Times New Roman" w:hAnsi="Verdana" w:cs="Arial"/>
          <w:lang w:eastAsia="es-ES"/>
        </w:rPr>
        <w:t xml:space="preserve"> que</w:t>
      </w:r>
      <w:r w:rsidR="00461EBA" w:rsidRPr="000716A4">
        <w:rPr>
          <w:rFonts w:ascii="Verdana" w:hAnsi="Verdana" w:cs="Arial"/>
          <w:color w:val="000000"/>
          <w:shd w:val="clear" w:color="auto" w:fill="FFFFFF"/>
        </w:rPr>
        <w:t>la superficie de las vellosidades está tapizada por</w:t>
      </w:r>
      <w:r w:rsidR="002716C8" w:rsidRPr="000716A4">
        <w:rPr>
          <w:rFonts w:ascii="Verdana" w:hAnsi="Verdana" w:cs="Arial"/>
          <w:color w:val="000000"/>
          <w:shd w:val="clear" w:color="auto" w:fill="FFFFFF"/>
        </w:rPr>
        <w:t xml:space="preserve"> un</w:t>
      </w:r>
      <w:r w:rsidR="00461EBA" w:rsidRPr="000716A4">
        <w:rPr>
          <w:rFonts w:ascii="Verdana" w:hAnsi="Verdana" w:cs="Arial"/>
          <w:color w:val="000000"/>
          <w:shd w:val="clear" w:color="auto" w:fill="FFFFFF"/>
        </w:rPr>
        <w:t xml:space="preserve"> epiteli</w:t>
      </w:r>
      <w:r w:rsidR="002716C8" w:rsidRPr="000716A4">
        <w:rPr>
          <w:rFonts w:ascii="Verdana" w:hAnsi="Verdana" w:cs="Arial"/>
          <w:color w:val="000000"/>
          <w:shd w:val="clear" w:color="auto" w:fill="FFFFFF"/>
        </w:rPr>
        <w:t>o</w:t>
      </w:r>
      <w:r w:rsidR="00CC3798" w:rsidRPr="000716A4">
        <w:rPr>
          <w:rFonts w:ascii="Verdana" w:hAnsi="Verdana" w:cs="Arial"/>
          <w:color w:val="000000"/>
          <w:shd w:val="clear" w:color="auto" w:fill="FFFFFF"/>
        </w:rPr>
        <w:t>cilíndric</w:t>
      </w:r>
      <w:r w:rsidR="002716C8" w:rsidRPr="000716A4">
        <w:rPr>
          <w:rFonts w:ascii="Verdana" w:hAnsi="Verdana" w:cs="Arial"/>
          <w:color w:val="000000"/>
          <w:shd w:val="clear" w:color="auto" w:fill="FFFFFF"/>
        </w:rPr>
        <w:t>o simple</w:t>
      </w:r>
      <w:r w:rsidRPr="000716A4">
        <w:rPr>
          <w:rFonts w:ascii="Verdana" w:eastAsia="Times New Roman" w:hAnsi="Verdana" w:cs="Arial"/>
          <w:lang w:eastAsia="es-ES"/>
        </w:rPr>
        <w:t>con una altura de</w:t>
      </w:r>
      <w:r w:rsidR="00461EBA" w:rsidRPr="000716A4">
        <w:rPr>
          <w:rFonts w:ascii="Verdana" w:eastAsia="Times New Roman" w:hAnsi="Verdana" w:cs="Arial"/>
          <w:lang w:eastAsia="es-ES"/>
        </w:rPr>
        <w:t xml:space="preserve"> 22 a 26 micras</w:t>
      </w:r>
      <w:r w:rsidR="002716C8" w:rsidRPr="000716A4">
        <w:rPr>
          <w:rFonts w:ascii="Verdana" w:eastAsia="Times New Roman" w:hAnsi="Verdana" w:cs="Arial"/>
          <w:lang w:eastAsia="es-ES"/>
        </w:rPr>
        <w:t>.</w:t>
      </w:r>
      <w:r w:rsidR="00CD10FA">
        <w:rPr>
          <w:rFonts w:ascii="Verdana" w:eastAsia="Times New Roman" w:hAnsi="Verdana" w:cs="Arial"/>
          <w:vertAlign w:val="superscript"/>
          <w:lang w:eastAsia="es-ES"/>
        </w:rPr>
        <w:t>23</w:t>
      </w:r>
      <w:r w:rsidR="003E7F0C" w:rsidRPr="000716A4">
        <w:rPr>
          <w:rFonts w:ascii="Verdana" w:eastAsia="Times New Roman" w:hAnsi="Verdana" w:cs="Arial"/>
          <w:lang w:eastAsia="es-ES"/>
        </w:rPr>
        <w:t xml:space="preserve">A partir de los valores de referencia la autora tiene argumentos que refuerza lo expuesto por otros autores que describen atrofia de </w:t>
      </w:r>
      <w:r w:rsidR="00190F26" w:rsidRPr="000716A4">
        <w:rPr>
          <w:rFonts w:ascii="Verdana" w:eastAsia="Times New Roman" w:hAnsi="Verdana" w:cs="Arial"/>
          <w:lang w:eastAsia="es-ES"/>
        </w:rPr>
        <w:t>la mucosa con afectación del epitelio.</w:t>
      </w:r>
    </w:p>
    <w:p w:rsidR="00422F99" w:rsidRPr="000716A4" w:rsidRDefault="00422F99" w:rsidP="00A1102C">
      <w:pPr>
        <w:spacing w:line="360" w:lineRule="auto"/>
        <w:rPr>
          <w:rFonts w:ascii="Verdana" w:hAnsi="Verdana" w:cs="Arial"/>
          <w:b/>
        </w:rPr>
      </w:pPr>
      <w:r w:rsidRPr="000716A4">
        <w:rPr>
          <w:rFonts w:ascii="Verdana" w:hAnsi="Verdana" w:cs="Arial"/>
          <w:b/>
        </w:rPr>
        <w:t xml:space="preserve">CONCLUSIONES </w:t>
      </w:r>
    </w:p>
    <w:p w:rsidR="005856E4" w:rsidRPr="000716A4" w:rsidRDefault="005856E4" w:rsidP="005856E4">
      <w:pPr>
        <w:pStyle w:val="Prrafodelista"/>
        <w:numPr>
          <w:ilvl w:val="0"/>
          <w:numId w:val="32"/>
        </w:numPr>
        <w:spacing w:after="200"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Predominaron las atresias ileales y yeyunales y del Tipo III y IV; y fueron menos frecuentes las del colon y las del Tipo I y II.</w:t>
      </w:r>
    </w:p>
    <w:p w:rsidR="005856E4" w:rsidRPr="000716A4" w:rsidRDefault="005856E4" w:rsidP="005856E4">
      <w:pPr>
        <w:pStyle w:val="Prrafodelista"/>
        <w:numPr>
          <w:ilvl w:val="0"/>
          <w:numId w:val="32"/>
        </w:numPr>
        <w:spacing w:after="200"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El espesor de la Capa Muscular de la pared intestinal y de la Submucosa fue menor a nivel del Colon.</w:t>
      </w:r>
    </w:p>
    <w:p w:rsidR="005856E4" w:rsidRPr="000716A4" w:rsidRDefault="005856E4" w:rsidP="005856E4">
      <w:pPr>
        <w:pStyle w:val="Prrafodelista"/>
        <w:numPr>
          <w:ilvl w:val="0"/>
          <w:numId w:val="32"/>
        </w:numPr>
        <w:spacing w:after="200" w:line="360" w:lineRule="auto"/>
        <w:jc w:val="both"/>
        <w:rPr>
          <w:rFonts w:ascii="Verdana" w:eastAsiaTheme="minorEastAsia" w:hAnsi="Verdana" w:cs="Arial"/>
          <w:lang w:eastAsia="pt-BR"/>
        </w:rPr>
      </w:pPr>
      <w:r w:rsidRPr="000716A4">
        <w:rPr>
          <w:rFonts w:ascii="Verdana" w:hAnsi="Verdana" w:cs="Arial"/>
        </w:rPr>
        <w:t xml:space="preserve">La </w:t>
      </w:r>
      <w:r w:rsidRPr="000716A4">
        <w:rPr>
          <w:rFonts w:ascii="Verdana" w:hAnsi="Verdana" w:cs="Arial"/>
          <w:lang w:val="es-ES"/>
        </w:rPr>
        <w:t>profundidad</w:t>
      </w:r>
      <w:r w:rsidRPr="000716A4">
        <w:rPr>
          <w:rFonts w:ascii="Verdana" w:hAnsi="Verdana" w:cs="Arial"/>
        </w:rPr>
        <w:t xml:space="preserve"> de </w:t>
      </w:r>
      <w:r w:rsidRPr="000716A4">
        <w:rPr>
          <w:rFonts w:ascii="Verdana" w:hAnsi="Verdana" w:cs="Arial"/>
          <w:lang w:val="es-ES"/>
        </w:rPr>
        <w:t>las</w:t>
      </w:r>
      <w:r w:rsidRPr="000716A4">
        <w:rPr>
          <w:rFonts w:ascii="Verdana" w:hAnsi="Verdana" w:cs="Arial"/>
        </w:rPr>
        <w:t xml:space="preserve"> criptas</w:t>
      </w:r>
      <w:r w:rsidR="009617E9" w:rsidRPr="000716A4">
        <w:rPr>
          <w:rFonts w:ascii="Verdana" w:hAnsi="Verdana" w:cs="Arial"/>
        </w:rPr>
        <w:t xml:space="preserve"> estuvo disminuida </w:t>
      </w:r>
      <w:r w:rsidRPr="000716A4">
        <w:rPr>
          <w:rFonts w:ascii="Verdana" w:eastAsia="Times New Roman" w:hAnsi="Verdana" w:cs="Arial"/>
          <w:lang w:eastAsia="es-ES"/>
        </w:rPr>
        <w:t>aproximadamente</w:t>
      </w:r>
      <w:r w:rsidR="009617E9" w:rsidRPr="000716A4">
        <w:rPr>
          <w:rFonts w:ascii="Verdana" w:eastAsia="Times New Roman" w:hAnsi="Verdana" w:cs="Arial"/>
          <w:lang w:eastAsia="es-ES"/>
        </w:rPr>
        <w:t xml:space="preserve"> a</w:t>
      </w:r>
      <w:r w:rsidRPr="000716A4">
        <w:rPr>
          <w:rFonts w:ascii="Verdana" w:eastAsia="Times New Roman" w:hAnsi="Verdana" w:cs="Arial"/>
          <w:lang w:eastAsia="es-ES"/>
        </w:rPr>
        <w:t xml:space="preserve"> la mitad del tamaño normal en los tres segmentos estudiados.</w:t>
      </w:r>
    </w:p>
    <w:p w:rsidR="00422F99" w:rsidRPr="000716A4" w:rsidRDefault="005856E4" w:rsidP="005856E4">
      <w:pPr>
        <w:pStyle w:val="Prrafodelista"/>
        <w:numPr>
          <w:ilvl w:val="0"/>
          <w:numId w:val="32"/>
        </w:numPr>
        <w:spacing w:after="200" w:line="360" w:lineRule="auto"/>
        <w:jc w:val="both"/>
        <w:rPr>
          <w:rFonts w:ascii="Verdana" w:hAnsi="Verdana" w:cs="Arial"/>
        </w:rPr>
      </w:pPr>
      <w:r w:rsidRPr="000716A4">
        <w:rPr>
          <w:rFonts w:ascii="Verdana" w:hAnsi="Verdana" w:cs="Arial"/>
        </w:rPr>
        <w:t>La altura del epitelio estuvo disminuida en el yeyuno y el íleon,mientras la altura de las vellosidades intestinales se mantuvo dentro de los límites histológicos normales.</w:t>
      </w:r>
    </w:p>
    <w:p w:rsidR="00DE7F0C" w:rsidRPr="000716A4" w:rsidRDefault="000A7F0D" w:rsidP="00A1102C">
      <w:pPr>
        <w:spacing w:line="360" w:lineRule="auto"/>
        <w:rPr>
          <w:rFonts w:ascii="Verdana" w:hAnsi="Verdana" w:cs="Arial"/>
          <w:b/>
        </w:rPr>
      </w:pPr>
      <w:r w:rsidRPr="000716A4">
        <w:rPr>
          <w:rFonts w:ascii="Verdana" w:hAnsi="Verdana" w:cs="Arial"/>
          <w:b/>
        </w:rPr>
        <w:t>REFERENCIAS BIBLIOGRÁFICAS</w:t>
      </w:r>
    </w:p>
    <w:p w:rsidR="00E64373" w:rsidRPr="000652E9" w:rsidRDefault="004668B3" w:rsidP="008D3AB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</w:rPr>
      </w:pPr>
      <w:r w:rsidRPr="000652E9">
        <w:rPr>
          <w:rFonts w:ascii="Verdana" w:hAnsi="Verdana" w:cs="Arial"/>
        </w:rPr>
        <w:t>Arteaga Martínez SM., García Peláez MI. Embriología Humana y Biología del desarrollo</w:t>
      </w:r>
      <w:r w:rsidR="00E64373" w:rsidRPr="000652E9">
        <w:rPr>
          <w:rFonts w:ascii="Verdana" w:hAnsi="Verdana" w:cs="Arial"/>
        </w:rPr>
        <w:t xml:space="preserve">. [Internet] México: Editorial Médica Panamericana. 2013. Disponible en: </w:t>
      </w:r>
      <w:hyperlink r:id="rId9" w:history="1">
        <w:r w:rsidR="00E64373" w:rsidRPr="000652E9">
          <w:rPr>
            <w:rStyle w:val="Hipervnculo"/>
            <w:rFonts w:ascii="Verdana" w:hAnsi="Verdana" w:cs="Arial"/>
            <w:color w:val="auto"/>
            <w:u w:val="none"/>
          </w:rPr>
          <w:t>www.medicapanamericana.com/embriologia/arteaga</w:t>
        </w:r>
      </w:hyperlink>
    </w:p>
    <w:p w:rsidR="00FE0F7E" w:rsidRPr="000652E9" w:rsidRDefault="00FE0F7E" w:rsidP="00FE0F7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eastAsia="Times New Roman" w:hAnsi="Verdana" w:cs="Arial"/>
          <w:lang w:val="es-MX" w:eastAsia="es-ES"/>
        </w:rPr>
      </w:pPr>
      <w:r w:rsidRPr="000652E9">
        <w:rPr>
          <w:rFonts w:ascii="Verdana" w:eastAsia="Times New Roman" w:hAnsi="Verdana" w:cs="Arial"/>
          <w:lang w:val="en-US" w:eastAsia="es-ES"/>
        </w:rPr>
        <w:lastRenderedPageBreak/>
        <w:t xml:space="preserve">Spaeth JP, </w:t>
      </w:r>
      <w:hyperlink r:id="rId10" w:anchor="%21/search/Lam%20Jennifer%20E./%7B%22type%22:%22author%22%7D" w:history="1">
        <w:r w:rsidRPr="000652E9">
          <w:rPr>
            <w:rFonts w:ascii="Verdana" w:eastAsia="Times New Roman" w:hAnsi="Verdana" w:cs="Arial"/>
            <w:lang w:val="en-US" w:eastAsia="es-ES"/>
          </w:rPr>
          <w:t>Lam</w:t>
        </w:r>
      </w:hyperlink>
      <w:r w:rsidRPr="000652E9">
        <w:rPr>
          <w:rFonts w:ascii="Verdana" w:eastAsia="Times New Roman" w:hAnsi="Verdana" w:cs="Arial"/>
          <w:lang w:val="en-US" w:eastAsia="es-ES"/>
        </w:rPr>
        <w:t xml:space="preserve"> JE</w:t>
      </w:r>
      <w:r w:rsidRPr="000652E9">
        <w:rPr>
          <w:rFonts w:ascii="Verdana" w:eastAsia="Times New Roman" w:hAnsi="Verdana" w:cs="Arial"/>
          <w:bCs/>
          <w:kern w:val="36"/>
          <w:lang w:val="en-US" w:eastAsia="es-ES"/>
        </w:rPr>
        <w:t xml:space="preserve">. The Extremely Premature Infant and Common Neonatal Emergencies. En: </w:t>
      </w:r>
      <w:hyperlink r:id="rId11" w:anchor="%21/browse/book/3-s2.0-C20150006499" w:history="1">
        <w:r w:rsidRPr="000652E9">
          <w:rPr>
            <w:rFonts w:ascii="Verdana" w:eastAsia="Times New Roman" w:hAnsi="Verdana" w:cs="Arial"/>
            <w:lang w:val="en-US" w:eastAsia="es-ES"/>
          </w:rPr>
          <w:t>A Practice of Anesthesia for Infants and Children</w:t>
        </w:r>
      </w:hyperlink>
      <w:r w:rsidRPr="000652E9">
        <w:rPr>
          <w:rFonts w:ascii="Verdana" w:hAnsi="Verdana" w:cs="Arial"/>
          <w:lang w:val="en-US"/>
        </w:rPr>
        <w:t xml:space="preserve">[Internet] España: Editorial Elsevier.2019. </w:t>
      </w:r>
      <w:r w:rsidRPr="000652E9">
        <w:rPr>
          <w:rFonts w:ascii="Verdana" w:hAnsi="Verdana" w:cs="Arial"/>
          <w:lang w:val="es-MX"/>
        </w:rPr>
        <w:t xml:space="preserve">[Citado 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19"/>
        </w:smartTagPr>
        <w:r w:rsidRPr="000652E9">
          <w:rPr>
            <w:rFonts w:ascii="Verdana" w:hAnsi="Verdana" w:cs="Arial"/>
            <w:lang w:val="es-MX"/>
          </w:rPr>
          <w:t>23 may 2019</w:t>
        </w:r>
      </w:smartTag>
      <w:r w:rsidRPr="000652E9">
        <w:rPr>
          <w:rFonts w:ascii="Verdana" w:hAnsi="Verdana" w:cs="Arial"/>
          <w:lang w:val="es-MX"/>
        </w:rPr>
        <w:t>]. [</w:t>
      </w:r>
      <w:r w:rsidRPr="000652E9">
        <w:rPr>
          <w:rFonts w:ascii="Verdana" w:eastAsia="Times New Roman" w:hAnsi="Verdana" w:cs="Arial"/>
          <w:lang w:val="es-MX" w:eastAsia="es-ES"/>
        </w:rPr>
        <w:t>841-867</w:t>
      </w:r>
      <w:r w:rsidRPr="000652E9">
        <w:rPr>
          <w:rFonts w:ascii="Verdana" w:hAnsi="Verdana" w:cs="Arial"/>
          <w:lang w:val="es-MX"/>
        </w:rPr>
        <w:t>]</w:t>
      </w:r>
      <w:r w:rsidRPr="000652E9">
        <w:rPr>
          <w:rFonts w:ascii="Verdana" w:eastAsia="Times New Roman" w:hAnsi="Verdana" w:cs="Arial"/>
          <w:lang w:val="es-MX" w:eastAsia="es-ES"/>
        </w:rPr>
        <w:t xml:space="preserve">. Disponible desde: </w:t>
      </w:r>
      <w:r w:rsidRPr="000652E9">
        <w:rPr>
          <w:rFonts w:ascii="Verdana" w:hAnsi="Verdana" w:cs="Arial"/>
          <w:lang w:val="es-MX"/>
        </w:rPr>
        <w:t>https://www.clinicalkey.es/#!/content/3-s2.0-B9780323429740000379?scrollTo=%23c00037</w:t>
      </w:r>
    </w:p>
    <w:p w:rsidR="00FE0F7E" w:rsidRPr="000652E9" w:rsidRDefault="00FE0F7E" w:rsidP="00FE0F7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  <w:lang w:val="es-MX"/>
        </w:rPr>
      </w:pPr>
      <w:r w:rsidRPr="000652E9">
        <w:rPr>
          <w:rFonts w:ascii="Verdana" w:eastAsia="Times New Roman" w:hAnsi="Verdana" w:cs="Arial"/>
          <w:lang w:val="en-US" w:eastAsia="es-ES"/>
        </w:rPr>
        <w:t>Moore KL.,</w:t>
      </w:r>
      <w:hyperlink r:id="rId12" w:anchor="%21/search/%28Vid%29%20Persaud%20T.V.N./%7B%22type%22:%22author%22%7D" w:history="1">
        <w:r w:rsidRPr="000652E9">
          <w:rPr>
            <w:rFonts w:ascii="Verdana" w:eastAsia="Times New Roman" w:hAnsi="Verdana" w:cs="Arial"/>
            <w:lang w:val="en-US" w:eastAsia="es-ES"/>
          </w:rPr>
          <w:t xml:space="preserve">Persaud MD, </w:t>
        </w:r>
      </w:hyperlink>
      <w:hyperlink r:id="rId13" w:anchor="%21/search/Torchia%20Mark%20G./%7B%22type%22:%22author%22%7D" w:history="1">
        <w:r w:rsidRPr="000652E9">
          <w:rPr>
            <w:rFonts w:ascii="Verdana" w:eastAsia="Times New Roman" w:hAnsi="Verdana" w:cs="Arial"/>
            <w:lang w:val="en-US" w:eastAsia="es-ES"/>
          </w:rPr>
          <w:t xml:space="preserve">Torchia </w:t>
        </w:r>
      </w:hyperlink>
      <w:r w:rsidRPr="000652E9">
        <w:rPr>
          <w:rFonts w:ascii="Verdana" w:eastAsia="Times New Roman" w:hAnsi="Verdana" w:cs="Arial"/>
          <w:lang w:val="en-US" w:eastAsia="es-ES"/>
        </w:rPr>
        <w:t>MG.. Alimentary System.</w:t>
      </w:r>
      <w:r w:rsidRPr="000652E9">
        <w:rPr>
          <w:rFonts w:ascii="Verdana" w:eastAsia="Times New Roman" w:hAnsi="Verdana" w:cs="Arial"/>
          <w:bCs/>
          <w:kern w:val="36"/>
          <w:lang w:val="en-US" w:eastAsia="es-ES"/>
        </w:rPr>
        <w:t xml:space="preserve"> En: </w:t>
      </w:r>
      <w:hyperlink r:id="rId14" w:anchor="%21/browse/book/3-s2.0-C20130098647" w:history="1">
        <w:r w:rsidRPr="000652E9">
          <w:rPr>
            <w:rFonts w:ascii="Verdana" w:eastAsia="Times New Roman" w:hAnsi="Verdana" w:cs="Arial"/>
            <w:lang w:val="en-US" w:eastAsia="es-ES"/>
          </w:rPr>
          <w:t>Before We Are Born</w:t>
        </w:r>
      </w:hyperlink>
      <w:r w:rsidRPr="000652E9">
        <w:rPr>
          <w:rFonts w:ascii="Verdana" w:hAnsi="Verdana" w:cs="Arial"/>
          <w:lang w:val="en-US"/>
        </w:rPr>
        <w:t xml:space="preserve">[Internet] Editorial Elsevier.2016. </w:t>
      </w:r>
      <w:r w:rsidRPr="000652E9">
        <w:rPr>
          <w:rFonts w:ascii="Verdana" w:hAnsi="Verdana" w:cs="Arial"/>
          <w:lang w:val="es-MX"/>
        </w:rPr>
        <w:t xml:space="preserve">[Citado 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19"/>
        </w:smartTagPr>
        <w:r w:rsidRPr="000652E9">
          <w:rPr>
            <w:rFonts w:ascii="Verdana" w:hAnsi="Verdana" w:cs="Arial"/>
            <w:lang w:val="es-MX"/>
          </w:rPr>
          <w:t>23 may 2019</w:t>
        </w:r>
      </w:smartTag>
      <w:r w:rsidRPr="000652E9">
        <w:rPr>
          <w:rFonts w:ascii="Verdana" w:hAnsi="Verdana" w:cs="Arial"/>
          <w:lang w:val="es-MX"/>
        </w:rPr>
        <w:t>]. [</w:t>
      </w:r>
      <w:r w:rsidRPr="000652E9">
        <w:rPr>
          <w:rFonts w:ascii="Verdana" w:eastAsia="Times New Roman" w:hAnsi="Verdana" w:cs="Arial"/>
          <w:lang w:val="es-MX" w:eastAsia="es-ES"/>
        </w:rPr>
        <w:t>137-160</w:t>
      </w:r>
      <w:r w:rsidRPr="000652E9">
        <w:rPr>
          <w:rFonts w:ascii="Verdana" w:hAnsi="Verdana" w:cs="Arial"/>
          <w:lang w:val="es-MX"/>
        </w:rPr>
        <w:t xml:space="preserve">]. Disponible desde: </w:t>
      </w:r>
      <w:hyperlink r:id="rId15" w:anchor="!/content/3-s2.0-B9780323313377000120?scrollTo=%23top" w:history="1">
        <w:r w:rsidRPr="000652E9">
          <w:rPr>
            <w:rStyle w:val="Hipervnculo"/>
            <w:rFonts w:ascii="Verdana" w:hAnsi="Verdana" w:cs="Arial"/>
            <w:color w:val="auto"/>
            <w:u w:val="none"/>
            <w:lang w:val="es-MX"/>
          </w:rPr>
          <w:t>https://www.clinicalkey.es/#!/content/3-s2.0-B9780323313377000120?scrollTo=%23top</w:t>
        </w:r>
      </w:hyperlink>
    </w:p>
    <w:p w:rsidR="00FE0F7E" w:rsidRPr="000652E9" w:rsidRDefault="00FE0F7E" w:rsidP="00FE0F7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  <w:lang w:val="es-MX"/>
        </w:rPr>
      </w:pPr>
      <w:r w:rsidRPr="003923B0">
        <w:rPr>
          <w:rFonts w:ascii="Verdana" w:hAnsi="Verdana" w:cs="Arial"/>
          <w:lang w:val="en-US"/>
        </w:rPr>
        <w:t xml:space="preserve">Carlson BM. </w:t>
      </w:r>
      <w:hyperlink r:id="rId16" w:anchor="%21/browse/book/3-s2.0-C20160004588" w:history="1">
        <w:r w:rsidRPr="000652E9">
          <w:rPr>
            <w:rStyle w:val="Hipervnculo"/>
            <w:rFonts w:ascii="Verdana" w:hAnsi="Verdana" w:cs="Arial"/>
            <w:color w:val="auto"/>
            <w:u w:val="none"/>
            <w:lang w:val="en-US"/>
          </w:rPr>
          <w:t>Human Embryology and Developmental Biology</w:t>
        </w:r>
      </w:hyperlink>
      <w:r w:rsidRPr="000652E9">
        <w:rPr>
          <w:rStyle w:val="Hipervnculo"/>
          <w:rFonts w:ascii="Verdana" w:hAnsi="Verdana" w:cs="Arial"/>
          <w:color w:val="auto"/>
          <w:u w:val="none"/>
          <w:lang w:val="en-US"/>
        </w:rPr>
        <w:t xml:space="preserve">. </w:t>
      </w:r>
      <w:r w:rsidRPr="003923B0">
        <w:rPr>
          <w:rStyle w:val="Hipervnculo"/>
          <w:rFonts w:ascii="Verdana" w:hAnsi="Verdana" w:cs="Arial"/>
          <w:color w:val="auto"/>
          <w:u w:val="none"/>
          <w:lang w:val="es-ES"/>
        </w:rPr>
        <w:t xml:space="preserve">6ta ed. </w:t>
      </w:r>
      <w:r w:rsidRPr="000652E9">
        <w:rPr>
          <w:rStyle w:val="Hipervnculo"/>
          <w:rFonts w:ascii="Verdana" w:hAnsi="Verdana" w:cs="Arial"/>
          <w:color w:val="auto"/>
          <w:u w:val="none"/>
          <w:lang w:val="es-MX"/>
        </w:rPr>
        <w:t xml:space="preserve">[Internet] España: Elsevier; 2019 [Citado </w:t>
      </w:r>
      <w:smartTag w:uri="urn:schemas-microsoft-com:office:smarttags" w:element="date">
        <w:smartTagPr>
          <w:attr w:name="ls" w:val="trans"/>
          <w:attr w:name="Month" w:val="5"/>
          <w:attr w:name="Day" w:val="27"/>
          <w:attr w:name="Year" w:val="2019"/>
        </w:smartTagPr>
        <w:r w:rsidRPr="000652E9">
          <w:rPr>
            <w:rStyle w:val="Hipervnculo"/>
            <w:rFonts w:ascii="Verdana" w:hAnsi="Verdana" w:cs="Arial"/>
            <w:color w:val="auto"/>
            <w:u w:val="none"/>
            <w:lang w:val="es-MX"/>
          </w:rPr>
          <w:t>27 May 2019</w:t>
        </w:r>
      </w:smartTag>
      <w:r w:rsidRPr="000652E9">
        <w:rPr>
          <w:rStyle w:val="Hipervnculo"/>
          <w:rFonts w:ascii="Verdana" w:hAnsi="Verdana" w:cs="Arial"/>
          <w:color w:val="auto"/>
          <w:u w:val="none"/>
          <w:lang w:val="es-MX"/>
        </w:rPr>
        <w:t>]. Disponible en:</w:t>
      </w:r>
      <w:hyperlink r:id="rId17" w:anchor="!/browse/book/3-s2.0-C20160004588" w:history="1">
        <w:r w:rsidRPr="000652E9">
          <w:rPr>
            <w:rStyle w:val="Hipervnculo"/>
            <w:rFonts w:ascii="Verdana" w:hAnsi="Verdana" w:cs="Arial"/>
            <w:color w:val="auto"/>
            <w:u w:val="none"/>
            <w:lang w:val="es-MX"/>
          </w:rPr>
          <w:t>https://www.clinicalkey.es/#!/browse/book/3-s2.0-C20160004588</w:t>
        </w:r>
      </w:hyperlink>
    </w:p>
    <w:p w:rsidR="00FE0F7E" w:rsidRPr="000652E9" w:rsidRDefault="00FE0F7E" w:rsidP="00FE0F7E">
      <w:pPr>
        <w:pStyle w:val="source"/>
        <w:numPr>
          <w:ilvl w:val="0"/>
          <w:numId w:val="7"/>
        </w:numPr>
        <w:spacing w:line="360" w:lineRule="auto"/>
        <w:jc w:val="both"/>
        <w:rPr>
          <w:rFonts w:ascii="Verdana" w:hAnsi="Verdana" w:cs="Arial"/>
          <w:sz w:val="22"/>
          <w:szCs w:val="22"/>
          <w:shd w:val="clear" w:color="auto" w:fill="FFFFFF"/>
          <w:lang w:val="en-US"/>
        </w:rPr>
      </w:pPr>
      <w:r w:rsidRPr="000652E9">
        <w:rPr>
          <w:rFonts w:ascii="Verdana" w:hAnsi="Verdana" w:cs="Arial"/>
          <w:sz w:val="22"/>
          <w:szCs w:val="22"/>
          <w:shd w:val="clear" w:color="auto" w:fill="FFFFFF"/>
        </w:rPr>
        <w:t xml:space="preserve">Liu X, Hao P, Lui VCH, Xie X, Li Y, Song Y, et al. </w:t>
      </w:r>
      <w:r w:rsidRPr="000652E9">
        <w:rPr>
          <w:rFonts w:ascii="Verdana" w:hAnsi="Verdana" w:cs="Arial"/>
          <w:sz w:val="22"/>
          <w:szCs w:val="22"/>
          <w:shd w:val="clear" w:color="auto" w:fill="FFFFFF"/>
          <w:lang w:val="en-US"/>
        </w:rPr>
        <w:t>Gut lumen formation defect can cause intestinal atresia: evidence from histological studies of human embryos and intestinal atresia septum. </w:t>
      </w:r>
      <w:r w:rsidRPr="000652E9">
        <w:rPr>
          <w:rFonts w:ascii="Verdana" w:hAnsi="Verdana" w:cs="Arial"/>
          <w:iCs/>
          <w:sz w:val="22"/>
          <w:szCs w:val="22"/>
          <w:bdr w:val="none" w:sz="0" w:space="0" w:color="auto" w:frame="1"/>
          <w:shd w:val="clear" w:color="auto" w:fill="FFFFFF"/>
          <w:lang w:val="en-US"/>
        </w:rPr>
        <w:t>Journal of Developmental Origins of Health and Disease</w:t>
      </w:r>
      <w:r w:rsidRPr="000652E9">
        <w:rPr>
          <w:rFonts w:ascii="Verdana" w:hAnsi="Verdana" w:cs="Arial"/>
          <w:sz w:val="22"/>
          <w:szCs w:val="22"/>
          <w:shd w:val="clear" w:color="auto" w:fill="FFFFFF"/>
          <w:lang w:val="en-US"/>
        </w:rPr>
        <w:t xml:space="preserve">. [Online] 2022 [Citado </w:t>
      </w:r>
      <w:smartTag w:uri="urn:schemas-microsoft-com:office:smarttags" w:element="date">
        <w:smartTagPr>
          <w:attr w:name="ls" w:val="trans"/>
          <w:attr w:name="Month" w:val="2"/>
          <w:attr w:name="Day" w:val="27"/>
          <w:attr w:name="Year" w:val="2022"/>
        </w:smartTagPr>
        <w:r w:rsidRPr="000652E9">
          <w:rPr>
            <w:rFonts w:ascii="Verdana" w:hAnsi="Verdana" w:cs="Arial"/>
            <w:sz w:val="22"/>
            <w:szCs w:val="22"/>
            <w:shd w:val="clear" w:color="auto" w:fill="FFFFFF"/>
            <w:lang w:val="en-US"/>
          </w:rPr>
          <w:t>27 Feb 2022</w:t>
        </w:r>
      </w:smartTag>
      <w:r w:rsidRPr="000652E9">
        <w:rPr>
          <w:rFonts w:ascii="Verdana" w:hAnsi="Verdana" w:cs="Arial"/>
          <w:sz w:val="22"/>
          <w:szCs w:val="22"/>
          <w:shd w:val="clear" w:color="auto" w:fill="FFFFFF"/>
          <w:lang w:val="en-US"/>
        </w:rPr>
        <w:t>] 13(1): 61–67. Available from:</w:t>
      </w:r>
      <w:r w:rsidRPr="000652E9">
        <w:rPr>
          <w:rFonts w:ascii="Verdana" w:hAnsi="Verdana" w:cs="Arial"/>
          <w:sz w:val="22"/>
          <w:szCs w:val="22"/>
          <w:lang w:val="en-US" w:eastAsia="pt-BR"/>
        </w:rPr>
        <w:t> </w:t>
      </w:r>
      <w:hyperlink r:id="rId18" w:tgtFrame="_blank" w:history="1">
        <w:r w:rsidRPr="000652E9">
          <w:rPr>
            <w:rFonts w:ascii="Verdana" w:hAnsi="Verdana" w:cs="Arial"/>
            <w:sz w:val="22"/>
            <w:szCs w:val="22"/>
            <w:lang w:val="en-US" w:eastAsia="pt-BR"/>
          </w:rPr>
          <w:t>https://doi.org/10.1017/S2040174421000088</w:t>
        </w:r>
      </w:hyperlink>
    </w:p>
    <w:p w:rsidR="00FE0F7E" w:rsidRPr="000652E9" w:rsidRDefault="00FE0F7E" w:rsidP="00FE0F7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</w:rPr>
      </w:pPr>
      <w:r w:rsidRPr="000652E9">
        <w:rPr>
          <w:rFonts w:ascii="Verdana" w:hAnsi="Verdana" w:cs="Arial"/>
        </w:rPr>
        <w:t xml:space="preserve">García L., Palencia M., Beltrán J. Uso de embriones de pollo para el estudio de la embriogénesis del intestino primitivo [Internet] 2018 [Citado </w:t>
      </w: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10"/>
        </w:smartTagPr>
        <w:r w:rsidRPr="000652E9">
          <w:rPr>
            <w:rFonts w:ascii="Verdana" w:hAnsi="Verdana" w:cs="Arial"/>
          </w:rPr>
          <w:t>3 Mar 2022]; 10</w:t>
        </w:r>
      </w:smartTag>
      <w:r w:rsidRPr="000652E9">
        <w:rPr>
          <w:rFonts w:ascii="Verdana" w:hAnsi="Verdana" w:cs="Arial"/>
        </w:rPr>
        <w:t xml:space="preserve">(3): [Aprox 11 pag.] Disponible en: </w:t>
      </w:r>
      <w:hyperlink r:id="rId19" w:history="1">
        <w:r w:rsidRPr="000652E9">
          <w:rPr>
            <w:rStyle w:val="Hipervnculo"/>
            <w:rFonts w:ascii="Verdana" w:hAnsi="Verdana" w:cs="Arial"/>
            <w:color w:val="auto"/>
            <w:u w:val="none"/>
          </w:rPr>
          <w:t>https://revistas.unal.edu.co/index.php/morfolia/article/view/77954</w:t>
        </w:r>
      </w:hyperlink>
    </w:p>
    <w:p w:rsidR="00CD29E7" w:rsidRPr="000652E9" w:rsidRDefault="00CD29E7" w:rsidP="008D3AB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</w:rPr>
      </w:pPr>
      <w:r w:rsidRPr="000652E9">
        <w:rPr>
          <w:rFonts w:ascii="Verdana" w:eastAsia="Times New Roman" w:hAnsi="Verdana" w:cs="Arial"/>
          <w:lang w:eastAsia="es-ES"/>
        </w:rPr>
        <w:t xml:space="preserve">Ferrer Casero E. Consideraciones históricas del desarrollo de la embriología. Archivos del Hospital Universitario "General Calixto García" [revista en </w:t>
      </w:r>
      <w:r w:rsidR="002245E4" w:rsidRPr="000652E9">
        <w:rPr>
          <w:rFonts w:ascii="Verdana" w:eastAsia="Times New Roman" w:hAnsi="Verdana" w:cs="Arial"/>
          <w:lang w:eastAsia="es-ES"/>
        </w:rPr>
        <w:t>Internet]. 2018. [citado 2019 May 27];</w:t>
      </w:r>
      <w:r w:rsidRPr="000652E9">
        <w:rPr>
          <w:rFonts w:ascii="Verdana" w:eastAsia="Times New Roman" w:hAnsi="Verdana" w:cs="Arial"/>
          <w:lang w:eastAsia="es-ES"/>
        </w:rPr>
        <w:t xml:space="preserve">6(1): [aprox. 14 p.]. Disponible en: </w:t>
      </w:r>
      <w:hyperlink r:id="rId20" w:history="1">
        <w:r w:rsidRPr="000652E9">
          <w:rPr>
            <w:rFonts w:ascii="Verdana" w:eastAsia="Times New Roman" w:hAnsi="Verdana" w:cs="Arial"/>
            <w:lang w:eastAsia="es-ES"/>
          </w:rPr>
          <w:t>http://www.revcalixto.sld.cu/index.php/ahcg/article/view/250</w:t>
        </w:r>
      </w:hyperlink>
    </w:p>
    <w:p w:rsidR="00FE0F7E" w:rsidRPr="000652E9" w:rsidRDefault="00FE0F7E" w:rsidP="00FE0F7E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 w:cs="Arial"/>
        </w:rPr>
      </w:pPr>
      <w:r w:rsidRPr="000652E9">
        <w:rPr>
          <w:rFonts w:ascii="Verdana" w:hAnsi="Verdana" w:cs="Arial"/>
          <w:shd w:val="clear" w:color="auto" w:fill="FFFFFF"/>
        </w:rPr>
        <w:t xml:space="preserve">Manjarres Gil Z, Mastrodomenico Vargas M, del Valle Jassan E. Malformaciones Congénitas Del Tracto Digestivo: Reporte De Caso De Malrotación Intestinal, Bandas De Ladd Y Atresia Ileal En El Neonato. Biociencias [Internet]. </w:t>
      </w:r>
      <w:smartTag w:uri="urn:schemas-microsoft-com:office:smarttags" w:element="date">
        <w:smartTagPr>
          <w:attr w:name="ls" w:val="trans"/>
          <w:attr w:name="Month" w:val="5"/>
          <w:attr w:name="Day" w:val="25"/>
          <w:attr w:name="Year" w:val="2020"/>
        </w:smartTagPr>
        <w:r w:rsidRPr="000652E9">
          <w:rPr>
            <w:rFonts w:ascii="Verdana" w:hAnsi="Verdana" w:cs="Arial"/>
            <w:shd w:val="clear" w:color="auto" w:fill="FFFFFF"/>
          </w:rPr>
          <w:t>25 de mayo de 2020</w:t>
        </w:r>
      </w:smartTag>
      <w:r w:rsidRPr="000652E9">
        <w:rPr>
          <w:rFonts w:ascii="Verdana" w:hAnsi="Verdana" w:cs="Arial"/>
          <w:shd w:val="clear" w:color="auto" w:fill="FFFFFF"/>
        </w:rPr>
        <w:t xml:space="preserve"> [Citado </w:t>
      </w:r>
      <w:smartTag w:uri="urn:schemas-microsoft-com:office:smarttags" w:element="date">
        <w:smartTagPr>
          <w:attr w:name="ls" w:val="trans"/>
          <w:attr w:name="Month" w:val="2"/>
          <w:attr w:name="Day" w:val="18"/>
          <w:attr w:name="Year" w:val="2022"/>
        </w:smartTagPr>
        <w:r w:rsidRPr="000652E9">
          <w:rPr>
            <w:rFonts w:ascii="Verdana" w:hAnsi="Verdana" w:cs="Arial"/>
            <w:shd w:val="clear" w:color="auto" w:fill="FFFFFF"/>
          </w:rPr>
          <w:t xml:space="preserve">18 de febrero de </w:t>
        </w:r>
        <w:r w:rsidRPr="000652E9">
          <w:rPr>
            <w:rFonts w:ascii="Verdana" w:hAnsi="Verdana" w:cs="Arial"/>
            <w:shd w:val="clear" w:color="auto" w:fill="FFFFFF"/>
          </w:rPr>
          <w:lastRenderedPageBreak/>
          <w:t>2022</w:t>
        </w:r>
      </w:smartTag>
      <w:r w:rsidRPr="000652E9">
        <w:rPr>
          <w:rFonts w:ascii="Verdana" w:hAnsi="Verdana" w:cs="Arial"/>
          <w:shd w:val="clear" w:color="auto" w:fill="FFFFFF"/>
        </w:rPr>
        <w:t xml:space="preserve">]; 15(1):113-9. Disponible en: </w:t>
      </w:r>
      <w:hyperlink r:id="rId21" w:history="1">
        <w:r w:rsidRPr="000652E9">
          <w:rPr>
            <w:rStyle w:val="Hipervnculo"/>
            <w:rFonts w:ascii="Verdana" w:hAnsi="Verdana" w:cs="Arial"/>
            <w:color w:val="auto"/>
            <w:u w:val="none"/>
            <w:shd w:val="clear" w:color="auto" w:fill="FFFFFF"/>
          </w:rPr>
          <w:t>https://revistas.unilibre.edu.co/index.php/biociencias/article/view/6367</w:t>
        </w:r>
      </w:hyperlink>
    </w:p>
    <w:p w:rsidR="00FE0F7E" w:rsidRPr="000652E9" w:rsidRDefault="00305875" w:rsidP="00FE0F7E">
      <w:pPr>
        <w:pStyle w:val="Ttulo1"/>
        <w:numPr>
          <w:ilvl w:val="0"/>
          <w:numId w:val="7"/>
        </w:numPr>
        <w:spacing w:before="0" w:after="160" w:line="360" w:lineRule="auto"/>
        <w:jc w:val="both"/>
        <w:rPr>
          <w:rFonts w:ascii="Verdana" w:hAnsi="Verdana" w:cs="Arial"/>
          <w:b w:val="0"/>
          <w:color w:val="auto"/>
          <w:sz w:val="22"/>
          <w:szCs w:val="22"/>
        </w:rPr>
      </w:pPr>
      <w:hyperlink r:id="rId22" w:anchor="%21/search/Madanick%20Ryan/%7B%22type%22:%22author%22%7D" w:history="1">
        <w:r w:rsidR="00FE0F7E" w:rsidRPr="000652E9">
          <w:rPr>
            <w:rStyle w:val="Hipervnculo"/>
            <w:rFonts w:ascii="Verdana" w:hAnsi="Verdana" w:cs="Arial"/>
            <w:b w:val="0"/>
            <w:color w:val="auto"/>
            <w:sz w:val="22"/>
            <w:szCs w:val="22"/>
            <w:u w:val="none"/>
            <w:lang w:val="es-MX"/>
          </w:rPr>
          <w:t>Madanick</w:t>
        </w:r>
      </w:hyperlink>
      <w:r w:rsidR="00FE0F7E" w:rsidRPr="000652E9">
        <w:rPr>
          <w:rStyle w:val="Hipervnculo"/>
          <w:rFonts w:ascii="Verdana" w:hAnsi="Verdana" w:cs="Arial"/>
          <w:b w:val="0"/>
          <w:color w:val="auto"/>
          <w:sz w:val="22"/>
          <w:szCs w:val="22"/>
          <w:u w:val="none"/>
          <w:lang w:val="es-MX"/>
        </w:rPr>
        <w:t xml:space="preserve"> R., </w:t>
      </w:r>
      <w:hyperlink r:id="rId23" w:anchor="%21/search/Orlando%20Roy%20C./%7B%22type%22:%22author%22%7D" w:history="1">
        <w:r w:rsidR="00FE0F7E" w:rsidRPr="000652E9">
          <w:rPr>
            <w:rStyle w:val="Hipervnculo"/>
            <w:rFonts w:ascii="Verdana" w:hAnsi="Verdana" w:cs="Arial"/>
            <w:b w:val="0"/>
            <w:color w:val="auto"/>
            <w:sz w:val="22"/>
            <w:szCs w:val="22"/>
            <w:u w:val="none"/>
            <w:lang w:val="es-MX"/>
          </w:rPr>
          <w:t>Orlando</w:t>
        </w:r>
      </w:hyperlink>
      <w:r w:rsidR="00FE0F7E" w:rsidRPr="000652E9">
        <w:rPr>
          <w:rStyle w:val="Hipervnculo"/>
          <w:rFonts w:ascii="Verdana" w:hAnsi="Verdana" w:cs="Arial"/>
          <w:b w:val="0"/>
          <w:color w:val="auto"/>
          <w:sz w:val="22"/>
          <w:szCs w:val="22"/>
          <w:u w:val="none"/>
        </w:rPr>
        <w:t xml:space="preserve"> RC.</w:t>
      </w:r>
      <w:r w:rsidR="00FE0F7E" w:rsidRPr="000652E9">
        <w:rPr>
          <w:rStyle w:val="ng-binding"/>
          <w:rFonts w:ascii="Verdana" w:hAnsi="Verdana" w:cs="Arial"/>
          <w:b w:val="0"/>
          <w:color w:val="auto"/>
          <w:sz w:val="22"/>
          <w:szCs w:val="22"/>
        </w:rPr>
        <w:t xml:space="preserve"> Anatomía, histología, embriología y anomalías del desarrollo del intestino</w:t>
      </w:r>
      <w:r w:rsidR="00FE0F7E" w:rsidRPr="000652E9">
        <w:rPr>
          <w:rFonts w:ascii="Verdana" w:hAnsi="Verdana" w:cs="Arial"/>
          <w:b w:val="0"/>
          <w:color w:val="auto"/>
          <w:sz w:val="22"/>
          <w:szCs w:val="22"/>
        </w:rPr>
        <w:t xml:space="preserve">. En: </w:t>
      </w:r>
      <w:hyperlink r:id="rId24" w:anchor="%21/browse/book/3-s2.0-C20171000089" w:history="1">
        <w:r w:rsidR="00FE0F7E" w:rsidRPr="000652E9">
          <w:rPr>
            <w:rStyle w:val="Hipervnculo"/>
            <w:rFonts w:ascii="Verdana" w:hAnsi="Verdana" w:cs="Arial"/>
            <w:b w:val="0"/>
            <w:color w:val="auto"/>
            <w:sz w:val="22"/>
            <w:szCs w:val="22"/>
            <w:u w:val="none"/>
          </w:rPr>
          <w:t>Sleisenger y Fordtran. Enfermedades digestivas y hepáticas</w:t>
        </w:r>
      </w:hyperlink>
      <w:r w:rsidR="00FE0F7E" w:rsidRPr="000652E9">
        <w:rPr>
          <w:rStyle w:val="Hipervnculo"/>
          <w:rFonts w:ascii="Verdana" w:hAnsi="Verdana" w:cs="Arial"/>
          <w:b w:val="0"/>
          <w:color w:val="auto"/>
          <w:sz w:val="22"/>
          <w:szCs w:val="22"/>
          <w:u w:val="none"/>
        </w:rPr>
        <w:t xml:space="preserve">[Internet]. España: Editorial Elsevier. 2018 [Citado 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19"/>
        </w:smartTagPr>
        <w:r w:rsidR="00FE0F7E" w:rsidRPr="000652E9">
          <w:rPr>
            <w:rStyle w:val="Hipervnculo"/>
            <w:rFonts w:ascii="Verdana" w:hAnsi="Verdana" w:cs="Arial"/>
            <w:b w:val="0"/>
            <w:color w:val="auto"/>
            <w:sz w:val="22"/>
            <w:szCs w:val="22"/>
            <w:u w:val="none"/>
          </w:rPr>
          <w:t>23 may 2019</w:t>
        </w:r>
      </w:smartTag>
      <w:r w:rsidR="00FE0F7E" w:rsidRPr="000652E9">
        <w:rPr>
          <w:rStyle w:val="Hipervnculo"/>
          <w:rFonts w:ascii="Verdana" w:hAnsi="Verdana" w:cs="Arial"/>
          <w:b w:val="0"/>
          <w:color w:val="auto"/>
          <w:sz w:val="22"/>
          <w:szCs w:val="22"/>
          <w:u w:val="none"/>
        </w:rPr>
        <w:t>].</w:t>
      </w:r>
      <w:r w:rsidR="00FE0F7E" w:rsidRPr="000652E9">
        <w:rPr>
          <w:rFonts w:ascii="Verdana" w:hAnsi="Verdana" w:cs="Arial"/>
          <w:b w:val="0"/>
          <w:color w:val="auto"/>
          <w:sz w:val="22"/>
          <w:szCs w:val="22"/>
        </w:rPr>
        <w:t xml:space="preserve"> [689-700]. Disponible desde: https://www.clinicalkey.es/#!/content/book/3-s2.0-B9788491132110000425?scrollTo=%23hl0000374</w:t>
      </w:r>
    </w:p>
    <w:p w:rsidR="00DB6DBC" w:rsidRPr="000652E9" w:rsidRDefault="00305875" w:rsidP="000652E9">
      <w:pPr>
        <w:pStyle w:val="Prrafodelista"/>
        <w:numPr>
          <w:ilvl w:val="0"/>
          <w:numId w:val="7"/>
        </w:numPr>
        <w:spacing w:line="360" w:lineRule="auto"/>
        <w:ind w:hanging="578"/>
        <w:jc w:val="both"/>
        <w:rPr>
          <w:rStyle w:val="Hipervnculo"/>
          <w:rFonts w:ascii="Verdana" w:eastAsia="Times New Roman" w:hAnsi="Verdana" w:cs="Arial"/>
          <w:color w:val="auto"/>
          <w:u w:val="none"/>
          <w:lang w:eastAsia="es-ES"/>
        </w:rPr>
      </w:pPr>
      <w:hyperlink r:id="rId25" w:anchor="%21/search/Schoenwolf%20Gary%20C./%7B%22type%22:%22author%22%7D" w:history="1">
        <w:r w:rsidR="00DB6DBC" w:rsidRPr="000652E9">
          <w:rPr>
            <w:rFonts w:ascii="Verdana" w:eastAsia="Times New Roman" w:hAnsi="Verdana" w:cs="Arial"/>
            <w:lang w:val="en-US" w:eastAsia="es-ES"/>
          </w:rPr>
          <w:t xml:space="preserve">Schoenwolf </w:t>
        </w:r>
      </w:hyperlink>
      <w:r w:rsidR="00DB6DBC" w:rsidRPr="000652E9">
        <w:rPr>
          <w:rFonts w:ascii="Verdana" w:eastAsia="Times New Roman" w:hAnsi="Verdana" w:cs="Arial"/>
          <w:lang w:val="en-US" w:eastAsia="es-ES"/>
        </w:rPr>
        <w:t>GC.,</w:t>
      </w:r>
      <w:hyperlink r:id="rId26" w:anchor="%21/search/Bleyl%20Steven%20B./%7B%22type%22:%22author%22%7D" w:history="1">
        <w:r w:rsidR="00DB6DBC" w:rsidRPr="000652E9">
          <w:rPr>
            <w:rFonts w:ascii="Verdana" w:eastAsia="Times New Roman" w:hAnsi="Verdana" w:cs="Arial"/>
            <w:lang w:val="en-US" w:eastAsia="es-ES"/>
          </w:rPr>
          <w:t>Bleyl SB</w:t>
        </w:r>
      </w:hyperlink>
      <w:r w:rsidR="00DB6DBC" w:rsidRPr="000652E9">
        <w:rPr>
          <w:rFonts w:ascii="Verdana" w:eastAsia="Times New Roman" w:hAnsi="Verdana" w:cs="Arial"/>
          <w:lang w:val="en-US" w:eastAsia="es-ES"/>
        </w:rPr>
        <w:t xml:space="preserve">., </w:t>
      </w:r>
      <w:hyperlink r:id="rId27" w:anchor="%21/search/Brauer%20Philip%20R./%7B%22type%22:%22author%22%7D" w:history="1">
        <w:r w:rsidR="00DB6DBC" w:rsidRPr="000652E9">
          <w:rPr>
            <w:rFonts w:ascii="Verdana" w:eastAsia="Times New Roman" w:hAnsi="Verdana" w:cs="Arial"/>
            <w:lang w:val="en-US" w:eastAsia="es-ES"/>
          </w:rPr>
          <w:t xml:space="preserve"> Brauer </w:t>
        </w:r>
      </w:hyperlink>
      <w:r w:rsidR="00DB6DBC" w:rsidRPr="000652E9">
        <w:rPr>
          <w:rFonts w:ascii="Verdana" w:eastAsia="Times New Roman" w:hAnsi="Verdana" w:cs="Arial"/>
          <w:lang w:val="en-US" w:eastAsia="es-ES"/>
        </w:rPr>
        <w:t xml:space="preserve">PR., </w:t>
      </w:r>
      <w:hyperlink r:id="rId28" w:anchor="%21/search/Francis-West%20Philippa%20H./%7B%22type%22:%22author%22%7D" w:history="1">
        <w:r w:rsidR="00DB6DBC" w:rsidRPr="000652E9">
          <w:rPr>
            <w:rFonts w:ascii="Verdana" w:eastAsia="Times New Roman" w:hAnsi="Verdana" w:cs="Arial"/>
            <w:lang w:val="en-US" w:eastAsia="es-ES"/>
          </w:rPr>
          <w:t xml:space="preserve">Francis-West </w:t>
        </w:r>
      </w:hyperlink>
      <w:r w:rsidR="00DB6DBC" w:rsidRPr="000652E9">
        <w:rPr>
          <w:rFonts w:ascii="Verdana" w:eastAsia="Times New Roman" w:hAnsi="Verdana" w:cs="Arial"/>
          <w:lang w:val="en-US" w:eastAsia="es-ES"/>
        </w:rPr>
        <w:t>PH.</w:t>
      </w:r>
      <w:r w:rsidR="00DB6DBC" w:rsidRPr="000652E9">
        <w:rPr>
          <w:rFonts w:ascii="Verdana" w:eastAsia="Times New Roman" w:hAnsi="Verdana" w:cs="Arial"/>
          <w:bCs/>
          <w:kern w:val="36"/>
          <w:lang w:val="en-US" w:eastAsia="es-ES"/>
        </w:rPr>
        <w:t xml:space="preserve"> Development of </w:t>
      </w:r>
      <w:r w:rsidR="00DB6DBC" w:rsidRPr="000652E9">
        <w:rPr>
          <w:rFonts w:ascii="Verdana" w:eastAsia="Times New Roman" w:hAnsi="Verdana" w:cs="Arial"/>
          <w:lang w:val="en-US" w:eastAsia="es-ES"/>
        </w:rPr>
        <w:t>Thorsten B</w:t>
      </w:r>
      <w:r w:rsidR="00DB6DBC" w:rsidRPr="000652E9">
        <w:rPr>
          <w:rFonts w:ascii="Verdana" w:eastAsia="Times New Roman" w:hAnsi="Verdana" w:cs="Arial"/>
          <w:bCs/>
          <w:kern w:val="36"/>
          <w:lang w:val="en-US" w:eastAsia="es-ES"/>
        </w:rPr>
        <w:t xml:space="preserve">the Gastrointestinal Tract. En: </w:t>
      </w:r>
      <w:hyperlink r:id="rId29" w:anchor="%21/browse/book/3-s2.0-C20100689383" w:history="1">
        <w:r w:rsidR="00DB6DBC" w:rsidRPr="000652E9">
          <w:rPr>
            <w:rFonts w:ascii="Verdana" w:eastAsia="Times New Roman" w:hAnsi="Verdana" w:cs="Arial"/>
            <w:lang w:val="en-US" w:eastAsia="es-ES"/>
          </w:rPr>
          <w:t>Larsen's Human Embryology</w:t>
        </w:r>
      </w:hyperlink>
      <w:r w:rsidR="00DB6DBC" w:rsidRPr="000652E9">
        <w:rPr>
          <w:rFonts w:ascii="Verdana" w:hAnsi="Verdana" w:cs="Arial"/>
          <w:lang w:val="en-US"/>
        </w:rPr>
        <w:t xml:space="preserve">[Internet] Livingstone, Elsevier.2015. </w:t>
      </w:r>
      <w:r w:rsidR="00DB6DBC" w:rsidRPr="000652E9">
        <w:rPr>
          <w:rFonts w:ascii="Verdana" w:hAnsi="Verdana" w:cs="Arial"/>
        </w:rPr>
        <w:t>[Citado 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19"/>
        </w:smartTagPr>
        <w:r w:rsidR="00DB6DBC" w:rsidRPr="000652E9">
          <w:rPr>
            <w:rFonts w:ascii="Verdana" w:hAnsi="Verdana" w:cs="Arial"/>
          </w:rPr>
          <w:t>23 May 2019</w:t>
        </w:r>
      </w:smartTag>
      <w:r w:rsidR="00DB6DBC" w:rsidRPr="000652E9">
        <w:rPr>
          <w:rFonts w:ascii="Verdana" w:hAnsi="Verdana" w:cs="Arial"/>
        </w:rPr>
        <w:t>]</w:t>
      </w:r>
      <w:r w:rsidR="00DB6DBC" w:rsidRPr="000652E9">
        <w:rPr>
          <w:rFonts w:ascii="Verdana" w:eastAsia="Times New Roman" w:hAnsi="Verdana" w:cs="Arial"/>
          <w:lang w:eastAsia="es-ES"/>
        </w:rPr>
        <w:t>;</w:t>
      </w:r>
      <w:r w:rsidR="00DB6DBC" w:rsidRPr="000652E9">
        <w:rPr>
          <w:rFonts w:ascii="Verdana" w:hAnsi="Verdana" w:cs="Arial"/>
        </w:rPr>
        <w:t xml:space="preserve"> [</w:t>
      </w:r>
      <w:r w:rsidR="00DB6DBC" w:rsidRPr="000652E9">
        <w:rPr>
          <w:rFonts w:ascii="Verdana" w:eastAsia="Times New Roman" w:hAnsi="Verdana" w:cs="Arial"/>
          <w:lang w:eastAsia="es-ES"/>
        </w:rPr>
        <w:t>341-374</w:t>
      </w:r>
      <w:r w:rsidR="00DB6DBC" w:rsidRPr="000652E9">
        <w:rPr>
          <w:rFonts w:ascii="Verdana" w:hAnsi="Verdana" w:cs="Arial"/>
        </w:rPr>
        <w:t xml:space="preserve">] Disponible desde: </w:t>
      </w:r>
      <w:hyperlink r:id="rId30" w:anchor="!/content/book/3-s2.0-B978145570684600014X?scrollTo=%23top" w:history="1">
        <w:r w:rsidR="00DB6DBC" w:rsidRPr="000652E9">
          <w:rPr>
            <w:rStyle w:val="Hipervnculo"/>
            <w:rFonts w:ascii="Verdana" w:hAnsi="Verdana" w:cs="Arial"/>
            <w:color w:val="auto"/>
            <w:u w:val="none"/>
          </w:rPr>
          <w:t>https://www.clinicalkey.es/#!/content/book/3-s2.0-B978145570684600014X?scrollTo=%23top</w:t>
        </w:r>
      </w:hyperlink>
    </w:p>
    <w:p w:rsidR="00377926" w:rsidRPr="000652E9" w:rsidRDefault="00377926" w:rsidP="0037792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eastAsia="Times New Roman" w:hAnsi="Verdana" w:cs="Arial"/>
          <w:lang w:val="es-MX" w:eastAsia="es-ES"/>
        </w:rPr>
      </w:pPr>
      <w:r w:rsidRPr="000652E9">
        <w:rPr>
          <w:rFonts w:ascii="Verdana" w:eastAsia="Times New Roman" w:hAnsi="Verdana" w:cs="Arial"/>
          <w:lang w:val="es-MX"/>
        </w:rPr>
        <w:t xml:space="preserve">Puente-Fonseca C. Atresia intestinal yeyuno ileal. </w:t>
      </w:r>
      <w:r w:rsidRPr="000652E9">
        <w:rPr>
          <w:rFonts w:ascii="Verdana" w:eastAsia="Times New Roman" w:hAnsi="Verdana" w:cs="Arial"/>
          <w:bCs/>
          <w:lang w:val="es-MX"/>
        </w:rPr>
        <w:t>Medisur</w:t>
      </w:r>
      <w:r w:rsidRPr="000652E9">
        <w:rPr>
          <w:rFonts w:ascii="Verdana" w:eastAsia="Times New Roman" w:hAnsi="Verdana" w:cs="Arial"/>
          <w:lang w:val="es-MX"/>
        </w:rPr>
        <w:t xml:space="preserve"> [revista en Internet]. 2007 [citado 2022 Ene 8]; 3(5): [aprox. 5 p.]. Disponible en: </w:t>
      </w:r>
      <w:hyperlink r:id="rId31" w:history="1">
        <w:r w:rsidRPr="000652E9">
          <w:rPr>
            <w:rFonts w:ascii="Verdana" w:eastAsia="Times New Roman" w:hAnsi="Verdana" w:cs="Arial"/>
            <w:lang w:val="es-MX"/>
          </w:rPr>
          <w:t>http://www.medisur.sld.cu/index.php/medisur/article/view/149</w:t>
        </w:r>
      </w:hyperlink>
    </w:p>
    <w:p w:rsidR="00C328D4" w:rsidRPr="00A1102C" w:rsidRDefault="00C328D4" w:rsidP="00C328D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eastAsia="Times New Roman" w:hAnsi="Verdana" w:cs="Arial"/>
          <w:lang w:val="es-MX" w:eastAsia="es-ES"/>
        </w:rPr>
      </w:pPr>
      <w:r w:rsidRPr="00A1102C">
        <w:rPr>
          <w:rFonts w:ascii="Verdana" w:hAnsi="Verdana" w:cs="Arial"/>
        </w:rPr>
        <w:t xml:space="preserve">Gavín Barros lV. Atresia y estenosis intestinal en paciente pediátrico (Tesis). Riobamba, Ecuador: Escuela Superior Politécnica De Chimborazo; 2019 Disponible en: </w:t>
      </w:r>
      <w:hyperlink r:id="rId32" w:history="1">
        <w:r w:rsidRPr="00A1102C">
          <w:rPr>
            <w:rStyle w:val="Hipervnculo"/>
            <w:rFonts w:ascii="Verdana" w:hAnsi="Verdana" w:cs="Arial"/>
            <w:color w:val="auto"/>
            <w:u w:val="none"/>
          </w:rPr>
          <w:t>http://dspace.espoch.edu.ec/handle/123456789/11919</w:t>
        </w:r>
      </w:hyperlink>
    </w:p>
    <w:p w:rsidR="00377926" w:rsidRPr="00377926" w:rsidRDefault="00377926" w:rsidP="00A1102C">
      <w:pPr>
        <w:pStyle w:val="Prrafodelista"/>
        <w:spacing w:line="360" w:lineRule="auto"/>
        <w:ind w:left="709" w:hanging="283"/>
        <w:jc w:val="both"/>
        <w:rPr>
          <w:rFonts w:ascii="Verdana" w:eastAsia="Times New Roman" w:hAnsi="Verdana" w:cs="Arial"/>
          <w:lang w:eastAsia="es-ES"/>
        </w:rPr>
      </w:pPr>
      <w:r w:rsidRPr="000652E9">
        <w:rPr>
          <w:rFonts w:ascii="Verdana" w:eastAsia="Times New Roman" w:hAnsi="Verdana" w:cs="Arial"/>
          <w:lang w:val="es-MX"/>
        </w:rPr>
        <w:t>13</w:t>
      </w:r>
      <w:r w:rsidR="000652E9" w:rsidRPr="000652E9">
        <w:rPr>
          <w:rFonts w:ascii="Verdana" w:eastAsia="Times New Roman" w:hAnsi="Verdana" w:cs="Arial"/>
          <w:lang w:val="es-MX"/>
        </w:rPr>
        <w:t>. Puente</w:t>
      </w:r>
      <w:r w:rsidRPr="000652E9">
        <w:rPr>
          <w:rFonts w:ascii="Verdana" w:eastAsia="Times New Roman" w:hAnsi="Verdana" w:cs="Arial"/>
          <w:lang w:val="es-MX"/>
        </w:rPr>
        <w:t xml:space="preserve">-Fonseca C. Atresia intestinal yeyuno ileal. </w:t>
      </w:r>
      <w:r w:rsidRPr="000652E9">
        <w:rPr>
          <w:rFonts w:ascii="Verdana" w:eastAsia="Times New Roman" w:hAnsi="Verdana" w:cs="Arial"/>
          <w:bCs/>
          <w:lang w:val="es-MX"/>
        </w:rPr>
        <w:t>Medisur</w:t>
      </w:r>
      <w:r w:rsidRPr="000652E9">
        <w:rPr>
          <w:rFonts w:ascii="Verdana" w:eastAsia="Times New Roman" w:hAnsi="Verdana" w:cs="Arial"/>
          <w:lang w:val="es-MX"/>
        </w:rPr>
        <w:t xml:space="preserve"> [revista en </w:t>
      </w:r>
      <w:r w:rsidR="00A1102C">
        <w:rPr>
          <w:rFonts w:ascii="Verdana" w:eastAsia="Times New Roman" w:hAnsi="Verdana" w:cs="Arial"/>
          <w:lang w:val="es-MX"/>
        </w:rPr>
        <w:t xml:space="preserve">  </w:t>
      </w:r>
      <w:r w:rsidRPr="000652E9">
        <w:rPr>
          <w:rFonts w:ascii="Verdana" w:eastAsia="Times New Roman" w:hAnsi="Verdana" w:cs="Arial"/>
          <w:lang w:val="es-MX"/>
        </w:rPr>
        <w:t xml:space="preserve">Internet]. 2007 [citado 2022 Ene 8]; 3(5): [aprox. 5 p.]. Disponible en: </w:t>
      </w:r>
      <w:hyperlink r:id="rId33" w:history="1">
        <w:r w:rsidRPr="000652E9">
          <w:rPr>
            <w:rFonts w:ascii="Verdana" w:eastAsia="Times New Roman" w:hAnsi="Verdana" w:cs="Arial"/>
            <w:lang w:val="es-MX"/>
          </w:rPr>
          <w:t>http://www.medisur.sld.cu/index.php/medisur/article/view/149</w:t>
        </w:r>
      </w:hyperlink>
    </w:p>
    <w:p w:rsidR="00262B01" w:rsidRPr="00262B01" w:rsidRDefault="00A1102C" w:rsidP="00A1102C">
      <w:pPr>
        <w:spacing w:line="360" w:lineRule="auto"/>
        <w:ind w:left="709" w:hanging="567"/>
        <w:jc w:val="both"/>
        <w:rPr>
          <w:rFonts w:ascii="Verdana" w:eastAsia="Times New Roman" w:hAnsi="Verdana" w:cs="Arial"/>
          <w:lang w:eastAsia="es-ES"/>
        </w:rPr>
      </w:pPr>
      <w:r>
        <w:rPr>
          <w:rFonts w:ascii="Verdana" w:hAnsi="Verdana" w:cs="Arial"/>
        </w:rPr>
        <w:t xml:space="preserve">   </w:t>
      </w:r>
      <w:r w:rsidR="00262B01" w:rsidRPr="00262B01">
        <w:rPr>
          <w:rFonts w:ascii="Verdana" w:hAnsi="Verdana" w:cs="Arial"/>
        </w:rPr>
        <w:t>14</w:t>
      </w:r>
      <w:r w:rsidR="00A85733" w:rsidRPr="00262B01">
        <w:rPr>
          <w:rFonts w:ascii="Verdana" w:hAnsi="Verdana" w:cs="Arial"/>
        </w:rPr>
        <w:t>. Rodríguez</w:t>
      </w:r>
      <w:r w:rsidR="00262B01" w:rsidRPr="00262B01">
        <w:rPr>
          <w:rFonts w:ascii="Verdana" w:hAnsi="Verdana" w:cs="Arial"/>
        </w:rPr>
        <w:t xml:space="preserve">-García R, Rodríguez-García FC. Diagnóstico prenatal de atresia intestinal múltiple. Revista Mexicana de Pediatría [Internet]. 2005 Jul [cited 2019 Apr 8]; 72(4):179–81. Availablefrom: </w:t>
      </w:r>
      <w:hyperlink r:id="rId34" w:history="1">
        <w:r w:rsidR="00262B01" w:rsidRPr="00262B01">
          <w:rPr>
            <w:rStyle w:val="Hipervnculo"/>
            <w:rFonts w:ascii="Verdana" w:hAnsi="Verdana" w:cs="Arial"/>
            <w:color w:val="auto"/>
            <w:u w:val="none"/>
          </w:rPr>
          <w:t>http://search.ebscohost.com/login.aspx?direct=true&amp;db=lth&amp;AN=18154742&amp;lang=es&amp;site=ehost-live</w:t>
        </w:r>
      </w:hyperlink>
    </w:p>
    <w:p w:rsidR="00262B01" w:rsidRPr="00A1102C" w:rsidRDefault="00262B01" w:rsidP="00A1102C">
      <w:pPr>
        <w:pStyle w:val="Piedepgina"/>
        <w:tabs>
          <w:tab w:val="left" w:pos="426"/>
        </w:tabs>
        <w:spacing w:after="160" w:line="360" w:lineRule="auto"/>
        <w:ind w:left="426"/>
        <w:jc w:val="both"/>
        <w:rPr>
          <w:rFonts w:ascii="Verdana" w:eastAsia="Times New Roman" w:hAnsi="Verdana" w:cs="Arial"/>
          <w:bCs/>
        </w:rPr>
      </w:pPr>
      <w:r w:rsidRPr="00A1102C">
        <w:rPr>
          <w:rFonts w:ascii="Verdana" w:hAnsi="Verdana"/>
        </w:rPr>
        <w:t xml:space="preserve">    15.</w:t>
      </w:r>
      <w:hyperlink r:id="rId35" w:anchor="%21/search/Belics%20Z./%7B%22type%22:%22author%22%7D" w:history="1">
        <w:r w:rsidRPr="00A1102C">
          <w:rPr>
            <w:rStyle w:val="Hipervnculo"/>
            <w:rFonts w:ascii="Verdana" w:hAnsi="Verdana" w:cs="Arial"/>
            <w:color w:val="auto"/>
            <w:u w:val="none"/>
            <w:lang w:val="es-MX"/>
          </w:rPr>
          <w:t>Belics</w:t>
        </w:r>
      </w:hyperlink>
      <w:r w:rsidRPr="00A1102C">
        <w:rPr>
          <w:rStyle w:val="Hipervnculo"/>
          <w:rFonts w:ascii="Verdana" w:hAnsi="Verdana" w:cs="Arial"/>
          <w:color w:val="auto"/>
          <w:u w:val="none"/>
          <w:lang w:val="es-MX"/>
        </w:rPr>
        <w:t xml:space="preserve"> Z.</w:t>
      </w:r>
      <w:r w:rsidRPr="00A1102C">
        <w:rPr>
          <w:rFonts w:ascii="Verdana" w:hAnsi="Verdana" w:cs="Arial"/>
          <w:lang w:val="es-MX"/>
        </w:rPr>
        <w:t xml:space="preserve">, </w:t>
      </w:r>
      <w:hyperlink r:id="rId36" w:anchor="%21/search/Fekete%20T./%7B%22type%22:%22author%22%7D" w:history="1">
        <w:r w:rsidRPr="00A1102C">
          <w:rPr>
            <w:rStyle w:val="Hipervnculo"/>
            <w:rFonts w:ascii="Verdana" w:hAnsi="Verdana" w:cs="Arial"/>
            <w:color w:val="auto"/>
            <w:u w:val="none"/>
            <w:lang w:val="es-MX"/>
          </w:rPr>
          <w:t>Fekete</w:t>
        </w:r>
      </w:hyperlink>
      <w:r w:rsidRPr="00A1102C">
        <w:rPr>
          <w:rStyle w:val="Hipervnculo"/>
          <w:rFonts w:ascii="Verdana" w:hAnsi="Verdana" w:cs="Arial"/>
          <w:color w:val="auto"/>
          <w:u w:val="none"/>
          <w:lang w:val="es-MX"/>
        </w:rPr>
        <w:t xml:space="preserve"> T., </w:t>
      </w:r>
      <w:hyperlink r:id="rId37" w:anchor="%21/search/Papp%20Z./%7B%22type%22:%22author%22%7D" w:history="1">
        <w:r w:rsidRPr="00A1102C">
          <w:rPr>
            <w:rStyle w:val="Hipervnculo"/>
            <w:rFonts w:ascii="Verdana" w:hAnsi="Verdana" w:cs="Arial"/>
            <w:color w:val="auto"/>
            <w:u w:val="none"/>
            <w:lang w:val="es-MX"/>
          </w:rPr>
          <w:t>Papp</w:t>
        </w:r>
      </w:hyperlink>
      <w:r w:rsidRPr="00A1102C">
        <w:rPr>
          <w:rStyle w:val="Hipervnculo"/>
          <w:rFonts w:ascii="Verdana" w:hAnsi="Verdana" w:cs="Arial"/>
          <w:color w:val="auto"/>
          <w:u w:val="none"/>
          <w:lang w:val="es-MX"/>
        </w:rPr>
        <w:t xml:space="preserve"> Z.</w:t>
      </w:r>
      <w:r w:rsidRPr="00A1102C">
        <w:rPr>
          <w:rStyle w:val="ng-binding"/>
          <w:rFonts w:ascii="Verdana" w:hAnsi="Verdana" w:cs="Arial"/>
        </w:rPr>
        <w:t xml:space="preserve"> Anomalías gastrointestinales</w:t>
      </w:r>
      <w:r w:rsidRPr="00A1102C">
        <w:rPr>
          <w:rFonts w:ascii="Verdana" w:hAnsi="Verdana" w:cs="Arial"/>
        </w:rPr>
        <w:t>. En:</w:t>
      </w:r>
      <w:r w:rsidRPr="00A1102C">
        <w:rPr>
          <w:rStyle w:val="icon"/>
          <w:rFonts w:ascii="Verdana" w:hAnsi="Verdana" w:cs="Arial"/>
        </w:rPr>
        <w:t> </w:t>
      </w:r>
      <w:r w:rsidRPr="00A1102C">
        <w:rPr>
          <w:rFonts w:ascii="Verdana" w:hAnsi="Verdana" w:cs="Arial"/>
        </w:rPr>
        <w:t xml:space="preserve">Carrera JM., Kurjak, Asim. </w:t>
      </w:r>
      <w:hyperlink r:id="rId38" w:anchor="%21/browse/book/3-s2.0-B9788445818459X50014" w:history="1">
        <w:r w:rsidRPr="00A1102C">
          <w:rPr>
            <w:rStyle w:val="Hipervnculo"/>
            <w:rFonts w:ascii="Verdana" w:hAnsi="Verdana" w:cs="Arial"/>
            <w:color w:val="auto"/>
            <w:u w:val="none"/>
          </w:rPr>
          <w:t>Ecografía en diagnóstico prenatal</w:t>
        </w:r>
      </w:hyperlink>
      <w:r w:rsidRPr="00A1102C">
        <w:rPr>
          <w:rFonts w:ascii="Verdana" w:eastAsia="Times New Roman" w:hAnsi="Verdana" w:cs="Arial"/>
          <w:bCs/>
          <w:kern w:val="32"/>
        </w:rPr>
        <w:t xml:space="preserve">[Internet] </w:t>
      </w:r>
      <w:r w:rsidRPr="00A1102C">
        <w:rPr>
          <w:rFonts w:ascii="Verdana" w:eastAsia="Times New Roman" w:hAnsi="Verdana" w:cs="Arial"/>
          <w:bCs/>
          <w:kern w:val="32"/>
        </w:rPr>
        <w:lastRenderedPageBreak/>
        <w:t xml:space="preserve">España: Editorial Elsevier. 2008. [Citado 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19"/>
        </w:smartTagPr>
        <w:r w:rsidRPr="00A1102C">
          <w:rPr>
            <w:rFonts w:ascii="Verdana" w:eastAsia="Times New Roman" w:hAnsi="Verdana" w:cs="Arial"/>
            <w:bCs/>
            <w:kern w:val="32"/>
          </w:rPr>
          <w:t>23 may 2019</w:t>
        </w:r>
      </w:smartTag>
      <w:r w:rsidRPr="00A1102C">
        <w:rPr>
          <w:rFonts w:ascii="Verdana" w:eastAsia="Times New Roman" w:hAnsi="Verdana" w:cs="Arial"/>
          <w:bCs/>
          <w:kern w:val="32"/>
        </w:rPr>
        <w:t>]; [</w:t>
      </w:r>
      <w:r w:rsidRPr="00A1102C">
        <w:rPr>
          <w:rFonts w:ascii="Verdana" w:hAnsi="Verdana" w:cs="Arial"/>
        </w:rPr>
        <w:t>299-318</w:t>
      </w:r>
      <w:r w:rsidRPr="00A1102C">
        <w:rPr>
          <w:rFonts w:ascii="Verdana" w:eastAsia="Times New Roman" w:hAnsi="Verdana" w:cs="Arial"/>
          <w:bCs/>
          <w:kern w:val="32"/>
        </w:rPr>
        <w:t xml:space="preserve">]. Disponible desde: </w:t>
      </w:r>
      <w:hyperlink r:id="rId39" w:anchor="!/content/book/3-s2.0-B9788445818459500219?scrollTo=%23top" w:history="1">
        <w:r w:rsidRPr="00A1102C">
          <w:rPr>
            <w:rStyle w:val="Hipervnculo"/>
            <w:rFonts w:ascii="Verdana" w:eastAsia="Times New Roman" w:hAnsi="Verdana" w:cs="Arial"/>
            <w:bCs/>
          </w:rPr>
          <w:t>https://www.clinicalkey.es/#!/content/book/3-s2.0-B9788445818459500219?scrollTo=%23top</w:t>
        </w:r>
      </w:hyperlink>
    </w:p>
    <w:p w:rsidR="00262B01" w:rsidRPr="00A1102C" w:rsidRDefault="00262B01" w:rsidP="00A1102C">
      <w:pPr>
        <w:spacing w:line="360" w:lineRule="auto"/>
        <w:ind w:left="567" w:hanging="567"/>
        <w:jc w:val="both"/>
        <w:rPr>
          <w:rStyle w:val="Hipervnculo"/>
          <w:rFonts w:ascii="Verdana" w:hAnsi="Verdana" w:cs="Arial"/>
          <w:color w:val="auto"/>
          <w:u w:val="none"/>
          <w:lang w:val="es-ES"/>
        </w:rPr>
      </w:pPr>
      <w:r w:rsidRPr="00A1102C">
        <w:rPr>
          <w:rFonts w:ascii="Verdana" w:eastAsia="Times New Roman" w:hAnsi="Verdana" w:cs="Arial"/>
          <w:kern w:val="36"/>
          <w:lang w:eastAsia="es-ES"/>
        </w:rPr>
        <w:t>16</w:t>
      </w:r>
      <w:r w:rsidR="00A85733" w:rsidRPr="00A1102C">
        <w:rPr>
          <w:rFonts w:ascii="Verdana" w:eastAsia="Times New Roman" w:hAnsi="Verdana" w:cs="Arial"/>
          <w:kern w:val="36"/>
          <w:lang w:eastAsia="es-ES"/>
        </w:rPr>
        <w:t xml:space="preserve">. </w:t>
      </w:r>
      <w:r w:rsidR="00C328D4" w:rsidRPr="00A1102C">
        <w:rPr>
          <w:rFonts w:ascii="Verdana" w:hAnsi="Verdana" w:cs="Arial"/>
          <w:lang w:val="es-ES"/>
        </w:rPr>
        <w:t xml:space="preserve">Madrigal Rubiales B., VaraCastrodeza A., González Carril F., Fresno Forcelledo M., AblanedoAblanedo P. Atresia colónicamembranosa An EspPediatr [Internet] 1999 [Citado </w:t>
      </w:r>
      <w:smartTag w:uri="urn:schemas-microsoft-com:office:smarttags" w:element="date">
        <w:smartTagPr>
          <w:attr w:name="ls" w:val="trans"/>
          <w:attr w:name="Month" w:val="2"/>
          <w:attr w:name="Day" w:val="23"/>
          <w:attr w:name="Year" w:val="2022"/>
        </w:smartTagPr>
        <w:r w:rsidR="00C328D4" w:rsidRPr="00A1102C">
          <w:rPr>
            <w:rFonts w:ascii="Verdana" w:hAnsi="Verdana" w:cs="Arial"/>
            <w:lang w:val="es-ES"/>
          </w:rPr>
          <w:t>23 Feb 2022</w:t>
        </w:r>
      </w:smartTag>
      <w:r w:rsidR="00C328D4" w:rsidRPr="00A1102C">
        <w:rPr>
          <w:rFonts w:ascii="Verdana" w:hAnsi="Verdana" w:cs="Arial"/>
          <w:lang w:val="es-ES"/>
        </w:rPr>
        <w:t>]; 51:81-83 Disponibleem: https://www.aeped.es/sites/default/files/anales/51-1-19.pdf</w:t>
      </w:r>
    </w:p>
    <w:p w:rsidR="00262B01" w:rsidRPr="00A1102C" w:rsidRDefault="00262B01" w:rsidP="00C0326D">
      <w:pPr>
        <w:pStyle w:val="Piedepgina"/>
        <w:spacing w:after="160" w:line="360" w:lineRule="auto"/>
        <w:ind w:left="567" w:hanging="567"/>
        <w:jc w:val="both"/>
        <w:rPr>
          <w:rFonts w:ascii="Verdana" w:hAnsi="Verdana" w:cs="Arial"/>
        </w:rPr>
      </w:pPr>
      <w:r w:rsidRPr="00A1102C">
        <w:rPr>
          <w:rFonts w:ascii="Verdana" w:hAnsi="Verdana" w:cs="Arial"/>
        </w:rPr>
        <w:t>17</w:t>
      </w:r>
      <w:r w:rsidR="00A85733" w:rsidRPr="00A1102C">
        <w:rPr>
          <w:rFonts w:ascii="Verdana" w:hAnsi="Verdana" w:cs="Arial"/>
        </w:rPr>
        <w:t>. Márquez</w:t>
      </w:r>
      <w:r w:rsidRPr="00A1102C">
        <w:rPr>
          <w:rFonts w:ascii="Verdana" w:hAnsi="Verdana" w:cs="Arial"/>
        </w:rPr>
        <w:t xml:space="preserve">-González RM, Gutiérrez-Padilla JA, Pérez-Rulfo ID, Rodríguez-Ochoa J, Márquez-Amezcua JM, et al. Malformaciones congénitas: visión epidemiológica 2012- 2015 en terapia intensiva neonatal. RevMed [Internet]. 2018 Sep [Citado </w:t>
      </w:r>
      <w:smartTag w:uri="urn:schemas-microsoft-com:office:smarttags" w:element="date">
        <w:smartTagPr>
          <w:attr w:name="ls" w:val="trans"/>
          <w:attr w:name="Month" w:val="5"/>
          <w:attr w:name="Day" w:val="27"/>
          <w:attr w:name="Year" w:val="2019"/>
        </w:smartTagPr>
        <w:r w:rsidRPr="00A1102C">
          <w:rPr>
            <w:rFonts w:ascii="Verdana" w:hAnsi="Verdana" w:cs="Arial"/>
          </w:rPr>
          <w:t>27 May 2019</w:t>
        </w:r>
      </w:smartTag>
      <w:r w:rsidRPr="00A1102C">
        <w:rPr>
          <w:rFonts w:ascii="Verdana" w:hAnsi="Verdana" w:cs="Arial"/>
        </w:rPr>
        <w:t xml:space="preserve">]; 10 (3): [Aprox 7p.]. Disponible en: </w:t>
      </w:r>
      <w:hyperlink r:id="rId40" w:history="1">
        <w:r w:rsidRPr="00A1102C">
          <w:rPr>
            <w:rStyle w:val="Hipervnculo"/>
            <w:rFonts w:ascii="Verdana" w:hAnsi="Verdana" w:cs="Arial"/>
            <w:color w:val="auto"/>
            <w:u w:val="none"/>
          </w:rPr>
          <w:t>https://www.medigraphic.com/cgibin/new/resumen.cgi?IDARTICULO=82595</w:t>
        </w:r>
      </w:hyperlink>
    </w:p>
    <w:p w:rsidR="00262B01" w:rsidRPr="00A1102C" w:rsidRDefault="00262B01" w:rsidP="00C0326D">
      <w:pPr>
        <w:pStyle w:val="Prrafodelista"/>
        <w:spacing w:line="360" w:lineRule="auto"/>
        <w:ind w:left="567" w:hanging="567"/>
        <w:jc w:val="both"/>
        <w:rPr>
          <w:rStyle w:val="Hipervnculo"/>
          <w:rFonts w:ascii="Verdana" w:hAnsi="Verdana" w:cs="Arial"/>
          <w:color w:val="auto"/>
          <w:u w:val="none"/>
        </w:rPr>
      </w:pPr>
      <w:r w:rsidRPr="00A1102C">
        <w:rPr>
          <w:rFonts w:ascii="Verdana" w:eastAsiaTheme="minorEastAsia" w:hAnsi="Verdana" w:cs="Arial"/>
          <w:kern w:val="24"/>
          <w:lang w:val="es-MX"/>
        </w:rPr>
        <w:t>18</w:t>
      </w:r>
      <w:r w:rsidR="00A85733" w:rsidRPr="00A1102C">
        <w:rPr>
          <w:rFonts w:ascii="Verdana" w:eastAsiaTheme="minorEastAsia" w:hAnsi="Verdana" w:cs="Arial"/>
          <w:kern w:val="24"/>
          <w:lang w:val="es-MX"/>
        </w:rPr>
        <w:t xml:space="preserve">. </w:t>
      </w:r>
      <w:r w:rsidRPr="00A1102C">
        <w:rPr>
          <w:rFonts w:ascii="Verdana" w:eastAsiaTheme="minorEastAsia" w:hAnsi="Verdana" w:cs="Arial"/>
          <w:kern w:val="24"/>
        </w:rPr>
        <w:t>Ministerio de Salud Pública.</w:t>
      </w:r>
      <w:r w:rsidRPr="00A1102C">
        <w:rPr>
          <w:rFonts w:ascii="Verdana" w:hAnsi="Verdana" w:cs="Arial"/>
        </w:rPr>
        <w:t xml:space="preserve"> Anuario estadístico 2018.[Internet] Disponible en: </w:t>
      </w:r>
      <w:hyperlink r:id="rId41" w:history="1">
        <w:r w:rsidRPr="00A1102C">
          <w:rPr>
            <w:rStyle w:val="Hipervnculo"/>
            <w:rFonts w:ascii="Verdana" w:hAnsi="Verdana" w:cs="Arial"/>
            <w:color w:val="auto"/>
            <w:u w:val="none"/>
          </w:rPr>
          <w:t>http://files.sld.cu/dne/files/2019/05/Anuario_Estad%C3%ADstico_de_Salud_e_2018_edici%C3%B3n_2019.pdf</w:t>
        </w:r>
      </w:hyperlink>
    </w:p>
    <w:p w:rsidR="00377926" w:rsidRPr="00A1102C" w:rsidRDefault="00C0326D" w:rsidP="00C0326D">
      <w:pPr>
        <w:spacing w:line="360" w:lineRule="auto"/>
        <w:ind w:left="567" w:hanging="567"/>
        <w:jc w:val="both"/>
        <w:rPr>
          <w:rStyle w:val="Hipervnculo"/>
          <w:rFonts w:ascii="Verdana" w:hAnsi="Verdana" w:cs="Arial"/>
          <w:color w:val="auto"/>
          <w:u w:val="none"/>
        </w:rPr>
      </w:pPr>
      <w:r>
        <w:rPr>
          <w:rStyle w:val="Hipervnculo"/>
          <w:rFonts w:ascii="Verdana" w:hAnsi="Verdana" w:cs="Arial"/>
          <w:color w:val="auto"/>
          <w:u w:val="none"/>
        </w:rPr>
        <w:t xml:space="preserve"> </w:t>
      </w:r>
      <w:r w:rsidR="00377926" w:rsidRPr="00A1102C">
        <w:rPr>
          <w:rStyle w:val="Hipervnculo"/>
          <w:rFonts w:ascii="Verdana" w:hAnsi="Verdana" w:cs="Arial"/>
          <w:color w:val="auto"/>
          <w:u w:val="none"/>
        </w:rPr>
        <w:t>19.</w:t>
      </w:r>
      <w:r w:rsidR="00377926" w:rsidRPr="00A1102C">
        <w:rPr>
          <w:rFonts w:ascii="Verdana" w:hAnsi="Verdana" w:cs="Arial"/>
        </w:rPr>
        <w:t xml:space="preserve">Rodríguez-García R, Rodríguez-García FC. Diagnóstico prenatal de atresia intestinal múltiple. Revista Mexicana de Pediatría [Internet]. 2005 Jul [cited 2019 Apr 8]; 72(4):179–81. Availablefrom: </w:t>
      </w:r>
      <w:hyperlink r:id="rId42" w:history="1">
        <w:r w:rsidR="00377926" w:rsidRPr="00A1102C">
          <w:rPr>
            <w:rStyle w:val="Hipervnculo"/>
            <w:rFonts w:ascii="Verdana" w:hAnsi="Verdana" w:cs="Arial"/>
            <w:color w:val="auto"/>
            <w:u w:val="none"/>
          </w:rPr>
          <w:t>http://search.ebscohost.com/login.aspx?direct=true&amp;db=lth&amp;AN=18154742&amp;lang=es&amp;site=ehost-live</w:t>
        </w:r>
      </w:hyperlink>
    </w:p>
    <w:p w:rsidR="00377926" w:rsidRPr="00A1102C" w:rsidRDefault="00377926" w:rsidP="00C0326D">
      <w:pPr>
        <w:spacing w:line="360" w:lineRule="auto"/>
        <w:ind w:left="567" w:hanging="567"/>
        <w:jc w:val="both"/>
        <w:rPr>
          <w:rFonts w:ascii="Verdana" w:hAnsi="Verdana" w:cs="Arial"/>
        </w:rPr>
      </w:pPr>
      <w:r w:rsidRPr="00A1102C">
        <w:rPr>
          <w:rStyle w:val="Hipervnculo"/>
          <w:rFonts w:ascii="Verdana" w:hAnsi="Verdana" w:cs="Arial"/>
          <w:color w:val="auto"/>
          <w:u w:val="none"/>
        </w:rPr>
        <w:t>20.</w:t>
      </w:r>
      <w:r w:rsidRPr="00A1102C">
        <w:rPr>
          <w:rFonts w:ascii="Verdana" w:hAnsi="Verdana" w:cs="Arial"/>
        </w:rPr>
        <w:t xml:space="preserve">Valladárez Suárez  AM. Manejo de las anomalías congénitas gastrointestinales, de pared abdominal y resultados perinatales en el HEODRA (Tesis) León, Nicaragua 2019 </w:t>
      </w:r>
      <w:hyperlink r:id="rId43" w:history="1">
        <w:r w:rsidRPr="00A1102C">
          <w:rPr>
            <w:rFonts w:ascii="Verdana" w:hAnsi="Verdana" w:cs="Arial"/>
          </w:rPr>
          <w:t>http://riul.unanleon.edu.ni:8080/jspui/handle/123456789/7055</w:t>
        </w:r>
      </w:hyperlink>
    </w:p>
    <w:p w:rsidR="000652E9" w:rsidRPr="00A1102C" w:rsidRDefault="000652E9" w:rsidP="00C0326D">
      <w:pPr>
        <w:spacing w:line="360" w:lineRule="auto"/>
        <w:ind w:left="567" w:hanging="567"/>
        <w:jc w:val="both"/>
        <w:rPr>
          <w:rFonts w:ascii="Verdana" w:hAnsi="Verdana" w:cs="Arial"/>
          <w:lang w:val="es-ES"/>
        </w:rPr>
      </w:pPr>
      <w:r w:rsidRPr="00A1102C">
        <w:rPr>
          <w:rFonts w:ascii="Verdana" w:hAnsi="Verdana" w:cs="Arial"/>
        </w:rPr>
        <w:t>21.</w:t>
      </w:r>
      <w:r w:rsidRPr="00A1102C">
        <w:rPr>
          <w:rFonts w:ascii="Verdana" w:hAnsi="Verdana" w:cs="Arial"/>
          <w:lang w:val="es-ES"/>
        </w:rPr>
        <w:t xml:space="preserve">Madrigal Rubiales B., VaraCastrodeza A., González Carril F., Fresno Forcelledo M., AblanedoAblanedo P. Atresia colónicamembranosa An </w:t>
      </w:r>
      <w:r w:rsidRPr="00A1102C">
        <w:rPr>
          <w:rFonts w:ascii="Verdana" w:hAnsi="Verdana" w:cs="Arial"/>
          <w:lang w:val="es-ES"/>
        </w:rPr>
        <w:lastRenderedPageBreak/>
        <w:t xml:space="preserve">EspPediatr [Internet] 1999 [Citado </w:t>
      </w:r>
      <w:smartTag w:uri="urn:schemas-microsoft-com:office:smarttags" w:element="date">
        <w:smartTagPr>
          <w:attr w:name="ls" w:val="trans"/>
          <w:attr w:name="Month" w:val="2"/>
          <w:attr w:name="Day" w:val="23"/>
          <w:attr w:name="Year" w:val="2022"/>
        </w:smartTagPr>
        <w:r w:rsidRPr="00A1102C">
          <w:rPr>
            <w:rFonts w:ascii="Verdana" w:hAnsi="Verdana" w:cs="Arial"/>
            <w:lang w:val="es-ES"/>
          </w:rPr>
          <w:t>23 Feb 2022</w:t>
        </w:r>
      </w:smartTag>
      <w:r w:rsidRPr="00A1102C">
        <w:rPr>
          <w:rFonts w:ascii="Verdana" w:hAnsi="Verdana" w:cs="Arial"/>
          <w:lang w:val="es-ES"/>
        </w:rPr>
        <w:t>]; 51:81-83 Disponibleem: https://www.aeped.es/sites/default/files/anales/51-1-19.pdf</w:t>
      </w:r>
      <w:bookmarkStart w:id="0" w:name="_GoBack"/>
      <w:bookmarkEnd w:id="0"/>
    </w:p>
    <w:p w:rsidR="00377926" w:rsidRPr="00A1102C" w:rsidRDefault="00C328D4" w:rsidP="00C0326D">
      <w:pPr>
        <w:spacing w:line="360" w:lineRule="auto"/>
        <w:ind w:left="567" w:hanging="425"/>
        <w:jc w:val="both"/>
        <w:rPr>
          <w:rFonts w:ascii="Verdana" w:eastAsia="Times New Roman" w:hAnsi="Verdana" w:cs="Arial"/>
          <w:lang w:eastAsia="es-ES"/>
        </w:rPr>
      </w:pPr>
      <w:r w:rsidRPr="00A1102C">
        <w:rPr>
          <w:rFonts w:ascii="Verdana" w:hAnsi="Verdana" w:cs="Arial"/>
        </w:rPr>
        <w:t xml:space="preserve">22. García H., Franco–Gutiérrez M., Rodríguez–Mejía EJ., González–Lara CD. Comorbilidad y letalidad en el primer año de vida en niños con atresia yeyunoileal. Rev. invest. Clín [Internet] 2006 [Citado </w:t>
      </w:r>
      <w:smartTag w:uri="urn:schemas-microsoft-com:office:smarttags" w:element="date">
        <w:smartTagPr>
          <w:attr w:name="ls" w:val="trans"/>
          <w:attr w:name="Month" w:val="2"/>
          <w:attr w:name="Day" w:val="28"/>
          <w:attr w:name="Year" w:val="2022"/>
        </w:smartTagPr>
        <w:r w:rsidRPr="00A1102C">
          <w:rPr>
            <w:rFonts w:ascii="Verdana" w:hAnsi="Verdana" w:cs="Arial"/>
          </w:rPr>
          <w:t>28 Feb 2022</w:t>
        </w:r>
      </w:smartTag>
      <w:r w:rsidRPr="00A1102C">
        <w:rPr>
          <w:rFonts w:ascii="Verdana" w:hAnsi="Verdana" w:cs="Arial"/>
        </w:rPr>
        <w:t xml:space="preserve">] 58(5): [aprox 15 pag.] Disponible en: </w:t>
      </w:r>
      <w:hyperlink r:id="rId44" w:history="1">
        <w:r w:rsidRPr="00A1102C">
          <w:rPr>
            <w:rStyle w:val="Hipervnculo"/>
            <w:rFonts w:ascii="Verdana" w:hAnsi="Verdana" w:cs="Arial"/>
            <w:color w:val="auto"/>
            <w:u w:val="none"/>
          </w:rPr>
          <w:t>http://www.scielo.org.mx/scielo.php?script=sci_arttext&amp;pid=S0034-83762006000500005</w:t>
        </w:r>
      </w:hyperlink>
    </w:p>
    <w:p w:rsidR="00EF6B13" w:rsidRPr="00A1102C" w:rsidRDefault="00377926" w:rsidP="00C0326D">
      <w:pPr>
        <w:pStyle w:val="Prrafodelista"/>
        <w:spacing w:line="360" w:lineRule="auto"/>
        <w:ind w:left="567" w:hanging="567"/>
        <w:jc w:val="both"/>
        <w:rPr>
          <w:rFonts w:ascii="Verdana" w:hAnsi="Verdana" w:cs="Arial"/>
          <w:lang w:val="en-US"/>
        </w:rPr>
      </w:pPr>
      <w:r w:rsidRPr="00A1102C">
        <w:rPr>
          <w:rFonts w:ascii="Verdana" w:hAnsi="Verdana" w:cs="Arial"/>
          <w:lang w:val="en-US"/>
        </w:rPr>
        <w:t xml:space="preserve">23. HayderNeamah H. Factors Associated with Intestinal Atresia and Its Complications. International Ninevah Conference on Medical Sciences (INCMS 2021) [Internet] 2021 [Citado </w:t>
      </w: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38"/>
        </w:smartTagPr>
        <w:r w:rsidRPr="00A1102C">
          <w:rPr>
            <w:rFonts w:ascii="Verdana" w:hAnsi="Verdana" w:cs="Arial"/>
            <w:lang w:val="en-US"/>
          </w:rPr>
          <w:t>3 Mar 2022]; 38</w:t>
        </w:r>
      </w:smartTag>
      <w:r w:rsidRPr="00A1102C">
        <w:rPr>
          <w:rFonts w:ascii="Verdana" w:hAnsi="Verdana" w:cs="Arial"/>
          <w:lang w:val="en-US"/>
        </w:rPr>
        <w:t xml:space="preserve">: 99-102 Disponible en: </w:t>
      </w:r>
      <w:hyperlink r:id="rId45" w:history="1">
        <w:r w:rsidRPr="00A1102C">
          <w:rPr>
            <w:rStyle w:val="Hipervnculo"/>
            <w:rFonts w:ascii="Verdana" w:hAnsi="Verdana" w:cs="Arial"/>
            <w:color w:val="auto"/>
            <w:u w:val="none"/>
            <w:lang w:val="en-US"/>
          </w:rPr>
          <w:t>https://www.researchgate.net/profile/HayderHassan3/publication/357449610_Factors_Associated_with_Intestinal_Atresia_and_Its_Complications/links/61cee723da5d105e550c90dd/Factors-Associated-with-Intestinal-Atresia-and-ItsComplications.pdf</w:t>
        </w:r>
      </w:hyperlink>
    </w:p>
    <w:sectPr w:rsidR="00EF6B13" w:rsidRPr="00A1102C" w:rsidSect="006A6750">
      <w:footerReference w:type="default" r:id="rId46"/>
      <w:footerReference w:type="first" r:id="rId47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9DD" w:rsidRDefault="003009DD" w:rsidP="00FA6E33">
      <w:pPr>
        <w:spacing w:after="0" w:line="240" w:lineRule="auto"/>
      </w:pPr>
      <w:r>
        <w:separator/>
      </w:r>
    </w:p>
  </w:endnote>
  <w:endnote w:type="continuationSeparator" w:id="1">
    <w:p w:rsidR="003009DD" w:rsidRDefault="003009DD" w:rsidP="00FA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3642679"/>
      <w:docPartObj>
        <w:docPartGallery w:val="Page Numbers (Bottom of Page)"/>
        <w:docPartUnique/>
      </w:docPartObj>
    </w:sdtPr>
    <w:sdtContent>
      <w:p w:rsidR="00001AD6" w:rsidRDefault="00001AD6">
        <w:pPr>
          <w:pStyle w:val="Piedepgina"/>
          <w:jc w:val="right"/>
        </w:pPr>
        <w:fldSimple w:instr="PAGE   \* MERGEFORMAT">
          <w:r w:rsidR="00EF2D10">
            <w:rPr>
              <w:noProof/>
            </w:rPr>
            <w:t>4</w:t>
          </w:r>
        </w:fldSimple>
      </w:p>
    </w:sdtContent>
  </w:sdt>
  <w:p w:rsidR="00001AD6" w:rsidRDefault="00001AD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808"/>
      <w:docPartObj>
        <w:docPartGallery w:val="Page Numbers (Bottom of Page)"/>
        <w:docPartUnique/>
      </w:docPartObj>
    </w:sdtPr>
    <w:sdtContent>
      <w:p w:rsidR="00001AD6" w:rsidRDefault="00001AD6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01AD6" w:rsidRDefault="00001A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9DD" w:rsidRDefault="003009DD" w:rsidP="00FA6E33">
      <w:pPr>
        <w:spacing w:after="0" w:line="240" w:lineRule="auto"/>
      </w:pPr>
      <w:r>
        <w:separator/>
      </w:r>
    </w:p>
  </w:footnote>
  <w:footnote w:type="continuationSeparator" w:id="1">
    <w:p w:rsidR="003009DD" w:rsidRDefault="003009DD" w:rsidP="00FA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9F"/>
    <w:multiLevelType w:val="hybridMultilevel"/>
    <w:tmpl w:val="E324933E"/>
    <w:lvl w:ilvl="0" w:tplc="3AF89984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F61410"/>
    <w:multiLevelType w:val="hybridMultilevel"/>
    <w:tmpl w:val="BA84CD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124B2"/>
    <w:multiLevelType w:val="multilevel"/>
    <w:tmpl w:val="FA5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C320C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97069"/>
    <w:multiLevelType w:val="hybridMultilevel"/>
    <w:tmpl w:val="90A0B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3331A"/>
    <w:multiLevelType w:val="hybridMultilevel"/>
    <w:tmpl w:val="47D4FC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15453"/>
    <w:multiLevelType w:val="hybridMultilevel"/>
    <w:tmpl w:val="5936F4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D0CEB"/>
    <w:multiLevelType w:val="hybridMultilevel"/>
    <w:tmpl w:val="96A239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F16FC"/>
    <w:multiLevelType w:val="hybridMultilevel"/>
    <w:tmpl w:val="001C6A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4029A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C4799"/>
    <w:multiLevelType w:val="hybridMultilevel"/>
    <w:tmpl w:val="7E3A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FED"/>
    <w:multiLevelType w:val="hybridMultilevel"/>
    <w:tmpl w:val="D9448348"/>
    <w:lvl w:ilvl="0" w:tplc="0C0A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>
    <w:nsid w:val="25706622"/>
    <w:multiLevelType w:val="multilevel"/>
    <w:tmpl w:val="CFC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14357"/>
    <w:multiLevelType w:val="hybridMultilevel"/>
    <w:tmpl w:val="63EE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231E9"/>
    <w:multiLevelType w:val="hybridMultilevel"/>
    <w:tmpl w:val="D16478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23620"/>
    <w:multiLevelType w:val="hybridMultilevel"/>
    <w:tmpl w:val="FE12C03E"/>
    <w:lvl w:ilvl="0" w:tplc="BBF8C918">
      <w:start w:val="1"/>
      <w:numFmt w:val="decimal"/>
      <w:lvlText w:val="%1-"/>
      <w:lvlJc w:val="left"/>
      <w:pPr>
        <w:ind w:left="51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2E702AF8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B322A"/>
    <w:multiLevelType w:val="hybridMultilevel"/>
    <w:tmpl w:val="5498A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C5E71"/>
    <w:multiLevelType w:val="hybridMultilevel"/>
    <w:tmpl w:val="A7F4D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A6A2E"/>
    <w:multiLevelType w:val="hybridMultilevel"/>
    <w:tmpl w:val="71287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568ED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E28F3"/>
    <w:multiLevelType w:val="hybridMultilevel"/>
    <w:tmpl w:val="62C228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2061B"/>
    <w:multiLevelType w:val="hybridMultilevel"/>
    <w:tmpl w:val="CF1A9F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C7414"/>
    <w:multiLevelType w:val="hybridMultilevel"/>
    <w:tmpl w:val="CD74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65E40"/>
    <w:multiLevelType w:val="hybridMultilevel"/>
    <w:tmpl w:val="16983A1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603D65"/>
    <w:multiLevelType w:val="hybridMultilevel"/>
    <w:tmpl w:val="0B4CC0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35145C"/>
    <w:multiLevelType w:val="hybridMultilevel"/>
    <w:tmpl w:val="A40E1A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175C1E"/>
    <w:multiLevelType w:val="hybridMultilevel"/>
    <w:tmpl w:val="75D274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87BEE"/>
    <w:multiLevelType w:val="hybridMultilevel"/>
    <w:tmpl w:val="6B7A9D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12413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C2749"/>
    <w:multiLevelType w:val="hybridMultilevel"/>
    <w:tmpl w:val="5E1CC44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F4D21"/>
    <w:multiLevelType w:val="hybridMultilevel"/>
    <w:tmpl w:val="630E8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D4478"/>
    <w:multiLevelType w:val="hybridMultilevel"/>
    <w:tmpl w:val="ACC8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61EE9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74DA7"/>
    <w:multiLevelType w:val="hybridMultilevel"/>
    <w:tmpl w:val="674EAC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D6486"/>
    <w:multiLevelType w:val="hybridMultilevel"/>
    <w:tmpl w:val="86AAB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D6A04"/>
    <w:multiLevelType w:val="hybridMultilevel"/>
    <w:tmpl w:val="C9CE80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64EED"/>
    <w:multiLevelType w:val="hybridMultilevel"/>
    <w:tmpl w:val="24CE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1449CF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D75EB"/>
    <w:multiLevelType w:val="hybridMultilevel"/>
    <w:tmpl w:val="F41A4F06"/>
    <w:lvl w:ilvl="0" w:tplc="3AF899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17542"/>
    <w:multiLevelType w:val="hybridMultilevel"/>
    <w:tmpl w:val="062A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D5729"/>
    <w:multiLevelType w:val="hybridMultilevel"/>
    <w:tmpl w:val="FB6E6A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D23B97"/>
    <w:multiLevelType w:val="hybridMultilevel"/>
    <w:tmpl w:val="9DCC2B8E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3">
    <w:nsid w:val="7FED0030"/>
    <w:multiLevelType w:val="hybridMultilevel"/>
    <w:tmpl w:val="B0982C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39"/>
  </w:num>
  <w:num w:numId="4">
    <w:abstractNumId w:val="0"/>
  </w:num>
  <w:num w:numId="5">
    <w:abstractNumId w:val="15"/>
  </w:num>
  <w:num w:numId="6">
    <w:abstractNumId w:val="30"/>
  </w:num>
  <w:num w:numId="7">
    <w:abstractNumId w:val="9"/>
  </w:num>
  <w:num w:numId="8">
    <w:abstractNumId w:val="35"/>
  </w:num>
  <w:num w:numId="9">
    <w:abstractNumId w:val="26"/>
  </w:num>
  <w:num w:numId="10">
    <w:abstractNumId w:val="17"/>
  </w:num>
  <w:num w:numId="11">
    <w:abstractNumId w:val="24"/>
  </w:num>
  <w:num w:numId="12">
    <w:abstractNumId w:val="7"/>
  </w:num>
  <w:num w:numId="13">
    <w:abstractNumId w:val="27"/>
  </w:num>
  <w:num w:numId="14">
    <w:abstractNumId w:val="34"/>
  </w:num>
  <w:num w:numId="15">
    <w:abstractNumId w:val="36"/>
  </w:num>
  <w:num w:numId="16">
    <w:abstractNumId w:val="28"/>
  </w:num>
  <w:num w:numId="17">
    <w:abstractNumId w:val="25"/>
  </w:num>
  <w:num w:numId="18">
    <w:abstractNumId w:val="21"/>
  </w:num>
  <w:num w:numId="19">
    <w:abstractNumId w:val="41"/>
  </w:num>
  <w:num w:numId="20">
    <w:abstractNumId w:val="18"/>
  </w:num>
  <w:num w:numId="21">
    <w:abstractNumId w:val="37"/>
  </w:num>
  <w:num w:numId="22">
    <w:abstractNumId w:val="23"/>
  </w:num>
  <w:num w:numId="23">
    <w:abstractNumId w:val="13"/>
  </w:num>
  <w:num w:numId="24">
    <w:abstractNumId w:val="2"/>
  </w:num>
  <w:num w:numId="25">
    <w:abstractNumId w:val="12"/>
  </w:num>
  <w:num w:numId="26">
    <w:abstractNumId w:val="31"/>
  </w:num>
  <w:num w:numId="27">
    <w:abstractNumId w:val="42"/>
  </w:num>
  <w:num w:numId="28">
    <w:abstractNumId w:val="8"/>
  </w:num>
  <w:num w:numId="29">
    <w:abstractNumId w:val="14"/>
  </w:num>
  <w:num w:numId="30">
    <w:abstractNumId w:val="43"/>
  </w:num>
  <w:num w:numId="31">
    <w:abstractNumId w:val="10"/>
  </w:num>
  <w:num w:numId="32">
    <w:abstractNumId w:val="5"/>
  </w:num>
  <w:num w:numId="33">
    <w:abstractNumId w:val="4"/>
  </w:num>
  <w:num w:numId="34">
    <w:abstractNumId w:val="19"/>
  </w:num>
  <w:num w:numId="35">
    <w:abstractNumId w:val="6"/>
  </w:num>
  <w:num w:numId="36">
    <w:abstractNumId w:val="11"/>
  </w:num>
  <w:num w:numId="37">
    <w:abstractNumId w:val="22"/>
  </w:num>
  <w:num w:numId="38">
    <w:abstractNumId w:val="20"/>
  </w:num>
  <w:num w:numId="39">
    <w:abstractNumId w:val="38"/>
  </w:num>
  <w:num w:numId="40">
    <w:abstractNumId w:val="3"/>
  </w:num>
  <w:num w:numId="41">
    <w:abstractNumId w:val="40"/>
  </w:num>
  <w:num w:numId="42">
    <w:abstractNumId w:val="16"/>
  </w:num>
  <w:num w:numId="43">
    <w:abstractNumId w:val="29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A1C"/>
    <w:rsid w:val="00001AD6"/>
    <w:rsid w:val="00001D3C"/>
    <w:rsid w:val="0000276F"/>
    <w:rsid w:val="000036DA"/>
    <w:rsid w:val="0000371E"/>
    <w:rsid w:val="000115AD"/>
    <w:rsid w:val="00011B50"/>
    <w:rsid w:val="00013D86"/>
    <w:rsid w:val="00015CBE"/>
    <w:rsid w:val="00020A03"/>
    <w:rsid w:val="0002102F"/>
    <w:rsid w:val="00025E25"/>
    <w:rsid w:val="00026AE1"/>
    <w:rsid w:val="00026C09"/>
    <w:rsid w:val="000316AC"/>
    <w:rsid w:val="0003485F"/>
    <w:rsid w:val="00036AB0"/>
    <w:rsid w:val="0003709D"/>
    <w:rsid w:val="0004348E"/>
    <w:rsid w:val="00044D44"/>
    <w:rsid w:val="000453CC"/>
    <w:rsid w:val="0004694F"/>
    <w:rsid w:val="000508AB"/>
    <w:rsid w:val="0005320E"/>
    <w:rsid w:val="00056201"/>
    <w:rsid w:val="000629B5"/>
    <w:rsid w:val="00064D6D"/>
    <w:rsid w:val="00064F1C"/>
    <w:rsid w:val="000652E9"/>
    <w:rsid w:val="00065AF9"/>
    <w:rsid w:val="000716A4"/>
    <w:rsid w:val="00071974"/>
    <w:rsid w:val="00071F5F"/>
    <w:rsid w:val="000724D5"/>
    <w:rsid w:val="000765B8"/>
    <w:rsid w:val="00080968"/>
    <w:rsid w:val="000811F7"/>
    <w:rsid w:val="000823D8"/>
    <w:rsid w:val="000827B4"/>
    <w:rsid w:val="0008331C"/>
    <w:rsid w:val="00083CAC"/>
    <w:rsid w:val="00087B56"/>
    <w:rsid w:val="00091ACA"/>
    <w:rsid w:val="00093F13"/>
    <w:rsid w:val="000949D9"/>
    <w:rsid w:val="0009559D"/>
    <w:rsid w:val="00095EED"/>
    <w:rsid w:val="000A3A54"/>
    <w:rsid w:val="000A678C"/>
    <w:rsid w:val="000A76E8"/>
    <w:rsid w:val="000A7E97"/>
    <w:rsid w:val="000A7F0D"/>
    <w:rsid w:val="000B3B4F"/>
    <w:rsid w:val="000B452F"/>
    <w:rsid w:val="000B4620"/>
    <w:rsid w:val="000D0E31"/>
    <w:rsid w:val="000D2E0B"/>
    <w:rsid w:val="000D790A"/>
    <w:rsid w:val="000E32C6"/>
    <w:rsid w:val="000E3B41"/>
    <w:rsid w:val="000E56AE"/>
    <w:rsid w:val="000F2DD6"/>
    <w:rsid w:val="000F339D"/>
    <w:rsid w:val="000F33ED"/>
    <w:rsid w:val="000F3F38"/>
    <w:rsid w:val="000F4B77"/>
    <w:rsid w:val="000F5C54"/>
    <w:rsid w:val="000F5DB4"/>
    <w:rsid w:val="000F65DE"/>
    <w:rsid w:val="000F7027"/>
    <w:rsid w:val="001019FF"/>
    <w:rsid w:val="0010292F"/>
    <w:rsid w:val="00103C45"/>
    <w:rsid w:val="00110648"/>
    <w:rsid w:val="00110A27"/>
    <w:rsid w:val="00111E51"/>
    <w:rsid w:val="00113638"/>
    <w:rsid w:val="001158F6"/>
    <w:rsid w:val="00115F2E"/>
    <w:rsid w:val="00116791"/>
    <w:rsid w:val="00125256"/>
    <w:rsid w:val="001263A8"/>
    <w:rsid w:val="00127A36"/>
    <w:rsid w:val="00131C3B"/>
    <w:rsid w:val="001321B2"/>
    <w:rsid w:val="00132979"/>
    <w:rsid w:val="00133202"/>
    <w:rsid w:val="00133BB2"/>
    <w:rsid w:val="00135F85"/>
    <w:rsid w:val="00137EB0"/>
    <w:rsid w:val="00141DC5"/>
    <w:rsid w:val="00145919"/>
    <w:rsid w:val="001478F3"/>
    <w:rsid w:val="00147FFC"/>
    <w:rsid w:val="00151F4C"/>
    <w:rsid w:val="001520D3"/>
    <w:rsid w:val="00152E5D"/>
    <w:rsid w:val="00163E0E"/>
    <w:rsid w:val="001718E0"/>
    <w:rsid w:val="0017286E"/>
    <w:rsid w:val="00172D6D"/>
    <w:rsid w:val="001826BA"/>
    <w:rsid w:val="001872E3"/>
    <w:rsid w:val="00190F26"/>
    <w:rsid w:val="0019246D"/>
    <w:rsid w:val="0019526F"/>
    <w:rsid w:val="0019539A"/>
    <w:rsid w:val="001959C0"/>
    <w:rsid w:val="001978DD"/>
    <w:rsid w:val="001A1D7E"/>
    <w:rsid w:val="001A5C2F"/>
    <w:rsid w:val="001C0A9F"/>
    <w:rsid w:val="001C3CF1"/>
    <w:rsid w:val="001C4381"/>
    <w:rsid w:val="001D1105"/>
    <w:rsid w:val="001E0716"/>
    <w:rsid w:val="001E28BD"/>
    <w:rsid w:val="001E34EC"/>
    <w:rsid w:val="001E3945"/>
    <w:rsid w:val="001E520E"/>
    <w:rsid w:val="001E5910"/>
    <w:rsid w:val="001F1715"/>
    <w:rsid w:val="001F18BA"/>
    <w:rsid w:val="001F34B7"/>
    <w:rsid w:val="001F40DD"/>
    <w:rsid w:val="00207016"/>
    <w:rsid w:val="00216549"/>
    <w:rsid w:val="00217B3E"/>
    <w:rsid w:val="00222D75"/>
    <w:rsid w:val="002245E4"/>
    <w:rsid w:val="002265B6"/>
    <w:rsid w:val="00227108"/>
    <w:rsid w:val="00235B47"/>
    <w:rsid w:val="002403E2"/>
    <w:rsid w:val="00242A68"/>
    <w:rsid w:val="00245C06"/>
    <w:rsid w:val="0024627A"/>
    <w:rsid w:val="00253874"/>
    <w:rsid w:val="002557A3"/>
    <w:rsid w:val="00257FB3"/>
    <w:rsid w:val="00260FC7"/>
    <w:rsid w:val="00262B01"/>
    <w:rsid w:val="002659C0"/>
    <w:rsid w:val="00267385"/>
    <w:rsid w:val="00267632"/>
    <w:rsid w:val="0027128A"/>
    <w:rsid w:val="002716C8"/>
    <w:rsid w:val="0027277D"/>
    <w:rsid w:val="00273FDD"/>
    <w:rsid w:val="0027672D"/>
    <w:rsid w:val="0028243D"/>
    <w:rsid w:val="00282B61"/>
    <w:rsid w:val="0028662E"/>
    <w:rsid w:val="00286991"/>
    <w:rsid w:val="00287545"/>
    <w:rsid w:val="002910AA"/>
    <w:rsid w:val="00291A8E"/>
    <w:rsid w:val="002941EB"/>
    <w:rsid w:val="00296253"/>
    <w:rsid w:val="00297190"/>
    <w:rsid w:val="002A180B"/>
    <w:rsid w:val="002A59BC"/>
    <w:rsid w:val="002A5D0E"/>
    <w:rsid w:val="002A608E"/>
    <w:rsid w:val="002B02D5"/>
    <w:rsid w:val="002B10AD"/>
    <w:rsid w:val="002B2AFA"/>
    <w:rsid w:val="002B3C21"/>
    <w:rsid w:val="002B7F83"/>
    <w:rsid w:val="002C1C78"/>
    <w:rsid w:val="002C265C"/>
    <w:rsid w:val="002C3C3F"/>
    <w:rsid w:val="002E09A7"/>
    <w:rsid w:val="002E31E9"/>
    <w:rsid w:val="002E3D18"/>
    <w:rsid w:val="002E7014"/>
    <w:rsid w:val="002E7C97"/>
    <w:rsid w:val="002F0399"/>
    <w:rsid w:val="002F20A1"/>
    <w:rsid w:val="002F25FD"/>
    <w:rsid w:val="002F3FFA"/>
    <w:rsid w:val="002F6EF0"/>
    <w:rsid w:val="002F7F8B"/>
    <w:rsid w:val="003009DD"/>
    <w:rsid w:val="00302611"/>
    <w:rsid w:val="00302DBB"/>
    <w:rsid w:val="00305875"/>
    <w:rsid w:val="00305BFA"/>
    <w:rsid w:val="0030661A"/>
    <w:rsid w:val="003074E5"/>
    <w:rsid w:val="0030788F"/>
    <w:rsid w:val="00312374"/>
    <w:rsid w:val="003135D1"/>
    <w:rsid w:val="003145C1"/>
    <w:rsid w:val="003169D6"/>
    <w:rsid w:val="0031715F"/>
    <w:rsid w:val="00317B0D"/>
    <w:rsid w:val="003208D5"/>
    <w:rsid w:val="00321781"/>
    <w:rsid w:val="00322B72"/>
    <w:rsid w:val="00330351"/>
    <w:rsid w:val="003303A4"/>
    <w:rsid w:val="0033341B"/>
    <w:rsid w:val="003357D6"/>
    <w:rsid w:val="003378CC"/>
    <w:rsid w:val="003400D7"/>
    <w:rsid w:val="003401A4"/>
    <w:rsid w:val="00340AAA"/>
    <w:rsid w:val="00340B9B"/>
    <w:rsid w:val="0034199A"/>
    <w:rsid w:val="00350732"/>
    <w:rsid w:val="00352675"/>
    <w:rsid w:val="00355F7B"/>
    <w:rsid w:val="00357039"/>
    <w:rsid w:val="00357C35"/>
    <w:rsid w:val="00360306"/>
    <w:rsid w:val="003618F4"/>
    <w:rsid w:val="00362C84"/>
    <w:rsid w:val="00364177"/>
    <w:rsid w:val="00370AE6"/>
    <w:rsid w:val="00374572"/>
    <w:rsid w:val="0037671D"/>
    <w:rsid w:val="00377926"/>
    <w:rsid w:val="003810B0"/>
    <w:rsid w:val="003846E7"/>
    <w:rsid w:val="00385324"/>
    <w:rsid w:val="00391E18"/>
    <w:rsid w:val="003923B0"/>
    <w:rsid w:val="003A17CE"/>
    <w:rsid w:val="003A1E99"/>
    <w:rsid w:val="003A2075"/>
    <w:rsid w:val="003A3D97"/>
    <w:rsid w:val="003A3F68"/>
    <w:rsid w:val="003A7559"/>
    <w:rsid w:val="003A77EE"/>
    <w:rsid w:val="003B0249"/>
    <w:rsid w:val="003B05A6"/>
    <w:rsid w:val="003B09BB"/>
    <w:rsid w:val="003B2EAA"/>
    <w:rsid w:val="003B7C39"/>
    <w:rsid w:val="003C0467"/>
    <w:rsid w:val="003C3878"/>
    <w:rsid w:val="003D1C41"/>
    <w:rsid w:val="003D23C0"/>
    <w:rsid w:val="003D23D6"/>
    <w:rsid w:val="003E4CA8"/>
    <w:rsid w:val="003E7F0C"/>
    <w:rsid w:val="003F0F1D"/>
    <w:rsid w:val="003F15EF"/>
    <w:rsid w:val="003F6F5B"/>
    <w:rsid w:val="0040598A"/>
    <w:rsid w:val="00407FAA"/>
    <w:rsid w:val="0041055D"/>
    <w:rsid w:val="0041210A"/>
    <w:rsid w:val="004167FB"/>
    <w:rsid w:val="0041783A"/>
    <w:rsid w:val="00422F99"/>
    <w:rsid w:val="0042456D"/>
    <w:rsid w:val="00431C09"/>
    <w:rsid w:val="00432962"/>
    <w:rsid w:val="00442936"/>
    <w:rsid w:val="00443974"/>
    <w:rsid w:val="0044482A"/>
    <w:rsid w:val="00446E2A"/>
    <w:rsid w:val="00450F2E"/>
    <w:rsid w:val="00451C27"/>
    <w:rsid w:val="00452FF5"/>
    <w:rsid w:val="004538BF"/>
    <w:rsid w:val="00454ADF"/>
    <w:rsid w:val="004560F6"/>
    <w:rsid w:val="004563AC"/>
    <w:rsid w:val="00456509"/>
    <w:rsid w:val="0045725C"/>
    <w:rsid w:val="004602DC"/>
    <w:rsid w:val="00461114"/>
    <w:rsid w:val="00461EBA"/>
    <w:rsid w:val="004668B3"/>
    <w:rsid w:val="0046759A"/>
    <w:rsid w:val="00474BDB"/>
    <w:rsid w:val="00475C8A"/>
    <w:rsid w:val="00476111"/>
    <w:rsid w:val="004763CC"/>
    <w:rsid w:val="00480104"/>
    <w:rsid w:val="00480DF9"/>
    <w:rsid w:val="00481BE2"/>
    <w:rsid w:val="00490043"/>
    <w:rsid w:val="0049064A"/>
    <w:rsid w:val="0049099D"/>
    <w:rsid w:val="00492555"/>
    <w:rsid w:val="00492FD6"/>
    <w:rsid w:val="00493FD7"/>
    <w:rsid w:val="00494F72"/>
    <w:rsid w:val="00496380"/>
    <w:rsid w:val="004A01AF"/>
    <w:rsid w:val="004A61CA"/>
    <w:rsid w:val="004B02DF"/>
    <w:rsid w:val="004B2FDE"/>
    <w:rsid w:val="004B3588"/>
    <w:rsid w:val="004B38BD"/>
    <w:rsid w:val="004B6863"/>
    <w:rsid w:val="004B7657"/>
    <w:rsid w:val="004C0D4E"/>
    <w:rsid w:val="004C5EBB"/>
    <w:rsid w:val="004C7198"/>
    <w:rsid w:val="004E12EF"/>
    <w:rsid w:val="004E1F61"/>
    <w:rsid w:val="004E261E"/>
    <w:rsid w:val="004E3FEB"/>
    <w:rsid w:val="004F18AC"/>
    <w:rsid w:val="004F3D5D"/>
    <w:rsid w:val="0050301F"/>
    <w:rsid w:val="00503F43"/>
    <w:rsid w:val="0050489F"/>
    <w:rsid w:val="00507E44"/>
    <w:rsid w:val="00511D3C"/>
    <w:rsid w:val="005120A4"/>
    <w:rsid w:val="005137A3"/>
    <w:rsid w:val="005139FC"/>
    <w:rsid w:val="00516AC0"/>
    <w:rsid w:val="005201E7"/>
    <w:rsid w:val="0052098B"/>
    <w:rsid w:val="00526ABC"/>
    <w:rsid w:val="00526DB2"/>
    <w:rsid w:val="00526DC2"/>
    <w:rsid w:val="005275BE"/>
    <w:rsid w:val="00536B79"/>
    <w:rsid w:val="00537056"/>
    <w:rsid w:val="0054165F"/>
    <w:rsid w:val="00542944"/>
    <w:rsid w:val="00546682"/>
    <w:rsid w:val="00550427"/>
    <w:rsid w:val="00551E0B"/>
    <w:rsid w:val="00552B4E"/>
    <w:rsid w:val="00555CF8"/>
    <w:rsid w:val="00560A68"/>
    <w:rsid w:val="005612B1"/>
    <w:rsid w:val="00563DEC"/>
    <w:rsid w:val="0057195E"/>
    <w:rsid w:val="005856E4"/>
    <w:rsid w:val="00587868"/>
    <w:rsid w:val="00587FD8"/>
    <w:rsid w:val="00590862"/>
    <w:rsid w:val="00591F7D"/>
    <w:rsid w:val="005A1881"/>
    <w:rsid w:val="005A2665"/>
    <w:rsid w:val="005A48AF"/>
    <w:rsid w:val="005A6B85"/>
    <w:rsid w:val="005A72AF"/>
    <w:rsid w:val="005B0FEC"/>
    <w:rsid w:val="005B30F3"/>
    <w:rsid w:val="005C076E"/>
    <w:rsid w:val="005C35DD"/>
    <w:rsid w:val="005C71BD"/>
    <w:rsid w:val="005D0895"/>
    <w:rsid w:val="005D2338"/>
    <w:rsid w:val="005D39F2"/>
    <w:rsid w:val="005D3A1C"/>
    <w:rsid w:val="005D59B1"/>
    <w:rsid w:val="005D7E43"/>
    <w:rsid w:val="005E0C41"/>
    <w:rsid w:val="005E453E"/>
    <w:rsid w:val="005E6A55"/>
    <w:rsid w:val="005E701B"/>
    <w:rsid w:val="005F4AED"/>
    <w:rsid w:val="005F79F5"/>
    <w:rsid w:val="00604A3A"/>
    <w:rsid w:val="006076B3"/>
    <w:rsid w:val="00617A37"/>
    <w:rsid w:val="006202FC"/>
    <w:rsid w:val="00621A31"/>
    <w:rsid w:val="00625440"/>
    <w:rsid w:val="006306E4"/>
    <w:rsid w:val="00631DB5"/>
    <w:rsid w:val="006320CE"/>
    <w:rsid w:val="00641022"/>
    <w:rsid w:val="00643175"/>
    <w:rsid w:val="006509A3"/>
    <w:rsid w:val="00653343"/>
    <w:rsid w:val="00656CE0"/>
    <w:rsid w:val="0066458D"/>
    <w:rsid w:val="006666B9"/>
    <w:rsid w:val="00672A83"/>
    <w:rsid w:val="006753B6"/>
    <w:rsid w:val="006771E2"/>
    <w:rsid w:val="006871B5"/>
    <w:rsid w:val="006909F1"/>
    <w:rsid w:val="00691A97"/>
    <w:rsid w:val="00691AB4"/>
    <w:rsid w:val="00691F22"/>
    <w:rsid w:val="00693C4A"/>
    <w:rsid w:val="006941AA"/>
    <w:rsid w:val="00694E73"/>
    <w:rsid w:val="00695BF7"/>
    <w:rsid w:val="006A0F81"/>
    <w:rsid w:val="006A262F"/>
    <w:rsid w:val="006A64A5"/>
    <w:rsid w:val="006A6692"/>
    <w:rsid w:val="006A6750"/>
    <w:rsid w:val="006B0EC2"/>
    <w:rsid w:val="006B0F27"/>
    <w:rsid w:val="006B36C9"/>
    <w:rsid w:val="006B3961"/>
    <w:rsid w:val="006C0BDF"/>
    <w:rsid w:val="006C41EE"/>
    <w:rsid w:val="006C4548"/>
    <w:rsid w:val="006C7113"/>
    <w:rsid w:val="006D2A03"/>
    <w:rsid w:val="006E4DA9"/>
    <w:rsid w:val="006E4DE5"/>
    <w:rsid w:val="006E51C3"/>
    <w:rsid w:val="006F108D"/>
    <w:rsid w:val="006F3149"/>
    <w:rsid w:val="006F6807"/>
    <w:rsid w:val="006F6F25"/>
    <w:rsid w:val="00700063"/>
    <w:rsid w:val="007001C5"/>
    <w:rsid w:val="0070067D"/>
    <w:rsid w:val="007134EA"/>
    <w:rsid w:val="00713BBF"/>
    <w:rsid w:val="00717572"/>
    <w:rsid w:val="00717A39"/>
    <w:rsid w:val="00717C8C"/>
    <w:rsid w:val="007221EF"/>
    <w:rsid w:val="0072247A"/>
    <w:rsid w:val="00722FF0"/>
    <w:rsid w:val="007242C0"/>
    <w:rsid w:val="00725A6E"/>
    <w:rsid w:val="00725E3A"/>
    <w:rsid w:val="007318A6"/>
    <w:rsid w:val="0073371B"/>
    <w:rsid w:val="00734630"/>
    <w:rsid w:val="00734DC9"/>
    <w:rsid w:val="00735B6F"/>
    <w:rsid w:val="007370EA"/>
    <w:rsid w:val="00737EF0"/>
    <w:rsid w:val="00740861"/>
    <w:rsid w:val="00741479"/>
    <w:rsid w:val="00744000"/>
    <w:rsid w:val="007471EF"/>
    <w:rsid w:val="0074778C"/>
    <w:rsid w:val="00752144"/>
    <w:rsid w:val="00752C29"/>
    <w:rsid w:val="007535F8"/>
    <w:rsid w:val="007620A8"/>
    <w:rsid w:val="00763E51"/>
    <w:rsid w:val="007744F0"/>
    <w:rsid w:val="007755E1"/>
    <w:rsid w:val="00777741"/>
    <w:rsid w:val="00784B6A"/>
    <w:rsid w:val="007851DA"/>
    <w:rsid w:val="00790BAE"/>
    <w:rsid w:val="00796D32"/>
    <w:rsid w:val="00797BCE"/>
    <w:rsid w:val="007A1AAD"/>
    <w:rsid w:val="007A60ED"/>
    <w:rsid w:val="007B198F"/>
    <w:rsid w:val="007C4317"/>
    <w:rsid w:val="007C6339"/>
    <w:rsid w:val="007D0C20"/>
    <w:rsid w:val="007D131B"/>
    <w:rsid w:val="007E120C"/>
    <w:rsid w:val="007E2A55"/>
    <w:rsid w:val="007E75AA"/>
    <w:rsid w:val="008024E2"/>
    <w:rsid w:val="008055DA"/>
    <w:rsid w:val="008058B7"/>
    <w:rsid w:val="00805CDD"/>
    <w:rsid w:val="0080661B"/>
    <w:rsid w:val="00807D66"/>
    <w:rsid w:val="008101BD"/>
    <w:rsid w:val="0081165D"/>
    <w:rsid w:val="00813034"/>
    <w:rsid w:val="00814039"/>
    <w:rsid w:val="00820AFC"/>
    <w:rsid w:val="00820E62"/>
    <w:rsid w:val="00821F6A"/>
    <w:rsid w:val="00822931"/>
    <w:rsid w:val="0082353F"/>
    <w:rsid w:val="00824D1E"/>
    <w:rsid w:val="00830808"/>
    <w:rsid w:val="0083391C"/>
    <w:rsid w:val="00835231"/>
    <w:rsid w:val="00837A5F"/>
    <w:rsid w:val="00844E12"/>
    <w:rsid w:val="00845487"/>
    <w:rsid w:val="00851A48"/>
    <w:rsid w:val="00855AB0"/>
    <w:rsid w:val="00855C20"/>
    <w:rsid w:val="00855E91"/>
    <w:rsid w:val="00861899"/>
    <w:rsid w:val="008636B0"/>
    <w:rsid w:val="00875F03"/>
    <w:rsid w:val="0087601B"/>
    <w:rsid w:val="0087627C"/>
    <w:rsid w:val="00876D00"/>
    <w:rsid w:val="0087762A"/>
    <w:rsid w:val="00877E03"/>
    <w:rsid w:val="00877F65"/>
    <w:rsid w:val="008826DD"/>
    <w:rsid w:val="00883151"/>
    <w:rsid w:val="008871BE"/>
    <w:rsid w:val="008927F5"/>
    <w:rsid w:val="008942C3"/>
    <w:rsid w:val="0089533B"/>
    <w:rsid w:val="00897165"/>
    <w:rsid w:val="008A305F"/>
    <w:rsid w:val="008A52E9"/>
    <w:rsid w:val="008B102C"/>
    <w:rsid w:val="008B31E7"/>
    <w:rsid w:val="008B549F"/>
    <w:rsid w:val="008C22DF"/>
    <w:rsid w:val="008C25D0"/>
    <w:rsid w:val="008C75B6"/>
    <w:rsid w:val="008D1C47"/>
    <w:rsid w:val="008D3ABC"/>
    <w:rsid w:val="008D580C"/>
    <w:rsid w:val="008E2A4C"/>
    <w:rsid w:val="008E43C0"/>
    <w:rsid w:val="008E6F80"/>
    <w:rsid w:val="008F17EC"/>
    <w:rsid w:val="008F4156"/>
    <w:rsid w:val="009010B1"/>
    <w:rsid w:val="00902F9F"/>
    <w:rsid w:val="009074D9"/>
    <w:rsid w:val="00911C05"/>
    <w:rsid w:val="009149A9"/>
    <w:rsid w:val="00915B94"/>
    <w:rsid w:val="00916774"/>
    <w:rsid w:val="00917729"/>
    <w:rsid w:val="00922966"/>
    <w:rsid w:val="00923525"/>
    <w:rsid w:val="00923E82"/>
    <w:rsid w:val="00930EC8"/>
    <w:rsid w:val="00933203"/>
    <w:rsid w:val="0093375E"/>
    <w:rsid w:val="00933CB4"/>
    <w:rsid w:val="009342B3"/>
    <w:rsid w:val="00942BE4"/>
    <w:rsid w:val="00943FAC"/>
    <w:rsid w:val="00944185"/>
    <w:rsid w:val="00944DFD"/>
    <w:rsid w:val="00945E1B"/>
    <w:rsid w:val="00946C5A"/>
    <w:rsid w:val="009604A1"/>
    <w:rsid w:val="009617E9"/>
    <w:rsid w:val="00965ED2"/>
    <w:rsid w:val="00965F1F"/>
    <w:rsid w:val="00965FCC"/>
    <w:rsid w:val="00966213"/>
    <w:rsid w:val="00975317"/>
    <w:rsid w:val="00975813"/>
    <w:rsid w:val="00975A2E"/>
    <w:rsid w:val="00983746"/>
    <w:rsid w:val="0098418D"/>
    <w:rsid w:val="009841DB"/>
    <w:rsid w:val="009876E1"/>
    <w:rsid w:val="0099062A"/>
    <w:rsid w:val="00997E93"/>
    <w:rsid w:val="009A09AE"/>
    <w:rsid w:val="009A2F04"/>
    <w:rsid w:val="009A31F1"/>
    <w:rsid w:val="009A3233"/>
    <w:rsid w:val="009B1AD9"/>
    <w:rsid w:val="009B2A34"/>
    <w:rsid w:val="009B7810"/>
    <w:rsid w:val="009C1D2D"/>
    <w:rsid w:val="009C2F97"/>
    <w:rsid w:val="009C5D74"/>
    <w:rsid w:val="009D09CD"/>
    <w:rsid w:val="009D5B91"/>
    <w:rsid w:val="009E0985"/>
    <w:rsid w:val="009E0ECA"/>
    <w:rsid w:val="009E1A02"/>
    <w:rsid w:val="009E34DA"/>
    <w:rsid w:val="009E3A27"/>
    <w:rsid w:val="009E3F60"/>
    <w:rsid w:val="009E5833"/>
    <w:rsid w:val="00A05422"/>
    <w:rsid w:val="00A06491"/>
    <w:rsid w:val="00A1102C"/>
    <w:rsid w:val="00A150B3"/>
    <w:rsid w:val="00A15570"/>
    <w:rsid w:val="00A179CE"/>
    <w:rsid w:val="00A20C81"/>
    <w:rsid w:val="00A21C01"/>
    <w:rsid w:val="00A23C29"/>
    <w:rsid w:val="00A262D3"/>
    <w:rsid w:val="00A27476"/>
    <w:rsid w:val="00A27F4C"/>
    <w:rsid w:val="00A32058"/>
    <w:rsid w:val="00A329D0"/>
    <w:rsid w:val="00A32CC2"/>
    <w:rsid w:val="00A3766D"/>
    <w:rsid w:val="00A41BAA"/>
    <w:rsid w:val="00A434D1"/>
    <w:rsid w:val="00A45E37"/>
    <w:rsid w:val="00A47C36"/>
    <w:rsid w:val="00A51584"/>
    <w:rsid w:val="00A5197C"/>
    <w:rsid w:val="00A5336A"/>
    <w:rsid w:val="00A5541E"/>
    <w:rsid w:val="00A55FEC"/>
    <w:rsid w:val="00A62AFA"/>
    <w:rsid w:val="00A63A36"/>
    <w:rsid w:val="00A668AA"/>
    <w:rsid w:val="00A66C5C"/>
    <w:rsid w:val="00A700D8"/>
    <w:rsid w:val="00A71D89"/>
    <w:rsid w:val="00A75958"/>
    <w:rsid w:val="00A80C33"/>
    <w:rsid w:val="00A81ACD"/>
    <w:rsid w:val="00A831E1"/>
    <w:rsid w:val="00A83CC9"/>
    <w:rsid w:val="00A85733"/>
    <w:rsid w:val="00A94790"/>
    <w:rsid w:val="00AA16A9"/>
    <w:rsid w:val="00AA3776"/>
    <w:rsid w:val="00AA5AA6"/>
    <w:rsid w:val="00AB0218"/>
    <w:rsid w:val="00AB02A6"/>
    <w:rsid w:val="00AB02C8"/>
    <w:rsid w:val="00AB099C"/>
    <w:rsid w:val="00AB2F12"/>
    <w:rsid w:val="00AB3899"/>
    <w:rsid w:val="00AB4681"/>
    <w:rsid w:val="00AD0B79"/>
    <w:rsid w:val="00AE180E"/>
    <w:rsid w:val="00AE2192"/>
    <w:rsid w:val="00AE46F1"/>
    <w:rsid w:val="00AE5548"/>
    <w:rsid w:val="00AE5C7E"/>
    <w:rsid w:val="00AF0F12"/>
    <w:rsid w:val="00AF1C64"/>
    <w:rsid w:val="00AF3972"/>
    <w:rsid w:val="00AF3F7C"/>
    <w:rsid w:val="00AF4058"/>
    <w:rsid w:val="00AF5C7B"/>
    <w:rsid w:val="00AF6077"/>
    <w:rsid w:val="00AF65E9"/>
    <w:rsid w:val="00AF7BCE"/>
    <w:rsid w:val="00B06EED"/>
    <w:rsid w:val="00B11B9A"/>
    <w:rsid w:val="00B129D0"/>
    <w:rsid w:val="00B1332E"/>
    <w:rsid w:val="00B144B6"/>
    <w:rsid w:val="00B1507D"/>
    <w:rsid w:val="00B16C9E"/>
    <w:rsid w:val="00B208FB"/>
    <w:rsid w:val="00B22EE8"/>
    <w:rsid w:val="00B23670"/>
    <w:rsid w:val="00B30763"/>
    <w:rsid w:val="00B33EB7"/>
    <w:rsid w:val="00B42EEA"/>
    <w:rsid w:val="00B43D5C"/>
    <w:rsid w:val="00B469AB"/>
    <w:rsid w:val="00B52874"/>
    <w:rsid w:val="00B6583A"/>
    <w:rsid w:val="00B6789D"/>
    <w:rsid w:val="00B70363"/>
    <w:rsid w:val="00B70632"/>
    <w:rsid w:val="00B74F24"/>
    <w:rsid w:val="00B75900"/>
    <w:rsid w:val="00B7637A"/>
    <w:rsid w:val="00B77299"/>
    <w:rsid w:val="00B8713D"/>
    <w:rsid w:val="00B872DE"/>
    <w:rsid w:val="00B87BA7"/>
    <w:rsid w:val="00B90D53"/>
    <w:rsid w:val="00B922C7"/>
    <w:rsid w:val="00B9613D"/>
    <w:rsid w:val="00B96372"/>
    <w:rsid w:val="00BA1AE1"/>
    <w:rsid w:val="00BA26EE"/>
    <w:rsid w:val="00BA2B69"/>
    <w:rsid w:val="00BA3EAF"/>
    <w:rsid w:val="00BA51E7"/>
    <w:rsid w:val="00BA5D8A"/>
    <w:rsid w:val="00BB1559"/>
    <w:rsid w:val="00BB48A7"/>
    <w:rsid w:val="00BC2138"/>
    <w:rsid w:val="00BC245A"/>
    <w:rsid w:val="00BC5172"/>
    <w:rsid w:val="00BC6152"/>
    <w:rsid w:val="00BC644C"/>
    <w:rsid w:val="00BD351E"/>
    <w:rsid w:val="00BD3D71"/>
    <w:rsid w:val="00BE5FB3"/>
    <w:rsid w:val="00BE661D"/>
    <w:rsid w:val="00BE7D9A"/>
    <w:rsid w:val="00BF243B"/>
    <w:rsid w:val="00BF2589"/>
    <w:rsid w:val="00BF4FFE"/>
    <w:rsid w:val="00BF55A5"/>
    <w:rsid w:val="00C015BF"/>
    <w:rsid w:val="00C02113"/>
    <w:rsid w:val="00C0326D"/>
    <w:rsid w:val="00C03CE0"/>
    <w:rsid w:val="00C05189"/>
    <w:rsid w:val="00C07C4D"/>
    <w:rsid w:val="00C1081B"/>
    <w:rsid w:val="00C10C4B"/>
    <w:rsid w:val="00C10FC6"/>
    <w:rsid w:val="00C11A46"/>
    <w:rsid w:val="00C16452"/>
    <w:rsid w:val="00C206BF"/>
    <w:rsid w:val="00C21B07"/>
    <w:rsid w:val="00C27A3C"/>
    <w:rsid w:val="00C328D4"/>
    <w:rsid w:val="00C3469B"/>
    <w:rsid w:val="00C3649F"/>
    <w:rsid w:val="00C37024"/>
    <w:rsid w:val="00C408D5"/>
    <w:rsid w:val="00C41987"/>
    <w:rsid w:val="00C46168"/>
    <w:rsid w:val="00C46D2F"/>
    <w:rsid w:val="00C5484F"/>
    <w:rsid w:val="00C577D9"/>
    <w:rsid w:val="00C60D4F"/>
    <w:rsid w:val="00C61D67"/>
    <w:rsid w:val="00C65301"/>
    <w:rsid w:val="00C66232"/>
    <w:rsid w:val="00C714E0"/>
    <w:rsid w:val="00C73AA5"/>
    <w:rsid w:val="00C76470"/>
    <w:rsid w:val="00C76909"/>
    <w:rsid w:val="00C84AF0"/>
    <w:rsid w:val="00C90738"/>
    <w:rsid w:val="00C91717"/>
    <w:rsid w:val="00C931A0"/>
    <w:rsid w:val="00C936EF"/>
    <w:rsid w:val="00C93C79"/>
    <w:rsid w:val="00C93CCC"/>
    <w:rsid w:val="00C966C1"/>
    <w:rsid w:val="00C96924"/>
    <w:rsid w:val="00CA0FC8"/>
    <w:rsid w:val="00CA1B87"/>
    <w:rsid w:val="00CA1E6A"/>
    <w:rsid w:val="00CA7EEA"/>
    <w:rsid w:val="00CB10E4"/>
    <w:rsid w:val="00CB16B5"/>
    <w:rsid w:val="00CB204B"/>
    <w:rsid w:val="00CB2186"/>
    <w:rsid w:val="00CB62C5"/>
    <w:rsid w:val="00CB6862"/>
    <w:rsid w:val="00CB6BD5"/>
    <w:rsid w:val="00CB7278"/>
    <w:rsid w:val="00CC3798"/>
    <w:rsid w:val="00CC5D84"/>
    <w:rsid w:val="00CC759E"/>
    <w:rsid w:val="00CC7E77"/>
    <w:rsid w:val="00CD10FA"/>
    <w:rsid w:val="00CD1996"/>
    <w:rsid w:val="00CD29E7"/>
    <w:rsid w:val="00CD4BBE"/>
    <w:rsid w:val="00CE1638"/>
    <w:rsid w:val="00CE1B23"/>
    <w:rsid w:val="00CE27C1"/>
    <w:rsid w:val="00CF17DF"/>
    <w:rsid w:val="00CF3D0D"/>
    <w:rsid w:val="00CF4006"/>
    <w:rsid w:val="00CF40AA"/>
    <w:rsid w:val="00CF4C4B"/>
    <w:rsid w:val="00CF5AD2"/>
    <w:rsid w:val="00CF7886"/>
    <w:rsid w:val="00CF7942"/>
    <w:rsid w:val="00D00A02"/>
    <w:rsid w:val="00D01CAA"/>
    <w:rsid w:val="00D029B0"/>
    <w:rsid w:val="00D044A2"/>
    <w:rsid w:val="00D04ABB"/>
    <w:rsid w:val="00D0542B"/>
    <w:rsid w:val="00D05B31"/>
    <w:rsid w:val="00D129B9"/>
    <w:rsid w:val="00D15564"/>
    <w:rsid w:val="00D24A99"/>
    <w:rsid w:val="00D24F0B"/>
    <w:rsid w:val="00D273C8"/>
    <w:rsid w:val="00D3326D"/>
    <w:rsid w:val="00D35223"/>
    <w:rsid w:val="00D3660A"/>
    <w:rsid w:val="00D37B18"/>
    <w:rsid w:val="00D40EAE"/>
    <w:rsid w:val="00D41980"/>
    <w:rsid w:val="00D44E33"/>
    <w:rsid w:val="00D464AF"/>
    <w:rsid w:val="00D5125F"/>
    <w:rsid w:val="00D541CF"/>
    <w:rsid w:val="00D542E4"/>
    <w:rsid w:val="00D56A62"/>
    <w:rsid w:val="00D61D19"/>
    <w:rsid w:val="00D627E0"/>
    <w:rsid w:val="00D62BBB"/>
    <w:rsid w:val="00D64A19"/>
    <w:rsid w:val="00D67A0C"/>
    <w:rsid w:val="00D67C2A"/>
    <w:rsid w:val="00D71854"/>
    <w:rsid w:val="00D73742"/>
    <w:rsid w:val="00D73D51"/>
    <w:rsid w:val="00D74EAB"/>
    <w:rsid w:val="00D80207"/>
    <w:rsid w:val="00D814E2"/>
    <w:rsid w:val="00D81E02"/>
    <w:rsid w:val="00D84771"/>
    <w:rsid w:val="00D879DE"/>
    <w:rsid w:val="00D92421"/>
    <w:rsid w:val="00D929D8"/>
    <w:rsid w:val="00D9762F"/>
    <w:rsid w:val="00DA11F6"/>
    <w:rsid w:val="00DA1975"/>
    <w:rsid w:val="00DA2645"/>
    <w:rsid w:val="00DA5DB5"/>
    <w:rsid w:val="00DA78D4"/>
    <w:rsid w:val="00DB0506"/>
    <w:rsid w:val="00DB064F"/>
    <w:rsid w:val="00DB0BB9"/>
    <w:rsid w:val="00DB11A5"/>
    <w:rsid w:val="00DB1796"/>
    <w:rsid w:val="00DB1A5C"/>
    <w:rsid w:val="00DB65B0"/>
    <w:rsid w:val="00DB6DBC"/>
    <w:rsid w:val="00DC08DB"/>
    <w:rsid w:val="00DC41C1"/>
    <w:rsid w:val="00DC476C"/>
    <w:rsid w:val="00DC6A57"/>
    <w:rsid w:val="00DD4B36"/>
    <w:rsid w:val="00DD4C28"/>
    <w:rsid w:val="00DE3182"/>
    <w:rsid w:val="00DE36FE"/>
    <w:rsid w:val="00DE67BD"/>
    <w:rsid w:val="00DE7378"/>
    <w:rsid w:val="00DE7F0C"/>
    <w:rsid w:val="00DF0012"/>
    <w:rsid w:val="00DF3C28"/>
    <w:rsid w:val="00DF78CD"/>
    <w:rsid w:val="00E00ECE"/>
    <w:rsid w:val="00E01E96"/>
    <w:rsid w:val="00E037C9"/>
    <w:rsid w:val="00E05930"/>
    <w:rsid w:val="00E063B9"/>
    <w:rsid w:val="00E1053F"/>
    <w:rsid w:val="00E12FE6"/>
    <w:rsid w:val="00E145FE"/>
    <w:rsid w:val="00E15748"/>
    <w:rsid w:val="00E177CF"/>
    <w:rsid w:val="00E20162"/>
    <w:rsid w:val="00E20861"/>
    <w:rsid w:val="00E25E43"/>
    <w:rsid w:val="00E271AC"/>
    <w:rsid w:val="00E30D1A"/>
    <w:rsid w:val="00E361F5"/>
    <w:rsid w:val="00E37ADA"/>
    <w:rsid w:val="00E400B7"/>
    <w:rsid w:val="00E413B7"/>
    <w:rsid w:val="00E44232"/>
    <w:rsid w:val="00E44890"/>
    <w:rsid w:val="00E45DB1"/>
    <w:rsid w:val="00E46313"/>
    <w:rsid w:val="00E469C2"/>
    <w:rsid w:val="00E47A58"/>
    <w:rsid w:val="00E47A8A"/>
    <w:rsid w:val="00E51681"/>
    <w:rsid w:val="00E52B0F"/>
    <w:rsid w:val="00E55867"/>
    <w:rsid w:val="00E574A9"/>
    <w:rsid w:val="00E64373"/>
    <w:rsid w:val="00E64EDA"/>
    <w:rsid w:val="00E65615"/>
    <w:rsid w:val="00E66866"/>
    <w:rsid w:val="00E66B0A"/>
    <w:rsid w:val="00E722E8"/>
    <w:rsid w:val="00E75F35"/>
    <w:rsid w:val="00E76E6B"/>
    <w:rsid w:val="00E7712B"/>
    <w:rsid w:val="00E77558"/>
    <w:rsid w:val="00E776F0"/>
    <w:rsid w:val="00E80A0E"/>
    <w:rsid w:val="00E87AC5"/>
    <w:rsid w:val="00E910D5"/>
    <w:rsid w:val="00E914CC"/>
    <w:rsid w:val="00E9463F"/>
    <w:rsid w:val="00E9526A"/>
    <w:rsid w:val="00E969D3"/>
    <w:rsid w:val="00E96B2F"/>
    <w:rsid w:val="00EA0EBF"/>
    <w:rsid w:val="00EA2535"/>
    <w:rsid w:val="00EA3455"/>
    <w:rsid w:val="00EA76E6"/>
    <w:rsid w:val="00EB211A"/>
    <w:rsid w:val="00EB6858"/>
    <w:rsid w:val="00EC0CB1"/>
    <w:rsid w:val="00EC2359"/>
    <w:rsid w:val="00EC316D"/>
    <w:rsid w:val="00EC483A"/>
    <w:rsid w:val="00EC68E1"/>
    <w:rsid w:val="00EC6A76"/>
    <w:rsid w:val="00EC762A"/>
    <w:rsid w:val="00EC7A8E"/>
    <w:rsid w:val="00ED03AA"/>
    <w:rsid w:val="00ED05FA"/>
    <w:rsid w:val="00ED2DD3"/>
    <w:rsid w:val="00ED3E8C"/>
    <w:rsid w:val="00ED4D21"/>
    <w:rsid w:val="00ED663C"/>
    <w:rsid w:val="00ED6755"/>
    <w:rsid w:val="00ED7692"/>
    <w:rsid w:val="00EE005F"/>
    <w:rsid w:val="00EE0B3C"/>
    <w:rsid w:val="00EE23FB"/>
    <w:rsid w:val="00EF2D10"/>
    <w:rsid w:val="00EF3090"/>
    <w:rsid w:val="00EF6B13"/>
    <w:rsid w:val="00EF7759"/>
    <w:rsid w:val="00F00E43"/>
    <w:rsid w:val="00F02CD6"/>
    <w:rsid w:val="00F03C85"/>
    <w:rsid w:val="00F0406D"/>
    <w:rsid w:val="00F07BA9"/>
    <w:rsid w:val="00F117FE"/>
    <w:rsid w:val="00F11A4B"/>
    <w:rsid w:val="00F17A7D"/>
    <w:rsid w:val="00F20379"/>
    <w:rsid w:val="00F2070B"/>
    <w:rsid w:val="00F243CA"/>
    <w:rsid w:val="00F2651B"/>
    <w:rsid w:val="00F31FC9"/>
    <w:rsid w:val="00F330D3"/>
    <w:rsid w:val="00F34D43"/>
    <w:rsid w:val="00F37F83"/>
    <w:rsid w:val="00F4185D"/>
    <w:rsid w:val="00F50655"/>
    <w:rsid w:val="00F51069"/>
    <w:rsid w:val="00F5286B"/>
    <w:rsid w:val="00F56FE0"/>
    <w:rsid w:val="00F5780B"/>
    <w:rsid w:val="00F63037"/>
    <w:rsid w:val="00F6375A"/>
    <w:rsid w:val="00F637DE"/>
    <w:rsid w:val="00F6479C"/>
    <w:rsid w:val="00F738A9"/>
    <w:rsid w:val="00F73981"/>
    <w:rsid w:val="00F7607F"/>
    <w:rsid w:val="00F82633"/>
    <w:rsid w:val="00F83166"/>
    <w:rsid w:val="00F85837"/>
    <w:rsid w:val="00F85DB8"/>
    <w:rsid w:val="00F87E92"/>
    <w:rsid w:val="00F92AA8"/>
    <w:rsid w:val="00F93157"/>
    <w:rsid w:val="00F94CF6"/>
    <w:rsid w:val="00FA0115"/>
    <w:rsid w:val="00FA4140"/>
    <w:rsid w:val="00FA5C24"/>
    <w:rsid w:val="00FA6E33"/>
    <w:rsid w:val="00FA7743"/>
    <w:rsid w:val="00FB02CB"/>
    <w:rsid w:val="00FB32E0"/>
    <w:rsid w:val="00FC42F2"/>
    <w:rsid w:val="00FC4711"/>
    <w:rsid w:val="00FC5B01"/>
    <w:rsid w:val="00FC65C9"/>
    <w:rsid w:val="00FC668D"/>
    <w:rsid w:val="00FD22C3"/>
    <w:rsid w:val="00FD5A01"/>
    <w:rsid w:val="00FD6156"/>
    <w:rsid w:val="00FD755B"/>
    <w:rsid w:val="00FD7A99"/>
    <w:rsid w:val="00FE0381"/>
    <w:rsid w:val="00FE0D02"/>
    <w:rsid w:val="00FE0F7E"/>
    <w:rsid w:val="00FE3A90"/>
    <w:rsid w:val="00FE4DEC"/>
    <w:rsid w:val="00FE5884"/>
    <w:rsid w:val="00FF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2C"/>
    <w:rPr>
      <w:lang w:val="es-PR"/>
    </w:rPr>
  </w:style>
  <w:style w:type="paragraph" w:styleId="Ttulo1">
    <w:name w:val="heading 1"/>
    <w:basedOn w:val="Normal"/>
    <w:next w:val="Normal"/>
    <w:link w:val="Ttulo1Car"/>
    <w:uiPriority w:val="9"/>
    <w:qFormat/>
    <w:rsid w:val="0081403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96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5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E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A0F81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8140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ng-binding">
    <w:name w:val="ng-binding"/>
    <w:basedOn w:val="Fuentedeprrafopredeter"/>
    <w:rsid w:val="00814039"/>
  </w:style>
  <w:style w:type="character" w:customStyle="1" w:styleId="icon">
    <w:name w:val="icon"/>
    <w:basedOn w:val="Fuentedeprrafopredeter"/>
    <w:rsid w:val="00D62BBB"/>
  </w:style>
  <w:style w:type="paragraph" w:styleId="Piedepgina">
    <w:name w:val="footer"/>
    <w:basedOn w:val="Normal"/>
    <w:link w:val="PiedepginaCar"/>
    <w:uiPriority w:val="99"/>
    <w:unhideWhenUsed/>
    <w:rsid w:val="00D62B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2BBB"/>
    <w:rPr>
      <w:rFonts w:ascii="Calibri" w:eastAsia="Calibri" w:hAnsi="Calibri" w:cs="Times New Roman"/>
      <w:lang w:val="es-ES"/>
    </w:rPr>
  </w:style>
  <w:style w:type="paragraph" w:customStyle="1" w:styleId="source">
    <w:name w:val="source"/>
    <w:basedOn w:val="Normal"/>
    <w:rsid w:val="0051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9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3145C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A5DB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4E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A6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E33"/>
    <w:rPr>
      <w:lang w:val="es-ES"/>
    </w:rPr>
  </w:style>
  <w:style w:type="character" w:customStyle="1" w:styleId="A3">
    <w:name w:val="A3"/>
    <w:rsid w:val="002C3C3F"/>
    <w:rPr>
      <w:color w:val="000000"/>
      <w:sz w:val="20"/>
    </w:rPr>
  </w:style>
  <w:style w:type="character" w:customStyle="1" w:styleId="list-item-label">
    <w:name w:val="list-item-label"/>
    <w:basedOn w:val="Fuentedeprrafopredeter"/>
    <w:rsid w:val="00EB211A"/>
  </w:style>
  <w:style w:type="character" w:customStyle="1" w:styleId="Ttulo3Car">
    <w:name w:val="Título 3 Car"/>
    <w:basedOn w:val="Fuentedeprrafopredeter"/>
    <w:link w:val="Ttulo3"/>
    <w:uiPriority w:val="9"/>
    <w:semiHidden/>
    <w:rsid w:val="00922966"/>
    <w:rPr>
      <w:rFonts w:asciiTheme="majorHAnsi" w:eastAsiaTheme="majorEastAsia" w:hAnsiTheme="majorHAnsi" w:cstheme="majorBidi"/>
      <w:b/>
      <w:bCs/>
      <w:color w:val="5B9BD5" w:themeColor="accent1"/>
      <w:lang w:val="pt-BR" w:eastAsia="pt-BR"/>
    </w:rPr>
  </w:style>
  <w:style w:type="table" w:customStyle="1" w:styleId="SombreamentoClaro1">
    <w:name w:val="Sombreamento Claro1"/>
    <w:basedOn w:val="Tablanormal"/>
    <w:uiPriority w:val="60"/>
    <w:rsid w:val="0028662E"/>
    <w:pPr>
      <w:spacing w:after="0" w:line="240" w:lineRule="auto"/>
    </w:pPr>
    <w:rPr>
      <w:rFonts w:eastAsiaTheme="minorEastAsia"/>
      <w:color w:val="000000" w:themeColor="text1" w:themeShade="BF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uiPriority w:val="60"/>
    <w:rsid w:val="0028662E"/>
    <w:pPr>
      <w:spacing w:after="0" w:line="240" w:lineRule="auto"/>
    </w:pPr>
    <w:rPr>
      <w:rFonts w:eastAsiaTheme="minorEastAsia"/>
      <w:color w:val="000000" w:themeColor="text1" w:themeShade="BF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">
    <w:name w:val="text"/>
    <w:basedOn w:val="Fuentedeprrafopredeter"/>
    <w:rsid w:val="00D3660A"/>
  </w:style>
  <w:style w:type="character" w:customStyle="1" w:styleId="title-text">
    <w:name w:val="title-text"/>
    <w:basedOn w:val="Fuentedeprrafopredeter"/>
    <w:rsid w:val="00D3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9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8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inicalkey.es/" TargetMode="External"/><Relationship Id="rId18" Type="http://schemas.openxmlformats.org/officeDocument/2006/relationships/hyperlink" Target="https://doi.org/10.1017/S2040174421000088" TargetMode="External"/><Relationship Id="rId26" Type="http://schemas.openxmlformats.org/officeDocument/2006/relationships/hyperlink" Target="https://www.clinicalkey.es/" TargetMode="External"/><Relationship Id="rId39" Type="http://schemas.openxmlformats.org/officeDocument/2006/relationships/hyperlink" Target="https://www.clinicalkey.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vistas.unilibre.edu.co/index.php/biociencias/article/view/6367" TargetMode="External"/><Relationship Id="rId34" Type="http://schemas.openxmlformats.org/officeDocument/2006/relationships/hyperlink" Target="http://search.ebscohost.com/login.aspx?direct=true&amp;db=lth&amp;AN=18154742&amp;lang=es&amp;site=ehost-live" TargetMode="External"/><Relationship Id="rId42" Type="http://schemas.openxmlformats.org/officeDocument/2006/relationships/hyperlink" Target="http://search.ebscohost.com/login.aspx?direct=true&amp;db=lth&amp;AN=18154742&amp;lang=es&amp;site=ehost-live" TargetMode="External"/><Relationship Id="rId47" Type="http://schemas.openxmlformats.org/officeDocument/2006/relationships/footer" Target="footer2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linicalkey.es/" TargetMode="External"/><Relationship Id="rId17" Type="http://schemas.openxmlformats.org/officeDocument/2006/relationships/hyperlink" Target="https://www.clinicalkey.es/" TargetMode="External"/><Relationship Id="rId25" Type="http://schemas.openxmlformats.org/officeDocument/2006/relationships/hyperlink" Target="https://www.clinicalkey.es/" TargetMode="External"/><Relationship Id="rId33" Type="http://schemas.openxmlformats.org/officeDocument/2006/relationships/hyperlink" Target="http://www.medisur.sld.cu/index.php/medisur/article/view/149" TargetMode="External"/><Relationship Id="rId38" Type="http://schemas.openxmlformats.org/officeDocument/2006/relationships/hyperlink" Target="https://www.clinicalkey.es/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linicalkey.es/" TargetMode="External"/><Relationship Id="rId20" Type="http://schemas.openxmlformats.org/officeDocument/2006/relationships/hyperlink" Target="http://www.revcalixto.sld.cu/index.php/ahcg/article/view/250" TargetMode="External"/><Relationship Id="rId29" Type="http://schemas.openxmlformats.org/officeDocument/2006/relationships/hyperlink" Target="https://www.clinicalkey.es/" TargetMode="External"/><Relationship Id="rId41" Type="http://schemas.openxmlformats.org/officeDocument/2006/relationships/hyperlink" Target="http://files.sld.cu/dne/files/2019/05/Anuario_Estad%C3%ADstico_de_Salud_e_2018_edici%C3%B3n_201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inicalkey.es/" TargetMode="External"/><Relationship Id="rId24" Type="http://schemas.openxmlformats.org/officeDocument/2006/relationships/hyperlink" Target="https://www.clinicalkey.es/" TargetMode="External"/><Relationship Id="rId32" Type="http://schemas.openxmlformats.org/officeDocument/2006/relationships/hyperlink" Target="http://dspace.espoch.edu.ec/handle/123456789/11919" TargetMode="External"/><Relationship Id="rId37" Type="http://schemas.openxmlformats.org/officeDocument/2006/relationships/hyperlink" Target="https://www.clinicalkey.es/" TargetMode="External"/><Relationship Id="rId40" Type="http://schemas.openxmlformats.org/officeDocument/2006/relationships/hyperlink" Target="https://www.medigraphic.com/cgibin/new/resumen.cgi?IDARTICULO=82595" TargetMode="External"/><Relationship Id="rId45" Type="http://schemas.openxmlformats.org/officeDocument/2006/relationships/hyperlink" Target="https://www.researchgate.net/profile/HayderHassan3/publication/357449610_Factors_Associated_with_Intestinal_Atresia_and_Its_Complications/links/61cee723da5d105e550c90dd/Factors-Associated-with-Intestinal-Atresia-and-ItsComplica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linicalkey.es/" TargetMode="External"/><Relationship Id="rId23" Type="http://schemas.openxmlformats.org/officeDocument/2006/relationships/hyperlink" Target="https://www.clinicalkey.es/" TargetMode="External"/><Relationship Id="rId28" Type="http://schemas.openxmlformats.org/officeDocument/2006/relationships/hyperlink" Target="https://www.clinicalkey.es/" TargetMode="External"/><Relationship Id="rId36" Type="http://schemas.openxmlformats.org/officeDocument/2006/relationships/hyperlink" Target="https://www.clinicalkey.es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clinicalkey.es/" TargetMode="External"/><Relationship Id="rId19" Type="http://schemas.openxmlformats.org/officeDocument/2006/relationships/hyperlink" Target="https://revistas.unal.edu.co/index.php/morfolia/article/view/77954" TargetMode="External"/><Relationship Id="rId31" Type="http://schemas.openxmlformats.org/officeDocument/2006/relationships/hyperlink" Target="http://www.medisur.sld.cu/index.php/medisur/article/view/149" TargetMode="External"/><Relationship Id="rId44" Type="http://schemas.openxmlformats.org/officeDocument/2006/relationships/hyperlink" Target="http://www.scielo.org.mx/scielo.php?script=sci_arttext&amp;pid=S0034-837620060005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apanamericana.com/embriologia/arteaga" TargetMode="External"/><Relationship Id="rId14" Type="http://schemas.openxmlformats.org/officeDocument/2006/relationships/hyperlink" Target="https://www.clinicalkey.es/" TargetMode="External"/><Relationship Id="rId22" Type="http://schemas.openxmlformats.org/officeDocument/2006/relationships/hyperlink" Target="https://www.clinicalkey.es/" TargetMode="External"/><Relationship Id="rId27" Type="http://schemas.openxmlformats.org/officeDocument/2006/relationships/hyperlink" Target="https://www.clinicalkey.es/" TargetMode="External"/><Relationship Id="rId30" Type="http://schemas.openxmlformats.org/officeDocument/2006/relationships/hyperlink" Target="https://www.clinicalkey.es/" TargetMode="External"/><Relationship Id="rId35" Type="http://schemas.openxmlformats.org/officeDocument/2006/relationships/hyperlink" Target="https://www.clinicalkey.es/" TargetMode="External"/><Relationship Id="rId43" Type="http://schemas.openxmlformats.org/officeDocument/2006/relationships/hyperlink" Target="http://riul.unanleon.edu.ni:8080/jspui/handle/123456789/7055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yanetpupogonzal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F54E-2AF3-4CDF-8E47-42F7E331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35238</TotalTime>
  <Pages>13</Pages>
  <Words>3969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SALA</cp:lastModifiedBy>
  <cp:revision>33</cp:revision>
  <dcterms:created xsi:type="dcterms:W3CDTF">2019-05-05T15:42:00Z</dcterms:created>
  <dcterms:modified xsi:type="dcterms:W3CDTF">2022-12-03T05:46:00Z</dcterms:modified>
</cp:coreProperties>
</file>