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CA" w:rsidRPr="009B5DB1" w:rsidRDefault="000C77CA" w:rsidP="000C77CA">
      <w:pPr>
        <w:tabs>
          <w:tab w:val="left" w:pos="2268"/>
        </w:tabs>
        <w:spacing w:after="0" w:line="360" w:lineRule="auto"/>
        <w:ind w:right="-376"/>
        <w:rPr>
          <w:rFonts w:ascii="Calibri" w:eastAsia="Times New Roman" w:hAnsi="Calibri" w:cs="Times New Roman"/>
          <w:b/>
          <w:color w:val="C45911"/>
          <w:sz w:val="32"/>
          <w:szCs w:val="32"/>
        </w:rPr>
      </w:pPr>
      <w:r>
        <w:rPr>
          <w:b/>
          <w:color w:val="C45911"/>
          <w:sz w:val="32"/>
          <w:szCs w:val="32"/>
        </w:rPr>
        <w:t xml:space="preserve">                                      </w:t>
      </w:r>
      <w:r w:rsidRPr="00D83BAE">
        <w:rPr>
          <w:rFonts w:ascii="Calibri" w:eastAsia="Times New Roman" w:hAnsi="Calibri" w:cs="Times New Roman"/>
          <w:b/>
          <w:color w:val="C45911"/>
          <w:sz w:val="32"/>
          <w:szCs w:val="32"/>
        </w:rPr>
        <w:t>Morfovirtual 2022</w:t>
      </w:r>
    </w:p>
    <w:p w:rsidR="000C77CA" w:rsidRPr="009B5DB1" w:rsidRDefault="000C77CA" w:rsidP="000C77CA">
      <w:pPr>
        <w:tabs>
          <w:tab w:val="left" w:pos="2268"/>
        </w:tabs>
        <w:spacing w:after="0" w:line="360" w:lineRule="auto"/>
        <w:ind w:right="-376"/>
        <w:rPr>
          <w:rFonts w:ascii="Calibri" w:eastAsia="Times New Roman" w:hAnsi="Calibri" w:cs="Times New Roman"/>
          <w:b/>
          <w:color w:val="C45911"/>
          <w:sz w:val="32"/>
          <w:szCs w:val="32"/>
        </w:rPr>
      </w:pPr>
      <w:r>
        <w:rPr>
          <w:b/>
          <w:color w:val="C45911"/>
          <w:sz w:val="32"/>
          <w:szCs w:val="32"/>
        </w:rPr>
        <w:t xml:space="preserve">                   </w:t>
      </w:r>
      <w:r w:rsidRPr="009B5DB1">
        <w:rPr>
          <w:rFonts w:ascii="Calibri" w:eastAsia="Times New Roman" w:hAnsi="Calibri" w:cs="Times New Roman"/>
          <w:b/>
          <w:color w:val="C45911"/>
          <w:sz w:val="32"/>
          <w:szCs w:val="32"/>
        </w:rPr>
        <w:t>VI Congreso virtual de Ciencias Morfológicas.</w:t>
      </w:r>
    </w:p>
    <w:p w:rsidR="000C77CA" w:rsidRPr="009B5DB1" w:rsidRDefault="000C77CA" w:rsidP="000C77CA">
      <w:pPr>
        <w:spacing w:after="0" w:line="360" w:lineRule="auto"/>
        <w:ind w:left="-425"/>
        <w:rPr>
          <w:rFonts w:ascii="Calibri" w:eastAsia="Times New Roman" w:hAnsi="Calibri" w:cs="Times New Roman"/>
          <w:b/>
          <w:color w:val="C45911"/>
          <w:sz w:val="32"/>
          <w:szCs w:val="32"/>
        </w:rPr>
      </w:pPr>
      <w:r>
        <w:rPr>
          <w:b/>
          <w:color w:val="C45911"/>
          <w:sz w:val="32"/>
          <w:szCs w:val="32"/>
        </w:rPr>
        <w:t xml:space="preserve">         </w:t>
      </w:r>
      <w:r w:rsidRPr="009B5DB1">
        <w:rPr>
          <w:rFonts w:ascii="Calibri" w:eastAsia="Times New Roman" w:hAnsi="Calibri" w:cs="Times New Roman"/>
          <w:b/>
          <w:color w:val="C45911"/>
          <w:sz w:val="32"/>
          <w:szCs w:val="32"/>
        </w:rPr>
        <w:t>Sexta Jornada Científica de la Cátedra Santiago Ramón y Cajal.</w:t>
      </w:r>
    </w:p>
    <w:p w:rsidR="000C77CA" w:rsidRDefault="000C77CA" w:rsidP="001A045E">
      <w:pPr>
        <w:spacing w:after="0" w:line="360" w:lineRule="auto"/>
        <w:jc w:val="both"/>
        <w:rPr>
          <w:rFonts w:ascii="Verdana" w:hAnsi="Verdana" w:cs="Arial"/>
          <w:b/>
          <w:lang w:eastAsia="en-US"/>
        </w:rPr>
      </w:pPr>
    </w:p>
    <w:p w:rsidR="0063294F" w:rsidRPr="001A045E" w:rsidRDefault="007F15BF" w:rsidP="001A045E">
      <w:pPr>
        <w:spacing w:after="0" w:line="360" w:lineRule="auto"/>
        <w:jc w:val="both"/>
        <w:rPr>
          <w:rFonts w:ascii="Verdana" w:hAnsi="Verdana" w:cs="Arial"/>
          <w:b/>
          <w:lang w:eastAsia="en-US"/>
        </w:rPr>
      </w:pPr>
      <w:r w:rsidRPr="001A045E">
        <w:rPr>
          <w:rFonts w:ascii="Verdana" w:hAnsi="Verdana" w:cs="Arial"/>
          <w:b/>
          <w:lang w:eastAsia="en-US"/>
        </w:rPr>
        <w:t>CARACTERIZACIÓN DEL ESTADO NUTRICIONAL DE LOS ADULTOS MAYORES. CASA DEL ABUELO. MOA 2020</w:t>
      </w:r>
    </w:p>
    <w:p w:rsidR="00ED4433" w:rsidRPr="001A045E" w:rsidRDefault="00ED4433" w:rsidP="001A045E">
      <w:pPr>
        <w:spacing w:after="0" w:line="360" w:lineRule="auto"/>
        <w:jc w:val="both"/>
        <w:rPr>
          <w:rFonts w:ascii="Verdana" w:hAnsi="Verdana" w:cs="Arial"/>
          <w:lang w:eastAsia="en-US"/>
        </w:rPr>
      </w:pPr>
    </w:p>
    <w:p w:rsidR="003F727A" w:rsidRPr="001423B5" w:rsidRDefault="003F727A" w:rsidP="003F727A">
      <w:pPr>
        <w:spacing w:line="360" w:lineRule="auto"/>
        <w:jc w:val="both"/>
        <w:rPr>
          <w:rFonts w:ascii="Verdana" w:eastAsia="Arial Unicode MS" w:hAnsi="Verdana" w:cs="Arial"/>
          <w:szCs w:val="24"/>
          <w:vertAlign w:val="superscript"/>
          <w:lang w:val="pt-PT"/>
        </w:rPr>
      </w:pPr>
      <w:r w:rsidRPr="001423B5">
        <w:rPr>
          <w:rFonts w:ascii="Verdana" w:eastAsia="Arial Unicode MS" w:hAnsi="Verdana" w:cs="Arial"/>
          <w:szCs w:val="24"/>
          <w:lang w:val="pt-PT"/>
        </w:rPr>
        <w:t>Migdalia,  Gainza Lores,</w:t>
      </w:r>
      <w:r w:rsidRPr="001423B5">
        <w:rPr>
          <w:rFonts w:ascii="Verdana" w:eastAsia="Arial Unicode MS" w:hAnsi="Verdana" w:cs="Arial"/>
          <w:szCs w:val="24"/>
          <w:vertAlign w:val="superscript"/>
          <w:lang w:val="pt-PT"/>
        </w:rPr>
        <w:t>1</w:t>
      </w:r>
      <w:r w:rsidRPr="001423B5">
        <w:rPr>
          <w:rFonts w:ascii="Verdana" w:eastAsia="Arial Unicode MS" w:hAnsi="Verdana" w:cs="Arial"/>
          <w:szCs w:val="24"/>
          <w:lang w:val="pt-PT"/>
        </w:rPr>
        <w:t xml:space="preserve"> Yasnay, Jorge Saínz, </w:t>
      </w:r>
      <w:r w:rsidRPr="001423B5">
        <w:rPr>
          <w:rFonts w:ascii="Verdana" w:eastAsia="Arial Unicode MS" w:hAnsi="Verdana" w:cs="Arial"/>
          <w:szCs w:val="24"/>
          <w:vertAlign w:val="superscript"/>
          <w:lang w:val="pt-PT"/>
        </w:rPr>
        <w:t>2</w:t>
      </w:r>
      <w:r w:rsidRPr="001423B5">
        <w:rPr>
          <w:rFonts w:ascii="Verdana" w:eastAsia="Arial Unicode MS" w:hAnsi="Verdana" w:cs="Arial"/>
          <w:szCs w:val="24"/>
          <w:lang w:val="pt-PT"/>
        </w:rPr>
        <w:t xml:space="preserve"> Yaquelin, Hijuelo Montes. </w:t>
      </w:r>
      <w:r w:rsidRPr="001423B5">
        <w:rPr>
          <w:rFonts w:ascii="Verdana" w:eastAsia="Arial Unicode MS" w:hAnsi="Verdana" w:cs="Arial"/>
          <w:szCs w:val="24"/>
          <w:vertAlign w:val="superscript"/>
          <w:lang w:val="pt-PT"/>
        </w:rPr>
        <w:t>3</w:t>
      </w:r>
    </w:p>
    <w:p w:rsidR="003F727A" w:rsidRDefault="003F727A" w:rsidP="003F727A">
      <w:pPr>
        <w:spacing w:line="360" w:lineRule="auto"/>
        <w:jc w:val="both"/>
        <w:rPr>
          <w:rFonts w:ascii="Verdana" w:hAnsi="Verdana" w:cs="Times New Roman"/>
        </w:rPr>
      </w:pPr>
      <w:r>
        <w:rPr>
          <w:rFonts w:ascii="Verdana" w:hAnsi="Verdana" w:cs="Times New Roman"/>
        </w:rPr>
        <w:t xml:space="preserve">1. </w:t>
      </w:r>
      <w:r w:rsidRPr="008F2B63">
        <w:rPr>
          <w:rFonts w:ascii="Verdana" w:hAnsi="Verdana" w:cs="Times New Roman"/>
        </w:rPr>
        <w:t xml:space="preserve">Especialista de primer grado en MGI y en Bioquímica Clínica. </w:t>
      </w:r>
      <w:r>
        <w:rPr>
          <w:rFonts w:ascii="Verdana" w:hAnsi="Verdana" w:cs="Times New Roman"/>
        </w:rPr>
        <w:t>Profesora instructora</w:t>
      </w:r>
      <w:r w:rsidRPr="008F2B63">
        <w:rPr>
          <w:rFonts w:ascii="Verdana" w:hAnsi="Verdana" w:cs="Times New Roman"/>
        </w:rPr>
        <w:t>. Facultad de Ciencias Médicas. Holguín. Cuba.</w:t>
      </w:r>
      <w:r w:rsidR="001423B5">
        <w:rPr>
          <w:rFonts w:ascii="Verdana" w:hAnsi="Verdana" w:cs="Times New Roman"/>
        </w:rPr>
        <w:t xml:space="preserve"> E-Mail: </w:t>
      </w:r>
      <w:r w:rsidR="001423B5" w:rsidRPr="001423B5">
        <w:rPr>
          <w:rFonts w:ascii="Verdana" w:hAnsi="Verdana" w:cs="Times New Roman"/>
        </w:rPr>
        <w:t>mglores@ infomed.sld.cu</w:t>
      </w:r>
    </w:p>
    <w:p w:rsidR="003F727A" w:rsidRDefault="003F727A" w:rsidP="003F727A">
      <w:pPr>
        <w:spacing w:line="360" w:lineRule="auto"/>
        <w:jc w:val="both"/>
        <w:rPr>
          <w:rFonts w:ascii="Verdana" w:hAnsi="Verdana" w:cs="Times New Roman"/>
        </w:rPr>
      </w:pPr>
      <w:r>
        <w:rPr>
          <w:rFonts w:ascii="Verdana" w:hAnsi="Verdana" w:cs="Times New Roman"/>
        </w:rPr>
        <w:t>2.</w:t>
      </w:r>
      <w:r w:rsidRPr="003F727A">
        <w:rPr>
          <w:rFonts w:ascii="Verdana" w:hAnsi="Verdana" w:cs="Times New Roman"/>
        </w:rPr>
        <w:t xml:space="preserve"> </w:t>
      </w:r>
      <w:r w:rsidRPr="008F2B63">
        <w:rPr>
          <w:rFonts w:ascii="Verdana" w:hAnsi="Verdana" w:cs="Times New Roman"/>
        </w:rPr>
        <w:t>Especia</w:t>
      </w:r>
      <w:r>
        <w:rPr>
          <w:rFonts w:ascii="Verdana" w:hAnsi="Verdana" w:cs="Times New Roman"/>
        </w:rPr>
        <w:t xml:space="preserve">lista de primer grado en MGI y </w:t>
      </w:r>
      <w:r w:rsidRPr="008F2B63">
        <w:rPr>
          <w:rFonts w:ascii="Verdana" w:hAnsi="Verdana" w:cs="Times New Roman"/>
        </w:rPr>
        <w:t xml:space="preserve">en Bioquímica Clínica. Profesora Auxiliar. Investigador </w:t>
      </w:r>
      <w:r>
        <w:rPr>
          <w:rFonts w:ascii="Verdana" w:hAnsi="Verdana" w:cs="Times New Roman"/>
        </w:rPr>
        <w:t>agregado</w:t>
      </w:r>
      <w:r w:rsidRPr="008F2B63">
        <w:rPr>
          <w:rFonts w:ascii="Verdana" w:hAnsi="Verdana" w:cs="Times New Roman"/>
        </w:rPr>
        <w:t>. Facultad de Ciencias Médicas. Holguín. Cuba.</w:t>
      </w:r>
    </w:p>
    <w:p w:rsidR="003F727A" w:rsidRPr="003F727A" w:rsidRDefault="003F727A" w:rsidP="003F727A">
      <w:pPr>
        <w:spacing w:line="360" w:lineRule="auto"/>
        <w:jc w:val="both"/>
        <w:rPr>
          <w:rFonts w:ascii="Arial" w:eastAsia="Arial Unicode MS" w:hAnsi="Arial" w:cs="Arial"/>
          <w:b/>
          <w:szCs w:val="24"/>
          <w:lang w:val="es-EC"/>
        </w:rPr>
      </w:pPr>
      <w:r>
        <w:rPr>
          <w:rFonts w:ascii="Verdana" w:hAnsi="Verdana" w:cs="Times New Roman"/>
        </w:rPr>
        <w:t xml:space="preserve">3. </w:t>
      </w:r>
      <w:r w:rsidRPr="008F2B63">
        <w:rPr>
          <w:rFonts w:ascii="Verdana" w:hAnsi="Verdana" w:cs="Times New Roman"/>
        </w:rPr>
        <w:t xml:space="preserve">Especialista de primer grado en MGI y en Bioquímica Clínica. </w:t>
      </w:r>
      <w:r w:rsidR="001423B5">
        <w:rPr>
          <w:rFonts w:ascii="Verdana" w:hAnsi="Verdana" w:cs="Times New Roman"/>
        </w:rPr>
        <w:t>Profesora instructora</w:t>
      </w:r>
      <w:r w:rsidRPr="008F2B63">
        <w:rPr>
          <w:rFonts w:ascii="Verdana" w:hAnsi="Verdana" w:cs="Times New Roman"/>
        </w:rPr>
        <w:t>. Facultad de Ciencias Médicas. Holguín. Cuba.</w:t>
      </w:r>
    </w:p>
    <w:p w:rsidR="00ED4433" w:rsidRPr="001A045E" w:rsidRDefault="00ED4433" w:rsidP="001A045E">
      <w:pPr>
        <w:spacing w:after="0" w:line="360" w:lineRule="auto"/>
        <w:jc w:val="both"/>
        <w:rPr>
          <w:rFonts w:ascii="Verdana" w:hAnsi="Verdana"/>
          <w:b/>
        </w:rPr>
      </w:pPr>
      <w:r w:rsidRPr="001A045E">
        <w:rPr>
          <w:rFonts w:ascii="Verdana" w:hAnsi="Verdana"/>
          <w:b/>
        </w:rPr>
        <w:t>RESUMEN:</w:t>
      </w:r>
    </w:p>
    <w:p w:rsidR="00ED4433" w:rsidRPr="001A045E" w:rsidRDefault="00ED4433" w:rsidP="001A045E">
      <w:pPr>
        <w:spacing w:after="0" w:line="360" w:lineRule="auto"/>
        <w:jc w:val="both"/>
        <w:rPr>
          <w:rFonts w:ascii="Verdana" w:hAnsi="Verdana" w:cs="Arial"/>
          <w:lang w:eastAsia="en-US"/>
        </w:rPr>
      </w:pPr>
      <w:r w:rsidRPr="001A045E">
        <w:rPr>
          <w:rFonts w:ascii="Verdana" w:hAnsi="Verdana" w:cs="Arial"/>
          <w:b/>
          <w:iCs/>
        </w:rPr>
        <w:t>Introducción</w:t>
      </w:r>
      <w:r w:rsidRPr="001A045E">
        <w:rPr>
          <w:rFonts w:ascii="Verdana" w:hAnsi="Verdana" w:cs="Arial"/>
          <w:b/>
        </w:rPr>
        <w:t>:</w:t>
      </w:r>
      <w:r w:rsidRPr="001A045E">
        <w:rPr>
          <w:rFonts w:ascii="Verdana" w:hAnsi="Verdana" w:cs="Arial"/>
        </w:rPr>
        <w:t xml:space="preserve"> El estado nutricional está relacionado con el propio proceso de envejecimiento, el cual está influenciado por alteración en la nutrición, mantenido a lo largo de la vida. </w:t>
      </w:r>
      <w:r w:rsidRPr="001A045E">
        <w:rPr>
          <w:rFonts w:ascii="Verdana" w:hAnsi="Verdana" w:cs="Arial"/>
          <w:b/>
          <w:lang w:val="sq-AL"/>
        </w:rPr>
        <w:t xml:space="preserve">Objetivo: </w:t>
      </w:r>
      <w:r w:rsidRPr="001A045E">
        <w:rPr>
          <w:rFonts w:ascii="Verdana" w:hAnsi="Verdana" w:cs="Arial"/>
          <w:lang w:val="sq-AL"/>
        </w:rPr>
        <w:t>Caracterizar</w:t>
      </w:r>
      <w:r w:rsidRPr="001A045E">
        <w:rPr>
          <w:rFonts w:ascii="Verdana" w:eastAsia="Calibri" w:hAnsi="Verdana" w:cs="Arial"/>
        </w:rPr>
        <w:t xml:space="preserve"> el estado nutriciona</w:t>
      </w:r>
      <w:r w:rsidRPr="001A045E">
        <w:rPr>
          <w:rFonts w:ascii="Verdana" w:hAnsi="Verdana" w:cs="Arial"/>
        </w:rPr>
        <w:t>l de los ancianos que asisten</w:t>
      </w:r>
      <w:r w:rsidRPr="001A045E">
        <w:rPr>
          <w:rFonts w:ascii="Verdana" w:eastAsia="Calibri" w:hAnsi="Verdana" w:cs="Arial"/>
        </w:rPr>
        <w:t xml:space="preserve"> a la casa del abuelo en Moa</w:t>
      </w:r>
      <w:r w:rsidRPr="001A045E">
        <w:rPr>
          <w:rFonts w:ascii="Verdana" w:hAnsi="Verdana" w:cs="Arial"/>
          <w:lang w:val="sq-AL"/>
        </w:rPr>
        <w:t xml:space="preserve">. </w:t>
      </w:r>
      <w:r w:rsidRPr="001A045E">
        <w:rPr>
          <w:rFonts w:ascii="Verdana" w:hAnsi="Verdana" w:cs="Arial"/>
          <w:b/>
          <w:lang w:val="sq-AL"/>
        </w:rPr>
        <w:t>Métodos</w:t>
      </w:r>
      <w:r w:rsidRPr="001A045E">
        <w:rPr>
          <w:rFonts w:ascii="Verdana" w:hAnsi="Verdana" w:cs="Arial"/>
          <w:b/>
        </w:rPr>
        <w:t xml:space="preserve">: </w:t>
      </w:r>
      <w:r w:rsidRPr="001A045E">
        <w:rPr>
          <w:rFonts w:ascii="Verdana" w:hAnsi="Verdana" w:cs="Arial"/>
        </w:rPr>
        <w:t xml:space="preserve">Se realizó un estudio descriptivo transversal desde febrero 2019-2020.La muestra fue conformada por 80 ancianos, se estudiaron las </w:t>
      </w:r>
      <w:r w:rsidRPr="001A045E">
        <w:rPr>
          <w:rFonts w:ascii="Verdana" w:eastAsia="Arial Unicode MS" w:hAnsi="Verdana" w:cs="Arial"/>
          <w:iCs/>
          <w:lang w:val="es-CO"/>
        </w:rPr>
        <w:t>variables</w:t>
      </w:r>
      <w:r w:rsidRPr="001A045E">
        <w:rPr>
          <w:rFonts w:ascii="Verdana" w:eastAsia="Arial Unicode MS" w:hAnsi="Verdana" w:cs="Arial"/>
          <w:iCs/>
        </w:rPr>
        <w:t xml:space="preserve">: </w:t>
      </w:r>
      <w:r w:rsidRPr="001A045E">
        <w:rPr>
          <w:rFonts w:ascii="Verdana" w:eastAsia="Arial Unicode MS" w:hAnsi="Verdana" w:cs="Arial"/>
          <w:iCs/>
          <w:lang w:val="es-CO"/>
        </w:rPr>
        <w:t xml:space="preserve">edad, sexo, antropométricas y determinaciones bioquímicas. </w:t>
      </w:r>
      <w:r w:rsidRPr="001A045E">
        <w:rPr>
          <w:rFonts w:ascii="Verdana" w:hAnsi="Verdana" w:cs="Arial"/>
        </w:rPr>
        <w:t xml:space="preserve">Los datos fueron procesados y analizados mediante métodos de estadística descriptiva e inferencial. </w:t>
      </w:r>
      <w:r w:rsidRPr="001A045E">
        <w:rPr>
          <w:rFonts w:ascii="Verdana" w:hAnsi="Verdana" w:cs="Arial"/>
          <w:b/>
          <w:lang w:val="sq-AL"/>
        </w:rPr>
        <w:t xml:space="preserve">Resultados: </w:t>
      </w:r>
      <w:r w:rsidRPr="001A045E">
        <w:rPr>
          <w:rFonts w:ascii="Verdana" w:hAnsi="Verdana" w:cs="Arial"/>
        </w:rPr>
        <w:t xml:space="preserve">Predominó el grupo de 70-79 años del sexo masculino. No existieron diferencias en las variables peso, talla, e IMC, el riesgo nutricional se presentó en un 71,2 %. La glucemia fue la segunda determinación alterada, la hemoglobina, colesterol y creatinina se encontraron fuera del rango normal en los normopeso, los triacilglicéridos y glicemia en el sobrepeso. La circunferencia del brazo y la pantorrilla tuvo un </w:t>
      </w:r>
      <w:r w:rsidRPr="001A045E">
        <w:rPr>
          <w:rFonts w:ascii="Verdana" w:hAnsi="Verdana" w:cs="Arial"/>
        </w:rPr>
        <w:lastRenderedPageBreak/>
        <w:t>incremento de la media en el sexo masculino</w:t>
      </w:r>
      <w:r w:rsidR="00341E24" w:rsidRPr="001A045E">
        <w:rPr>
          <w:rFonts w:ascii="Verdana" w:hAnsi="Verdana" w:cs="Arial"/>
        </w:rPr>
        <w:t>. P</w:t>
      </w:r>
      <w:r w:rsidRPr="001A045E">
        <w:rPr>
          <w:rFonts w:ascii="Verdana" w:hAnsi="Verdana" w:cs="Arial"/>
        </w:rPr>
        <w:t>redominó el alto riesgo</w:t>
      </w:r>
      <w:r w:rsidR="00341E24" w:rsidRPr="001A045E">
        <w:rPr>
          <w:rFonts w:ascii="Verdana" w:hAnsi="Verdana" w:cs="Arial"/>
        </w:rPr>
        <w:t xml:space="preserve"> de</w:t>
      </w:r>
      <w:r w:rsidRPr="001A045E">
        <w:rPr>
          <w:rFonts w:ascii="Verdana" w:hAnsi="Verdana" w:cs="Arial"/>
        </w:rPr>
        <w:t xml:space="preserve"> </w:t>
      </w:r>
      <w:r w:rsidR="00341E24" w:rsidRPr="001A045E">
        <w:rPr>
          <w:rFonts w:ascii="Verdana" w:hAnsi="Verdana" w:cs="Arial"/>
        </w:rPr>
        <w:t xml:space="preserve">sobrepeso </w:t>
      </w:r>
      <w:r w:rsidRPr="001A045E">
        <w:rPr>
          <w:rFonts w:ascii="Verdana" w:hAnsi="Verdana" w:cs="Arial"/>
        </w:rPr>
        <w:t xml:space="preserve">en las </w:t>
      </w:r>
      <w:r w:rsidR="00341E24" w:rsidRPr="001A045E">
        <w:rPr>
          <w:rFonts w:ascii="Verdana" w:hAnsi="Verdana" w:cs="Arial"/>
        </w:rPr>
        <w:t>mujeres.</w:t>
      </w:r>
      <w:r w:rsidRPr="001A045E">
        <w:rPr>
          <w:rFonts w:ascii="Verdana" w:hAnsi="Verdana" w:cs="Arial"/>
        </w:rPr>
        <w:t xml:space="preserve"> </w:t>
      </w:r>
      <w:r w:rsidRPr="001A045E">
        <w:rPr>
          <w:rFonts w:ascii="Verdana" w:hAnsi="Verdana" w:cs="Arial"/>
          <w:b/>
        </w:rPr>
        <w:t xml:space="preserve">Conclusiones: </w:t>
      </w:r>
      <w:r w:rsidR="00341E24" w:rsidRPr="001A045E">
        <w:rPr>
          <w:rFonts w:ascii="Verdana" w:hAnsi="Verdana" w:cs="Arial"/>
        </w:rPr>
        <w:t xml:space="preserve">Determinamos que las alteraciones bioquímicas y antropométricas predominan en el sexo masculino, independientemente de la edad. </w:t>
      </w:r>
    </w:p>
    <w:p w:rsidR="00ED4433" w:rsidRDefault="00ED4433" w:rsidP="001A045E">
      <w:pPr>
        <w:spacing w:after="0" w:line="360" w:lineRule="auto"/>
        <w:jc w:val="both"/>
        <w:rPr>
          <w:rFonts w:ascii="Verdana" w:hAnsi="Verdana" w:cs="Arial"/>
          <w:iCs/>
        </w:rPr>
      </w:pPr>
      <w:r w:rsidRPr="001A045E">
        <w:rPr>
          <w:rFonts w:ascii="Verdana" w:hAnsi="Verdana" w:cs="Arial"/>
          <w:b/>
          <w:bCs/>
        </w:rPr>
        <w:t xml:space="preserve">Palabras clave: </w:t>
      </w:r>
      <w:r w:rsidRPr="001A045E">
        <w:rPr>
          <w:rFonts w:ascii="Verdana" w:hAnsi="Verdana" w:cs="Arial"/>
          <w:iCs/>
        </w:rPr>
        <w:t xml:space="preserve">Envejecimiento, Estado nutricional, Parámetros antropométricos, Parámetros bioquímicos. </w:t>
      </w:r>
    </w:p>
    <w:p w:rsidR="009B1795" w:rsidRPr="001A045E" w:rsidRDefault="009B1795" w:rsidP="001A045E">
      <w:pPr>
        <w:spacing w:after="0" w:line="360" w:lineRule="auto"/>
        <w:jc w:val="both"/>
        <w:rPr>
          <w:rFonts w:ascii="Verdana" w:hAnsi="Verdana" w:cs="Arial"/>
          <w:iCs/>
        </w:rPr>
      </w:pPr>
    </w:p>
    <w:p w:rsidR="002A2409" w:rsidRPr="001A045E" w:rsidRDefault="002A2409" w:rsidP="001A045E">
      <w:pPr>
        <w:spacing w:after="0" w:line="360" w:lineRule="auto"/>
        <w:jc w:val="both"/>
        <w:rPr>
          <w:rFonts w:ascii="Verdana" w:hAnsi="Verdana" w:cs="Arial"/>
          <w:b/>
        </w:rPr>
      </w:pPr>
      <w:r w:rsidRPr="001A045E">
        <w:rPr>
          <w:rFonts w:ascii="Verdana" w:hAnsi="Verdana" w:cs="Arial"/>
          <w:b/>
        </w:rPr>
        <w:t>INTRODUCCIÓN:</w:t>
      </w:r>
    </w:p>
    <w:p w:rsidR="000C11E2" w:rsidRPr="001A045E" w:rsidRDefault="000C11E2" w:rsidP="001A045E">
      <w:pPr>
        <w:spacing w:after="0" w:line="360" w:lineRule="auto"/>
        <w:jc w:val="both"/>
        <w:rPr>
          <w:rFonts w:ascii="Verdana" w:hAnsi="Verdana" w:cs="Arial"/>
        </w:rPr>
      </w:pPr>
      <w:r w:rsidRPr="001A045E">
        <w:rPr>
          <w:rFonts w:ascii="Verdana" w:hAnsi="Verdana" w:cs="Arial"/>
        </w:rPr>
        <w:t>El estado nutricional del anciano está relacionado con el propio proceso de envejecimiento, y este proceso está influenciado por el estado nutricional mantenido a lo largo de la vida. Durante el envejecimiento, se producen cambios corporales, aparecen alteraciones metabólicas y alimentarias, y coexisten enfermedades agudas y crónicas. Asimismo, el estado nutricional del anciano se relaciona con el deterioro de sus capacidades funcionales.</w:t>
      </w:r>
      <w:r w:rsidRPr="001A045E">
        <w:rPr>
          <w:rFonts w:ascii="Verdana" w:hAnsi="Verdana" w:cs="Arial"/>
          <w:vertAlign w:val="superscript"/>
        </w:rPr>
        <w:t>1</w:t>
      </w:r>
    </w:p>
    <w:p w:rsidR="000C11E2" w:rsidRPr="001A045E" w:rsidRDefault="000C11E2" w:rsidP="001A045E">
      <w:pPr>
        <w:spacing w:after="0" w:line="360" w:lineRule="auto"/>
        <w:jc w:val="both"/>
        <w:rPr>
          <w:rFonts w:ascii="Verdana" w:hAnsi="Verdana" w:cs="Arial"/>
        </w:rPr>
      </w:pPr>
      <w:r w:rsidRPr="001A045E">
        <w:rPr>
          <w:rFonts w:ascii="Verdana" w:hAnsi="Verdana" w:cs="Arial"/>
        </w:rPr>
        <w:t>El envejecimiento de la población es un fenómeno mundial sin precedentes en la historia de la humanidad. Este se define como la serie de modificaciones morfológicas, psicológicas, funcionales y bioquímicas que origina el paso del tiempo sobre los seres vivos. Se caracteriza por la pérdida progresiva de la capacidad de adaptación y de reserva del organismo ante los cambios. Es un proceso dinámico que se inicia en el momento del nacimiento y se desarrolla a lo largo de nuestra vida.</w:t>
      </w:r>
      <w:r w:rsidRPr="001A045E">
        <w:rPr>
          <w:rFonts w:ascii="Verdana" w:hAnsi="Verdana" w:cs="Arial"/>
          <w:vertAlign w:val="superscript"/>
        </w:rPr>
        <w:t>1, 2</w:t>
      </w:r>
    </w:p>
    <w:p w:rsidR="003B4CF8" w:rsidRPr="001A045E" w:rsidRDefault="003B4CF8" w:rsidP="001A045E">
      <w:pPr>
        <w:spacing w:after="0" w:line="360" w:lineRule="auto"/>
        <w:jc w:val="both"/>
        <w:rPr>
          <w:rFonts w:ascii="Verdana" w:hAnsi="Verdana" w:cs="Arial"/>
        </w:rPr>
      </w:pPr>
      <w:r w:rsidRPr="001A045E">
        <w:rPr>
          <w:rFonts w:ascii="Verdana" w:hAnsi="Verdana" w:cs="Arial"/>
        </w:rPr>
        <w:t>Desde el punto de vista bioquímico, este sería el resultado de modificaciones químicas crónicas de toda clase de biomoléculas. Los cambios en el metabolismo de las células senescentes, como la menor sensibilidad a las hormonas y el descenso en su capacidad sintetizadora y de degradación, por ejemplo en el sistema inmunitario y retículo-endotelial, pueden afectar a nuestra adaptabilidad y susceptibilidad al estrés y a las enfermedades propias de la edad, limitando nuestro periodo de vida. La longevidad se logra desarrollando sistemas eficientes para limitar y reparar los daños químicos.</w:t>
      </w:r>
      <w:r w:rsidRPr="001A045E">
        <w:rPr>
          <w:rFonts w:ascii="Verdana" w:hAnsi="Verdana" w:cs="Arial"/>
          <w:vertAlign w:val="superscript"/>
        </w:rPr>
        <w:t>1</w:t>
      </w:r>
    </w:p>
    <w:p w:rsidR="000C11E2" w:rsidRPr="001A045E" w:rsidRDefault="000C11E2" w:rsidP="001A045E">
      <w:pPr>
        <w:spacing w:after="0" w:line="360" w:lineRule="auto"/>
        <w:jc w:val="both"/>
        <w:rPr>
          <w:rFonts w:ascii="Verdana" w:hAnsi="Verdana" w:cs="Arial"/>
        </w:rPr>
      </w:pPr>
      <w:r w:rsidRPr="001A045E">
        <w:rPr>
          <w:rFonts w:ascii="Verdana" w:hAnsi="Verdana" w:cs="Arial"/>
        </w:rPr>
        <w:t xml:space="preserve">Aunque las causas del envejecimiento poblacional son las mismas en todos los países, a lo largo del tiempo estas han tenido un papel diferente en cada etapa. La disminución de la natalidad y la fecundidad parecen ser la causa más importante, mientras que la disminución de la mortalidad aparece como un determinante del envejecimiento. Las migraciones son el tercer </w:t>
      </w:r>
      <w:r w:rsidRPr="001A045E">
        <w:rPr>
          <w:rFonts w:ascii="Verdana" w:hAnsi="Verdana" w:cs="Arial"/>
        </w:rPr>
        <w:lastRenderedPageBreak/>
        <w:t>factor que influye: los flujos migratorios, tanto internos como externos, pueden llevar al aumento de las proporciones de ancianos en una población determinada. La senescencia no es una enfermedad sino un periodo de nuestra vida.</w:t>
      </w:r>
      <w:r w:rsidRPr="001A045E">
        <w:rPr>
          <w:rFonts w:ascii="Verdana" w:hAnsi="Verdana" w:cs="Arial"/>
          <w:vertAlign w:val="superscript"/>
        </w:rPr>
        <w:t>1</w:t>
      </w:r>
    </w:p>
    <w:p w:rsidR="003B4CF8" w:rsidRPr="001A045E" w:rsidRDefault="003B4CF8" w:rsidP="001A045E">
      <w:pPr>
        <w:spacing w:after="0" w:line="360" w:lineRule="auto"/>
        <w:jc w:val="both"/>
        <w:rPr>
          <w:rFonts w:ascii="Verdana" w:hAnsi="Verdana" w:cs="Arial"/>
        </w:rPr>
      </w:pPr>
      <w:r w:rsidRPr="001A045E">
        <w:rPr>
          <w:rFonts w:ascii="Verdana" w:hAnsi="Verdana" w:cs="Arial"/>
        </w:rPr>
        <w:t>En los países envejecidos como Cuba es menester considerar y aprovechar las capacidades de las personas mayores como fuente de desarrollo sostenible. Las investigaciones sociales pueden ayudar a ordenar esta situación de modo que se adecuen las condiciones laborales para este grupo de población.</w:t>
      </w:r>
      <w:r w:rsidRPr="001A045E">
        <w:rPr>
          <w:rFonts w:ascii="Verdana" w:hAnsi="Verdana" w:cs="Arial"/>
          <w:vertAlign w:val="superscript"/>
        </w:rPr>
        <w:t>3</w:t>
      </w:r>
    </w:p>
    <w:p w:rsidR="003B4CF8" w:rsidRPr="001A045E" w:rsidRDefault="003B4CF8" w:rsidP="001A045E">
      <w:pPr>
        <w:spacing w:after="0" w:line="360" w:lineRule="auto"/>
        <w:jc w:val="both"/>
        <w:rPr>
          <w:rFonts w:ascii="Verdana" w:hAnsi="Verdana" w:cs="Arial"/>
          <w:vertAlign w:val="superscript"/>
        </w:rPr>
      </w:pPr>
      <w:r w:rsidRPr="001A045E">
        <w:rPr>
          <w:rFonts w:ascii="Verdana" w:hAnsi="Verdana" w:cs="Arial"/>
        </w:rPr>
        <w:t>Una de las acciones encaminadas a lograr el enveje</w:t>
      </w:r>
      <w:r w:rsidRPr="001A045E">
        <w:rPr>
          <w:rFonts w:ascii="Verdana" w:hAnsi="Verdana" w:cs="Arial"/>
        </w:rPr>
        <w:softHyphen/>
        <w:t>cimiento saludable es la incorporación de estas personas a los llamados círculos de abuelos, una iniciativa comunitaria que contribuye a la práctica de la activi</w:t>
      </w:r>
      <w:r w:rsidRPr="001A045E">
        <w:rPr>
          <w:rFonts w:ascii="Verdana" w:hAnsi="Verdana" w:cs="Arial"/>
        </w:rPr>
        <w:softHyphen/>
        <w:t>dad física, la diseminación de informa</w:t>
      </w:r>
      <w:r w:rsidRPr="001A045E">
        <w:rPr>
          <w:rFonts w:ascii="Verdana" w:hAnsi="Verdana" w:cs="Arial"/>
        </w:rPr>
        <w:softHyphen/>
        <w:t>ción sobre estilos de vida saludable, la realización de actividades sociales, Pasar la vejez en el lugar donde ha transcurrido la vida facilita a las perso</w:t>
      </w:r>
      <w:r w:rsidRPr="001A045E">
        <w:rPr>
          <w:rFonts w:ascii="Verdana" w:hAnsi="Verdana" w:cs="Arial"/>
        </w:rPr>
        <w:softHyphen/>
        <w:t>nas mayores los lazos con su comunidad y las redes sociales. Asimismo, procura empoderarlas para que contribuyan a la sociedad y sigan siendo miembros acti</w:t>
      </w:r>
      <w:r w:rsidRPr="001A045E">
        <w:rPr>
          <w:rFonts w:ascii="Verdana" w:hAnsi="Verdana" w:cs="Arial"/>
        </w:rPr>
        <w:softHyphen/>
        <w:t>vos de sus comunidades.</w:t>
      </w:r>
      <w:r w:rsidRPr="001A045E">
        <w:rPr>
          <w:rFonts w:ascii="Verdana" w:hAnsi="Verdana" w:cs="Arial"/>
          <w:vertAlign w:val="superscript"/>
        </w:rPr>
        <w:t>4</w:t>
      </w:r>
    </w:p>
    <w:p w:rsidR="003B4CF8" w:rsidRPr="001A045E" w:rsidRDefault="00F04704" w:rsidP="001A045E">
      <w:pPr>
        <w:spacing w:after="0" w:line="360" w:lineRule="auto"/>
        <w:jc w:val="both"/>
        <w:rPr>
          <w:rFonts w:ascii="Verdana" w:hAnsi="Verdana" w:cs="Arial"/>
        </w:rPr>
      </w:pPr>
      <w:r w:rsidRPr="001A045E">
        <w:rPr>
          <w:rFonts w:ascii="Verdana" w:hAnsi="Verdana" w:cs="Arial"/>
        </w:rPr>
        <w:t>Los estudios referidos al estado nutricional en el</w:t>
      </w:r>
      <w:r w:rsidR="003B4CF8" w:rsidRPr="001A045E">
        <w:rPr>
          <w:rFonts w:ascii="Verdana" w:hAnsi="Verdana" w:cs="Arial"/>
        </w:rPr>
        <w:t xml:space="preserve"> adulto </w:t>
      </w:r>
      <w:r w:rsidRPr="001A045E">
        <w:rPr>
          <w:rFonts w:ascii="Verdana" w:hAnsi="Verdana" w:cs="Arial"/>
        </w:rPr>
        <w:t xml:space="preserve">son escasos en nuestra provincia y más aun en el municipio Moa por lo que nos </w:t>
      </w:r>
      <w:r w:rsidR="003B4CF8" w:rsidRPr="001A045E">
        <w:rPr>
          <w:rFonts w:ascii="Verdana" w:hAnsi="Verdana" w:cs="Arial"/>
        </w:rPr>
        <w:t>motiva</w:t>
      </w:r>
      <w:r w:rsidRPr="001A045E">
        <w:rPr>
          <w:rFonts w:ascii="Verdana" w:hAnsi="Verdana" w:cs="Arial"/>
        </w:rPr>
        <w:t>mos</w:t>
      </w:r>
      <w:r w:rsidR="003B4CF8" w:rsidRPr="001A045E">
        <w:rPr>
          <w:rFonts w:ascii="Verdana" w:hAnsi="Verdana" w:cs="Arial"/>
        </w:rPr>
        <w:t xml:space="preserve"> por la necesidad de identificar riesgos nutricionales en esta parte de dicha población</w:t>
      </w:r>
      <w:r w:rsidRPr="001A045E">
        <w:rPr>
          <w:rFonts w:ascii="Verdana" w:hAnsi="Verdana" w:cs="Arial"/>
        </w:rPr>
        <w:t>,</w:t>
      </w:r>
      <w:r w:rsidR="003B4CF8" w:rsidRPr="001A045E">
        <w:rPr>
          <w:rFonts w:ascii="Verdana" w:hAnsi="Verdana" w:cs="Arial"/>
        </w:rPr>
        <w:t xml:space="preserve"> nos planteamos como </w:t>
      </w:r>
      <w:r w:rsidR="003B4CF8" w:rsidRPr="001A045E">
        <w:rPr>
          <w:rFonts w:ascii="Verdana" w:hAnsi="Verdana" w:cs="Arial"/>
          <w:bCs/>
        </w:rPr>
        <w:t>problema científico</w:t>
      </w:r>
      <w:r w:rsidR="003B4CF8" w:rsidRPr="001A045E">
        <w:rPr>
          <w:rFonts w:ascii="Verdana" w:hAnsi="Verdana" w:cs="Arial"/>
        </w:rPr>
        <w:t>: ¿Cuál es el estado nutricional de los ancianos que asisten a la casa del abuelo, del policlínico Juan M. Páez en el municipio Moa?</w:t>
      </w:r>
    </w:p>
    <w:p w:rsidR="00ED6A81" w:rsidRPr="001A045E" w:rsidRDefault="00ED6A81" w:rsidP="001A045E">
      <w:pPr>
        <w:spacing w:after="0" w:line="360" w:lineRule="auto"/>
        <w:jc w:val="both"/>
        <w:rPr>
          <w:rFonts w:ascii="Verdana" w:hAnsi="Verdana" w:cs="Arial"/>
          <w:b/>
        </w:rPr>
      </w:pPr>
      <w:r w:rsidRPr="001A045E">
        <w:rPr>
          <w:rFonts w:ascii="Verdana" w:hAnsi="Verdana" w:cs="Arial"/>
          <w:b/>
        </w:rPr>
        <w:t>MATERIAL Y MÉTODOS:</w:t>
      </w:r>
    </w:p>
    <w:p w:rsidR="002D663F" w:rsidRPr="001A045E" w:rsidRDefault="002D663F" w:rsidP="001A045E">
      <w:pPr>
        <w:spacing w:after="0" w:line="360" w:lineRule="auto"/>
        <w:jc w:val="both"/>
        <w:rPr>
          <w:rFonts w:ascii="Verdana" w:hAnsi="Verdana" w:cs="Arial"/>
        </w:rPr>
      </w:pPr>
      <w:r w:rsidRPr="001A045E">
        <w:rPr>
          <w:rFonts w:ascii="Verdana" w:hAnsi="Verdana" w:cs="Arial"/>
        </w:rPr>
        <w:t>Se realizó un estudio descriptivo transversal para caracterizar el estado nutricional de los adultos mayores que asisten a la casa del abuelo en el municipio Moa en el periodo comprendido entre febrero 2019 hasta febrero 2020. El universo estuvo constituido por 96 ancianos, de ellos 41 del sexo femenino y 55 del sexo masculino que asisten a esa institución.</w:t>
      </w:r>
    </w:p>
    <w:p w:rsidR="006A611F" w:rsidRPr="001A045E" w:rsidRDefault="002D663F" w:rsidP="001A045E">
      <w:pPr>
        <w:suppressAutoHyphens/>
        <w:spacing w:after="0" w:line="360" w:lineRule="auto"/>
        <w:jc w:val="both"/>
        <w:rPr>
          <w:rFonts w:ascii="Verdana" w:hAnsi="Verdana" w:cs="Arial"/>
        </w:rPr>
      </w:pPr>
      <w:r w:rsidRPr="001A045E">
        <w:rPr>
          <w:rFonts w:ascii="Verdana" w:hAnsi="Verdana" w:cs="Arial"/>
        </w:rPr>
        <w:t xml:space="preserve">Para dar salida a los objetivos se caracterizaron las siguientes variables: Estado Nutricional (Se evaluó a través de la encuesta Mini Nutritional Assessment), Edad, Sexo, </w:t>
      </w:r>
      <w:r w:rsidR="006A611F" w:rsidRPr="001A045E">
        <w:rPr>
          <w:rFonts w:ascii="Verdana" w:hAnsi="Verdana" w:cs="Arial"/>
        </w:rPr>
        <w:t>variables bioquímicas (</w:t>
      </w:r>
      <w:r w:rsidRPr="001A045E">
        <w:rPr>
          <w:rFonts w:ascii="Verdana" w:hAnsi="Verdana" w:cs="Arial"/>
        </w:rPr>
        <w:t>Hemoglobina, Colesterol, Triacilglicéridos, Creatinina, Ácido Úrico, Glicemia</w:t>
      </w:r>
      <w:r w:rsidR="006A611F" w:rsidRPr="001A045E">
        <w:rPr>
          <w:rFonts w:ascii="Verdana" w:hAnsi="Verdana" w:cs="Arial"/>
        </w:rPr>
        <w:t>);</w:t>
      </w:r>
      <w:r w:rsidRPr="001A045E">
        <w:rPr>
          <w:rFonts w:ascii="Verdana" w:hAnsi="Verdana" w:cs="Arial"/>
        </w:rPr>
        <w:t xml:space="preserve"> Variables antropométricas (peso, </w:t>
      </w:r>
      <w:r w:rsidRPr="001A045E">
        <w:rPr>
          <w:rFonts w:ascii="Verdana" w:hAnsi="Verdana" w:cs="Arial"/>
          <w:bCs/>
        </w:rPr>
        <w:t xml:space="preserve">Talla, </w:t>
      </w:r>
      <w:r w:rsidRPr="001A045E">
        <w:rPr>
          <w:rFonts w:ascii="Verdana" w:hAnsi="Verdana" w:cs="Arial"/>
        </w:rPr>
        <w:t xml:space="preserve">La circunferencia del brazo, </w:t>
      </w:r>
      <w:r w:rsidRPr="001A045E">
        <w:rPr>
          <w:rFonts w:ascii="Verdana" w:hAnsi="Verdana" w:cs="Arial"/>
          <w:bCs/>
        </w:rPr>
        <w:t>Circunferencia de la pantorrilla</w:t>
      </w:r>
      <w:r w:rsidR="006A611F" w:rsidRPr="001A045E">
        <w:rPr>
          <w:rFonts w:ascii="Verdana" w:hAnsi="Verdana" w:cs="Arial"/>
          <w:bCs/>
        </w:rPr>
        <w:t xml:space="preserve">, </w:t>
      </w:r>
      <w:r w:rsidRPr="001A045E">
        <w:rPr>
          <w:rFonts w:ascii="Verdana" w:hAnsi="Verdana" w:cs="Arial"/>
          <w:bCs/>
        </w:rPr>
        <w:t>Circunferencia abdominal</w:t>
      </w:r>
      <w:r w:rsidR="006A611F" w:rsidRPr="001A045E">
        <w:rPr>
          <w:rFonts w:ascii="Verdana" w:hAnsi="Verdana" w:cs="Arial"/>
          <w:bCs/>
        </w:rPr>
        <w:t xml:space="preserve">, </w:t>
      </w:r>
      <w:r w:rsidRPr="001A045E">
        <w:rPr>
          <w:rFonts w:ascii="Verdana" w:hAnsi="Verdana" w:cs="Arial"/>
          <w:bCs/>
        </w:rPr>
        <w:t>Puntaje indicador de malnutrición</w:t>
      </w:r>
      <w:r w:rsidR="006A611F" w:rsidRPr="001A045E">
        <w:rPr>
          <w:rFonts w:ascii="Verdana" w:hAnsi="Verdana" w:cs="Arial"/>
          <w:bCs/>
        </w:rPr>
        <w:t>)</w:t>
      </w:r>
    </w:p>
    <w:p w:rsidR="002D663F" w:rsidRPr="001A045E" w:rsidRDefault="002D663F" w:rsidP="001A045E">
      <w:pPr>
        <w:suppressAutoHyphens/>
        <w:spacing w:after="0" w:line="360" w:lineRule="auto"/>
        <w:jc w:val="both"/>
        <w:rPr>
          <w:rFonts w:ascii="Verdana" w:hAnsi="Verdana" w:cs="Arial"/>
        </w:rPr>
      </w:pPr>
      <w:r w:rsidRPr="001A045E">
        <w:rPr>
          <w:rFonts w:ascii="Verdana" w:hAnsi="Verdana" w:cs="Arial"/>
        </w:rPr>
        <w:lastRenderedPageBreak/>
        <w:t xml:space="preserve"> 3.6 Técnicas y Procedimientos:</w:t>
      </w:r>
    </w:p>
    <w:p w:rsidR="002D663F" w:rsidRPr="001A045E" w:rsidRDefault="002D663F" w:rsidP="001A045E">
      <w:pPr>
        <w:suppressAutoHyphens/>
        <w:spacing w:after="0" w:line="360" w:lineRule="auto"/>
        <w:jc w:val="both"/>
        <w:rPr>
          <w:rFonts w:ascii="Verdana" w:hAnsi="Verdana" w:cs="Arial"/>
          <w:b/>
        </w:rPr>
      </w:pPr>
      <w:r w:rsidRPr="001A045E">
        <w:rPr>
          <w:rFonts w:ascii="Verdana" w:hAnsi="Verdana" w:cs="Arial"/>
        </w:rPr>
        <w:t>Los resultados se procesaron en tablas. La estrategia de búsqueda bibliográfica se sustentó en textos clásicos, revistas, en formatos digitales soportados en INFOMED y PUBMED sobre artículos de la temática correspondiente al período del 2015 al 2020, aunque se citan bibliografías de años anteriores no sobrepasando los años establecidos.</w:t>
      </w:r>
    </w:p>
    <w:p w:rsidR="002D663F" w:rsidRPr="001A045E" w:rsidRDefault="002D663F" w:rsidP="001A045E">
      <w:pPr>
        <w:suppressAutoHyphens/>
        <w:spacing w:after="0" w:line="360" w:lineRule="auto"/>
        <w:jc w:val="both"/>
        <w:rPr>
          <w:rFonts w:ascii="Verdana" w:hAnsi="Verdana" w:cs="Arial"/>
        </w:rPr>
      </w:pPr>
      <w:r w:rsidRPr="001A045E">
        <w:rPr>
          <w:rFonts w:ascii="Verdana" w:hAnsi="Verdana" w:cs="Arial"/>
        </w:rPr>
        <w:t>3.7 Aspectos éticos</w:t>
      </w:r>
      <w:r w:rsidRPr="001A045E">
        <w:rPr>
          <w:rFonts w:ascii="Verdana" w:hAnsi="Verdana" w:cs="Arial"/>
          <w:bCs/>
        </w:rPr>
        <w:t>:</w:t>
      </w:r>
    </w:p>
    <w:p w:rsidR="002D663F" w:rsidRPr="001A045E" w:rsidRDefault="002D663F" w:rsidP="001A045E">
      <w:pPr>
        <w:suppressAutoHyphens/>
        <w:spacing w:after="0" w:line="360" w:lineRule="auto"/>
        <w:jc w:val="both"/>
        <w:rPr>
          <w:rFonts w:ascii="Verdana" w:hAnsi="Verdana" w:cs="Arial"/>
        </w:rPr>
      </w:pPr>
      <w:r w:rsidRPr="001A045E">
        <w:rPr>
          <w:rFonts w:ascii="Verdana" w:hAnsi="Verdana" w:cs="Arial"/>
        </w:rPr>
        <w:t>La investigación se rigió por lo establecido por la Declaración de Helsinki de 1976 y con el consentimiento informado de los adultos mayores estudiados se solicitó la aprobación del comité de ética de la institución</w:t>
      </w:r>
      <w:r w:rsidR="006A611F" w:rsidRPr="001A045E">
        <w:rPr>
          <w:rFonts w:ascii="Verdana" w:hAnsi="Verdana" w:cs="Arial"/>
        </w:rPr>
        <w:t xml:space="preserve">. </w:t>
      </w:r>
      <w:r w:rsidRPr="001A045E">
        <w:rPr>
          <w:rFonts w:ascii="Verdana" w:hAnsi="Verdana" w:cs="Arial"/>
        </w:rPr>
        <w:t>Los pacientes dieron su consentimiento oral y por escrito para participar en esta investigación que se aprobó por el Consejo Científico y el Comité de Ética para las Investigaciones de la Universidad de Ciencias Médicas de Holguín, Cuba.</w:t>
      </w:r>
    </w:p>
    <w:p w:rsidR="00E338C0" w:rsidRPr="001A045E" w:rsidRDefault="00E338C0" w:rsidP="001A045E">
      <w:pPr>
        <w:spacing w:after="0" w:line="360" w:lineRule="auto"/>
        <w:jc w:val="both"/>
        <w:rPr>
          <w:rFonts w:ascii="Verdana" w:hAnsi="Verdana" w:cs="Arial"/>
        </w:rPr>
      </w:pPr>
      <w:r w:rsidRPr="001A045E">
        <w:rPr>
          <w:rFonts w:ascii="Verdana" w:hAnsi="Verdana" w:cs="Arial"/>
          <w:b/>
        </w:rPr>
        <w:t>RESULTADOS Y DISCUSIÓN:</w:t>
      </w:r>
    </w:p>
    <w:p w:rsidR="00E338C0" w:rsidRPr="001A045E" w:rsidRDefault="00E338C0" w:rsidP="001A045E">
      <w:pPr>
        <w:spacing w:after="0" w:line="360" w:lineRule="auto"/>
        <w:jc w:val="both"/>
        <w:rPr>
          <w:rFonts w:ascii="Verdana" w:hAnsi="Verdana" w:cs="Arial"/>
        </w:rPr>
      </w:pPr>
      <w:r w:rsidRPr="001A045E">
        <w:rPr>
          <w:rFonts w:ascii="Verdana" w:hAnsi="Verdana" w:cs="Arial"/>
        </w:rPr>
        <w:t>El envejecimiento de la población es un fenómeno mundial sin precedentes en la historia de la humanidad. Este se define como la serie de modificaciones morfológicas, psicológicas, funcionales y bioquímicas que origina el paso del tiempo sobre los seres vivos. Se caracteriza por la pérdida progresiva de la capacidad de adaptación y de reserva del organismo ante los cambios. Es un proceso dinámico que se inicia en el momento del nacimiento y se desarrolla a lo largo de nuestra vida.</w:t>
      </w:r>
      <w:r w:rsidRPr="001A045E">
        <w:rPr>
          <w:rFonts w:ascii="Verdana" w:hAnsi="Verdana" w:cs="Arial"/>
          <w:vertAlign w:val="superscript"/>
        </w:rPr>
        <w:t>1, 2</w:t>
      </w:r>
    </w:p>
    <w:p w:rsidR="00CA696A" w:rsidRPr="001A045E" w:rsidRDefault="00E338C0" w:rsidP="001A045E">
      <w:pPr>
        <w:spacing w:after="0" w:line="360" w:lineRule="auto"/>
        <w:jc w:val="both"/>
        <w:rPr>
          <w:rFonts w:ascii="Verdana" w:hAnsi="Verdana" w:cs="Arial"/>
          <w:b/>
        </w:rPr>
      </w:pPr>
      <w:r w:rsidRPr="001A045E">
        <w:rPr>
          <w:rFonts w:ascii="Verdana" w:hAnsi="Verdana" w:cs="Arial"/>
        </w:rPr>
        <w:t>En nuestro estudio se realizó la distribución de pacientes según grupo de edades y sexo. Predominó el grupo de edades de 70-79 años representado por el 30% de los pacientes estudiados y el sexo masculino el de mayor porciento con 55,7%. Consideramos que este resultado obedece a que los hombres tienen mayores limitaciones para enfrentar la cotidianeidad  al arribar al envejecimiento, por lo general viven solos y son candidatos a la atención en casas de abuelos y a la práctica de ejercicios en círculos de abuelos. Varios estudios  revisados en la literatura coinciden con los nuestros.</w:t>
      </w:r>
    </w:p>
    <w:p w:rsidR="00E338C0" w:rsidRPr="001A045E" w:rsidRDefault="00E338C0" w:rsidP="001A045E">
      <w:pPr>
        <w:spacing w:after="0" w:line="360" w:lineRule="auto"/>
        <w:jc w:val="both"/>
        <w:rPr>
          <w:rFonts w:ascii="Verdana" w:hAnsi="Verdana" w:cs="Arial"/>
          <w:bCs/>
        </w:rPr>
      </w:pPr>
      <w:r w:rsidRPr="001A045E">
        <w:rPr>
          <w:rFonts w:ascii="Verdana" w:hAnsi="Verdana" w:cs="Arial"/>
        </w:rPr>
        <w:t>Tabla 1.</w:t>
      </w:r>
      <w:r w:rsidRPr="001A045E">
        <w:rPr>
          <w:rFonts w:ascii="Verdana" w:hAnsi="Verdana" w:cs="Arial"/>
          <w:b/>
        </w:rPr>
        <w:t xml:space="preserve"> </w:t>
      </w:r>
      <w:r w:rsidRPr="001A045E">
        <w:rPr>
          <w:rFonts w:ascii="Verdana" w:hAnsi="Verdana" w:cs="Arial"/>
        </w:rPr>
        <w:t>Distribución de pacientes según variables socio-demográficas</w:t>
      </w:r>
    </w:p>
    <w:tbl>
      <w:tblPr>
        <w:tblW w:w="7888" w:type="dxa"/>
        <w:tblInd w:w="675" w:type="dxa"/>
        <w:tblBorders>
          <w:top w:val="single" w:sz="12" w:space="0" w:color="00000A"/>
        </w:tblBorders>
        <w:tblLook w:val="04A0"/>
      </w:tblPr>
      <w:tblGrid>
        <w:gridCol w:w="2036"/>
        <w:gridCol w:w="2237"/>
        <w:gridCol w:w="2173"/>
        <w:gridCol w:w="1442"/>
      </w:tblGrid>
      <w:tr w:rsidR="00E338C0" w:rsidRPr="001A045E" w:rsidTr="005810FC">
        <w:trPr>
          <w:trHeight w:val="641"/>
        </w:trPr>
        <w:tc>
          <w:tcPr>
            <w:tcW w:w="2035" w:type="dxa"/>
            <w:tcBorders>
              <w:top w:val="single" w:sz="12" w:space="0" w:color="00000A"/>
            </w:tcBorders>
            <w:shd w:val="clear" w:color="auto" w:fill="FFFFFF"/>
            <w:vAlign w:val="center"/>
          </w:tcPr>
          <w:p w:rsidR="00E338C0" w:rsidRPr="001A045E" w:rsidRDefault="00E338C0" w:rsidP="001A045E">
            <w:pPr>
              <w:spacing w:after="0" w:line="360" w:lineRule="auto"/>
              <w:jc w:val="both"/>
              <w:rPr>
                <w:rFonts w:ascii="Verdana" w:hAnsi="Verdana" w:cs="Arial"/>
                <w:bCs/>
                <w:lang w:val="en-US"/>
              </w:rPr>
            </w:pPr>
            <w:r w:rsidRPr="001A045E">
              <w:rPr>
                <w:rFonts w:ascii="Verdana" w:hAnsi="Verdana" w:cs="Arial"/>
                <w:bCs/>
                <w:lang w:val="en-US"/>
              </w:rPr>
              <w:t>Grupo de edades</w:t>
            </w:r>
          </w:p>
        </w:tc>
        <w:tc>
          <w:tcPr>
            <w:tcW w:w="2237" w:type="dxa"/>
            <w:tcBorders>
              <w:top w:val="single" w:sz="12" w:space="0" w:color="00000A"/>
            </w:tcBorders>
            <w:shd w:val="clear" w:color="auto" w:fill="FFFFFF"/>
            <w:vAlign w:val="center"/>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bCs/>
                <w:lang w:val="en-US"/>
              </w:rPr>
              <w:t>Masculino</w:t>
            </w:r>
          </w:p>
          <w:p w:rsidR="00E338C0" w:rsidRPr="001A045E" w:rsidRDefault="00E338C0" w:rsidP="001A045E">
            <w:pPr>
              <w:spacing w:after="0" w:line="360" w:lineRule="auto"/>
              <w:jc w:val="both"/>
              <w:rPr>
                <w:rFonts w:ascii="Verdana" w:hAnsi="Verdana" w:cs="Arial"/>
                <w:bCs/>
                <w:lang w:val="en-US"/>
              </w:rPr>
            </w:pPr>
            <w:r w:rsidRPr="001A045E">
              <w:rPr>
                <w:rFonts w:ascii="Verdana" w:hAnsi="Verdana" w:cs="Arial"/>
                <w:lang w:val="en-US"/>
              </w:rPr>
              <w:t xml:space="preserve">No         %                         </w:t>
            </w:r>
          </w:p>
        </w:tc>
        <w:tc>
          <w:tcPr>
            <w:tcW w:w="2173" w:type="dxa"/>
            <w:tcBorders>
              <w:top w:val="single" w:sz="12" w:space="0" w:color="00000A"/>
            </w:tcBorders>
            <w:shd w:val="clear" w:color="auto" w:fill="FFFFFF"/>
            <w:vAlign w:val="center"/>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bCs/>
                <w:lang w:val="en-US"/>
              </w:rPr>
              <w:t>Femenino</w:t>
            </w:r>
          </w:p>
          <w:p w:rsidR="00E338C0" w:rsidRPr="001A045E" w:rsidRDefault="00E338C0" w:rsidP="001A045E">
            <w:pPr>
              <w:spacing w:after="0" w:line="360" w:lineRule="auto"/>
              <w:jc w:val="both"/>
              <w:rPr>
                <w:rFonts w:ascii="Verdana" w:hAnsi="Verdana" w:cs="Arial"/>
                <w:bCs/>
                <w:lang w:val="en-US"/>
              </w:rPr>
            </w:pPr>
            <w:r w:rsidRPr="001A045E">
              <w:rPr>
                <w:rFonts w:ascii="Verdana" w:hAnsi="Verdana" w:cs="Arial"/>
                <w:lang w:val="en-US"/>
              </w:rPr>
              <w:t>No         %</w:t>
            </w:r>
          </w:p>
        </w:tc>
        <w:tc>
          <w:tcPr>
            <w:tcW w:w="1442" w:type="dxa"/>
            <w:tcBorders>
              <w:top w:val="single" w:sz="12" w:space="0" w:color="00000A"/>
            </w:tcBorders>
            <w:shd w:val="clear" w:color="auto" w:fill="FFFFFF"/>
            <w:vAlign w:val="center"/>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bCs/>
                <w:lang w:val="en-US"/>
              </w:rPr>
              <w:t>Total</w:t>
            </w:r>
          </w:p>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No      %</w:t>
            </w:r>
          </w:p>
        </w:tc>
      </w:tr>
      <w:tr w:rsidR="00E338C0" w:rsidRPr="001A045E" w:rsidTr="005810FC">
        <w:trPr>
          <w:trHeight w:val="242"/>
        </w:trPr>
        <w:tc>
          <w:tcPr>
            <w:tcW w:w="2035" w:type="dxa"/>
            <w:tcBorders>
              <w:top w:val="single" w:sz="12" w:space="0" w:color="00000A"/>
            </w:tcBorders>
            <w:shd w:val="clear" w:color="auto" w:fill="FFFFFF"/>
          </w:tcPr>
          <w:p w:rsidR="00E338C0" w:rsidRPr="001A045E" w:rsidRDefault="00E338C0" w:rsidP="001A045E">
            <w:pPr>
              <w:spacing w:after="0" w:line="360" w:lineRule="auto"/>
              <w:jc w:val="both"/>
              <w:rPr>
                <w:rFonts w:ascii="Verdana" w:hAnsi="Verdana" w:cs="Arial"/>
                <w:bCs/>
                <w:lang w:val="en-US"/>
              </w:rPr>
            </w:pPr>
          </w:p>
        </w:tc>
        <w:tc>
          <w:tcPr>
            <w:tcW w:w="2237" w:type="dxa"/>
            <w:tcBorders>
              <w:top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p>
        </w:tc>
        <w:tc>
          <w:tcPr>
            <w:tcW w:w="2173" w:type="dxa"/>
            <w:tcBorders>
              <w:top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p>
        </w:tc>
        <w:tc>
          <w:tcPr>
            <w:tcW w:w="1442" w:type="dxa"/>
            <w:tcBorders>
              <w:top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p>
        </w:tc>
      </w:tr>
      <w:tr w:rsidR="00E338C0" w:rsidRPr="001A045E" w:rsidTr="005810FC">
        <w:trPr>
          <w:trHeight w:val="423"/>
        </w:trPr>
        <w:tc>
          <w:tcPr>
            <w:tcW w:w="2035"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bCs/>
                <w:lang w:val="en-US"/>
              </w:rPr>
              <w:t>60-64</w:t>
            </w:r>
          </w:p>
        </w:tc>
        <w:tc>
          <w:tcPr>
            <w:tcW w:w="2237"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6      13,9</w:t>
            </w:r>
          </w:p>
        </w:tc>
        <w:tc>
          <w:tcPr>
            <w:tcW w:w="2173"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5         13,5</w:t>
            </w:r>
          </w:p>
        </w:tc>
        <w:tc>
          <w:tcPr>
            <w:tcW w:w="1442"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11     13,7</w:t>
            </w:r>
          </w:p>
        </w:tc>
      </w:tr>
      <w:tr w:rsidR="00E338C0" w:rsidRPr="001A045E" w:rsidTr="005810FC">
        <w:trPr>
          <w:trHeight w:val="423"/>
        </w:trPr>
        <w:tc>
          <w:tcPr>
            <w:tcW w:w="2035"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bCs/>
                <w:lang w:val="en-US"/>
              </w:rPr>
              <w:t>65-69</w:t>
            </w:r>
          </w:p>
        </w:tc>
        <w:tc>
          <w:tcPr>
            <w:tcW w:w="2237"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8      18,6</w:t>
            </w:r>
          </w:p>
        </w:tc>
        <w:tc>
          <w:tcPr>
            <w:tcW w:w="2173" w:type="dxa"/>
            <w:shd w:val="clear" w:color="auto" w:fill="FFFFFF"/>
          </w:tcPr>
          <w:p w:rsidR="00E338C0" w:rsidRPr="001A045E" w:rsidRDefault="00E338C0" w:rsidP="001A045E">
            <w:pPr>
              <w:spacing w:after="0" w:line="360" w:lineRule="auto"/>
              <w:jc w:val="both"/>
              <w:rPr>
                <w:rFonts w:ascii="Verdana" w:hAnsi="Verdana" w:cs="Arial"/>
              </w:rPr>
            </w:pPr>
            <w:r w:rsidRPr="001A045E">
              <w:rPr>
                <w:rFonts w:ascii="Verdana" w:hAnsi="Verdana" w:cs="Arial"/>
              </w:rPr>
              <w:t>12       32,4</w:t>
            </w:r>
          </w:p>
        </w:tc>
        <w:tc>
          <w:tcPr>
            <w:tcW w:w="1442"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20     25,0</w:t>
            </w:r>
          </w:p>
        </w:tc>
      </w:tr>
      <w:tr w:rsidR="00E338C0" w:rsidRPr="001A045E" w:rsidTr="005810FC">
        <w:trPr>
          <w:trHeight w:val="423"/>
        </w:trPr>
        <w:tc>
          <w:tcPr>
            <w:tcW w:w="2035" w:type="dxa"/>
            <w:shd w:val="clear" w:color="auto" w:fill="FFFFFF"/>
          </w:tcPr>
          <w:p w:rsidR="00E338C0" w:rsidRPr="001A045E" w:rsidRDefault="00E338C0" w:rsidP="001A045E">
            <w:pPr>
              <w:spacing w:after="0" w:line="360" w:lineRule="auto"/>
              <w:jc w:val="both"/>
              <w:rPr>
                <w:rFonts w:ascii="Verdana" w:hAnsi="Verdana" w:cs="Arial"/>
              </w:rPr>
            </w:pPr>
            <w:r w:rsidRPr="001A045E">
              <w:rPr>
                <w:rFonts w:ascii="Verdana" w:hAnsi="Verdana" w:cs="Arial"/>
                <w:bCs/>
                <w:lang w:val="en-US"/>
              </w:rPr>
              <w:t>70-79</w:t>
            </w:r>
          </w:p>
        </w:tc>
        <w:tc>
          <w:tcPr>
            <w:tcW w:w="2237"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rPr>
              <w:t>16    37,2</w:t>
            </w:r>
          </w:p>
        </w:tc>
        <w:tc>
          <w:tcPr>
            <w:tcW w:w="2173" w:type="dxa"/>
            <w:shd w:val="clear" w:color="auto" w:fill="FFFFFF"/>
          </w:tcPr>
          <w:p w:rsidR="00E338C0" w:rsidRPr="001A045E" w:rsidRDefault="00E338C0" w:rsidP="001A045E">
            <w:pPr>
              <w:spacing w:after="0" w:line="360" w:lineRule="auto"/>
              <w:jc w:val="both"/>
              <w:rPr>
                <w:rFonts w:ascii="Verdana" w:hAnsi="Verdana" w:cs="Arial"/>
              </w:rPr>
            </w:pPr>
            <w:r w:rsidRPr="001A045E">
              <w:rPr>
                <w:rFonts w:ascii="Verdana" w:hAnsi="Verdana" w:cs="Arial"/>
              </w:rPr>
              <w:t>14       37,8</w:t>
            </w:r>
          </w:p>
        </w:tc>
        <w:tc>
          <w:tcPr>
            <w:tcW w:w="1442" w:type="dxa"/>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 xml:space="preserve">30     37,5                            </w:t>
            </w:r>
          </w:p>
        </w:tc>
      </w:tr>
      <w:tr w:rsidR="00E338C0" w:rsidRPr="001A045E" w:rsidTr="005810FC">
        <w:trPr>
          <w:trHeight w:val="483"/>
        </w:trPr>
        <w:tc>
          <w:tcPr>
            <w:tcW w:w="2035" w:type="dxa"/>
            <w:tcBorders>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rPr>
            </w:pPr>
            <w:r w:rsidRPr="001A045E">
              <w:rPr>
                <w:rFonts w:ascii="Verdana" w:hAnsi="Verdana" w:cs="Arial"/>
                <w:bCs/>
                <w:lang w:val="en-US"/>
              </w:rPr>
              <w:t>80 y más</w:t>
            </w:r>
          </w:p>
        </w:tc>
        <w:tc>
          <w:tcPr>
            <w:tcW w:w="2237" w:type="dxa"/>
            <w:tcBorders>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rPr>
              <w:t>13    30,2</w:t>
            </w:r>
          </w:p>
        </w:tc>
        <w:tc>
          <w:tcPr>
            <w:tcW w:w="2173" w:type="dxa"/>
            <w:tcBorders>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rPr>
            </w:pPr>
            <w:r w:rsidRPr="001A045E">
              <w:rPr>
                <w:rFonts w:ascii="Verdana" w:hAnsi="Verdana" w:cs="Arial"/>
              </w:rPr>
              <w:t>6         16,2</w:t>
            </w:r>
          </w:p>
        </w:tc>
        <w:tc>
          <w:tcPr>
            <w:tcW w:w="1442" w:type="dxa"/>
            <w:tcBorders>
              <w:bottom w:val="single" w:sz="12" w:space="0" w:color="00000A"/>
            </w:tcBorders>
            <w:shd w:val="clear" w:color="auto" w:fill="FFFFFF"/>
          </w:tcPr>
          <w:p w:rsidR="00E338C0" w:rsidRPr="001A045E" w:rsidRDefault="00CA696A" w:rsidP="001A045E">
            <w:pPr>
              <w:spacing w:after="0" w:line="360" w:lineRule="auto"/>
              <w:jc w:val="both"/>
              <w:rPr>
                <w:rFonts w:ascii="Verdana" w:hAnsi="Verdana" w:cs="Arial"/>
                <w:lang w:val="en-US"/>
              </w:rPr>
            </w:pPr>
            <w:r w:rsidRPr="001A045E">
              <w:rPr>
                <w:rFonts w:ascii="Verdana" w:hAnsi="Verdana" w:cs="Arial"/>
                <w:lang w:val="en-US"/>
              </w:rPr>
              <w:t xml:space="preserve">19    </w:t>
            </w:r>
            <w:r w:rsidR="00E338C0" w:rsidRPr="001A045E">
              <w:rPr>
                <w:rFonts w:ascii="Verdana" w:hAnsi="Verdana" w:cs="Arial"/>
                <w:lang w:val="en-US"/>
              </w:rPr>
              <w:t xml:space="preserve"> 23,7</w:t>
            </w:r>
          </w:p>
        </w:tc>
      </w:tr>
      <w:tr w:rsidR="00E338C0" w:rsidRPr="001A045E" w:rsidTr="005810FC">
        <w:trPr>
          <w:trHeight w:val="84"/>
        </w:trPr>
        <w:tc>
          <w:tcPr>
            <w:tcW w:w="2035" w:type="dxa"/>
            <w:tcBorders>
              <w:top w:val="single" w:sz="12" w:space="0" w:color="00000A"/>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bCs/>
              </w:rPr>
              <w:t>Total</w:t>
            </w:r>
          </w:p>
        </w:tc>
        <w:tc>
          <w:tcPr>
            <w:tcW w:w="2237" w:type="dxa"/>
            <w:tcBorders>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43    55,7</w:t>
            </w:r>
          </w:p>
        </w:tc>
        <w:tc>
          <w:tcPr>
            <w:tcW w:w="2173" w:type="dxa"/>
            <w:tcBorders>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37       46,2</w:t>
            </w:r>
          </w:p>
        </w:tc>
        <w:tc>
          <w:tcPr>
            <w:tcW w:w="1442" w:type="dxa"/>
            <w:tcBorders>
              <w:bottom w:val="single" w:sz="12" w:space="0" w:color="00000A"/>
            </w:tcBorders>
            <w:shd w:val="clear" w:color="auto" w:fill="FFFFFF"/>
          </w:tcPr>
          <w:p w:rsidR="00E338C0" w:rsidRPr="001A045E" w:rsidRDefault="00E338C0" w:rsidP="001A045E">
            <w:pPr>
              <w:spacing w:after="0" w:line="360" w:lineRule="auto"/>
              <w:jc w:val="both"/>
              <w:rPr>
                <w:rFonts w:ascii="Verdana" w:hAnsi="Verdana" w:cs="Arial"/>
                <w:lang w:val="en-US"/>
              </w:rPr>
            </w:pPr>
            <w:r w:rsidRPr="001A045E">
              <w:rPr>
                <w:rFonts w:ascii="Verdana" w:hAnsi="Verdana" w:cs="Arial"/>
                <w:lang w:val="en-US"/>
              </w:rPr>
              <w:t>80     100</w:t>
            </w:r>
          </w:p>
        </w:tc>
      </w:tr>
    </w:tbl>
    <w:p w:rsidR="00E338C0" w:rsidRPr="001A045E" w:rsidRDefault="00E338C0" w:rsidP="001A045E">
      <w:pPr>
        <w:spacing w:after="0" w:line="360" w:lineRule="auto"/>
        <w:jc w:val="both"/>
        <w:rPr>
          <w:rFonts w:ascii="Verdana" w:hAnsi="Verdana" w:cs="Arial"/>
          <w:lang w:val="en-US"/>
        </w:rPr>
      </w:pPr>
    </w:p>
    <w:p w:rsidR="00E338C0" w:rsidRPr="001A045E" w:rsidRDefault="00E338C0" w:rsidP="001A045E">
      <w:pPr>
        <w:spacing w:after="0" w:line="360" w:lineRule="auto"/>
        <w:jc w:val="both"/>
        <w:rPr>
          <w:rFonts w:ascii="Verdana" w:hAnsi="Verdana" w:cs="Arial"/>
          <w:vertAlign w:val="superscript"/>
        </w:rPr>
      </w:pPr>
      <w:r w:rsidRPr="001A045E">
        <w:rPr>
          <w:rFonts w:ascii="Verdana" w:hAnsi="Verdana" w:cs="Arial"/>
        </w:rPr>
        <w:t>El estudio Mendoza Delgadillo realizado en Lima en el año 2018 coincide  con nuestros  resultados  en relación al sexo que predominó, siendo el masculino en un 61,7%, grupo de edades de 70-79 años en un 47%.</w:t>
      </w:r>
      <w:r w:rsidR="00B9240F" w:rsidRPr="001A045E">
        <w:rPr>
          <w:rFonts w:ascii="Verdana" w:hAnsi="Verdana" w:cs="Arial"/>
          <w:vertAlign w:val="superscript"/>
        </w:rPr>
        <w:t xml:space="preserve"> </w:t>
      </w:r>
      <w:r w:rsidRPr="001A045E">
        <w:rPr>
          <w:rFonts w:ascii="Verdana" w:hAnsi="Verdana" w:cs="Arial"/>
        </w:rPr>
        <w:t>En el estudio de Vanegas y colaboradores en Ecuador en el año 2015 el 63,6%  de los adultos mayores corresponden al género masculino.</w:t>
      </w:r>
      <w:r w:rsidR="0042742F" w:rsidRPr="001A045E">
        <w:rPr>
          <w:rFonts w:ascii="Verdana" w:hAnsi="Verdana" w:cs="Arial"/>
          <w:vertAlign w:val="superscript"/>
        </w:rPr>
        <w:t>5</w:t>
      </w:r>
    </w:p>
    <w:p w:rsidR="00E338C0" w:rsidRPr="001A045E" w:rsidRDefault="00E338C0" w:rsidP="001A045E">
      <w:pPr>
        <w:spacing w:after="0" w:line="360" w:lineRule="auto"/>
        <w:jc w:val="both"/>
        <w:rPr>
          <w:rFonts w:ascii="Verdana" w:hAnsi="Verdana" w:cs="Arial"/>
        </w:rPr>
      </w:pPr>
      <w:r w:rsidRPr="001A045E">
        <w:rPr>
          <w:rFonts w:ascii="Verdana" w:hAnsi="Verdana" w:cs="Arial"/>
        </w:rPr>
        <w:t xml:space="preserve">En la investigación realizada por </w:t>
      </w:r>
      <w:r w:rsidRPr="001A045E">
        <w:rPr>
          <w:rFonts w:ascii="Verdana" w:hAnsi="Verdana" w:cs="Arial"/>
          <w:bCs/>
        </w:rPr>
        <w:t>Luz Marina Chalapud en Colombia en el 2017</w:t>
      </w:r>
      <w:r w:rsidRPr="001A045E">
        <w:rPr>
          <w:rFonts w:ascii="Verdana" w:hAnsi="Verdana" w:cs="Arial"/>
        </w:rPr>
        <w:t xml:space="preserve"> el 87,0% correspondió al sexo femenino.</w:t>
      </w:r>
      <w:r w:rsidRPr="001A045E">
        <w:rPr>
          <w:rFonts w:ascii="Verdana" w:hAnsi="Verdana" w:cs="Arial"/>
          <w:vertAlign w:val="superscript"/>
        </w:rPr>
        <w:t>6</w:t>
      </w:r>
      <w:r w:rsidRPr="001A045E">
        <w:rPr>
          <w:rFonts w:ascii="Verdana" w:hAnsi="Verdana" w:cs="Arial"/>
        </w:rPr>
        <w:t xml:space="preserve"> En un estudio realizado en la provincia de Holguín en el año 2017 existió un predomino del sexo femenino del 64,4%. La investigación realizada en hogares de ancianos de la ciudad de Asunción- Paraguay  en 2015 incluyó el 50 % de ambos sexos no existiendo tendencia sobre un sexo u otro.</w:t>
      </w:r>
      <w:r w:rsidR="000501FA" w:rsidRPr="001A045E">
        <w:rPr>
          <w:rFonts w:ascii="Verdana" w:hAnsi="Verdana" w:cs="Arial"/>
          <w:vertAlign w:val="superscript"/>
        </w:rPr>
        <w:t>7</w:t>
      </w:r>
    </w:p>
    <w:p w:rsidR="006A611F" w:rsidRPr="001A045E" w:rsidRDefault="00E338C0" w:rsidP="001A045E">
      <w:pPr>
        <w:suppressAutoHyphens/>
        <w:spacing w:after="0" w:line="360" w:lineRule="auto"/>
        <w:jc w:val="both"/>
        <w:rPr>
          <w:rFonts w:ascii="Verdana" w:hAnsi="Verdana" w:cs="Arial"/>
          <w:b/>
        </w:rPr>
      </w:pPr>
      <w:r w:rsidRPr="001A045E">
        <w:rPr>
          <w:rFonts w:ascii="Verdana" w:hAnsi="Verdana" w:cs="Arial"/>
        </w:rPr>
        <w:t>Los resultados planteados por Tejeda Ibarra y col. en su estudio realizado en Santiago de Cuba, plantea que los de 70-79 años representaron el 37,5% pacientes, coincide con el nuestro consideramos que esto se debe a los logros del sistema de salud que permite que la esperanza de vida sobrepase a los 75 años.</w:t>
      </w:r>
      <w:r w:rsidR="000501FA" w:rsidRPr="001A045E">
        <w:rPr>
          <w:rFonts w:ascii="Verdana" w:hAnsi="Verdana" w:cs="Arial"/>
          <w:vertAlign w:val="superscript"/>
        </w:rPr>
        <w:t>8</w:t>
      </w:r>
    </w:p>
    <w:p w:rsidR="00F65D92" w:rsidRPr="001A045E" w:rsidRDefault="001A045E" w:rsidP="001A045E">
      <w:pPr>
        <w:spacing w:after="0" w:line="360" w:lineRule="auto"/>
        <w:jc w:val="both"/>
        <w:rPr>
          <w:rFonts w:ascii="Verdana" w:hAnsi="Verdana" w:cs="Arial"/>
        </w:rPr>
      </w:pPr>
      <w:r>
        <w:rPr>
          <w:rFonts w:ascii="Verdana" w:hAnsi="Verdana" w:cs="Arial"/>
        </w:rPr>
        <w:t>En la Tabla 2</w:t>
      </w:r>
      <w:r w:rsidR="00F65D92" w:rsidRPr="001A045E">
        <w:rPr>
          <w:rFonts w:ascii="Verdana" w:hAnsi="Verdana" w:cs="Arial"/>
        </w:rPr>
        <w:t xml:space="preserve"> analizamos el comportamiento de la media, desviación típica y coeficiente de variabilidad del peso, Talla e Índice de Masa Corporal en los adultos mayores según sexo. Se observa que la media de peso (kg) es de 64,05 </w:t>
      </w:r>
      <w:r w:rsidR="00F65D92" w:rsidRPr="001A045E">
        <w:rPr>
          <w:rFonts w:ascii="Verdana" w:hAnsi="Verdana" w:cs="Arial"/>
          <w:bCs/>
        </w:rPr>
        <w:t>±</w:t>
      </w:r>
      <w:r w:rsidR="00F65D92" w:rsidRPr="001A045E">
        <w:rPr>
          <w:rFonts w:ascii="Verdana" w:hAnsi="Verdana" w:cs="Arial"/>
        </w:rPr>
        <w:t xml:space="preserve"> 12,2 de desviación para el sexo femenino y de 68,13 </w:t>
      </w:r>
      <w:r w:rsidR="00F65D92" w:rsidRPr="001A045E">
        <w:rPr>
          <w:rFonts w:ascii="Verdana" w:hAnsi="Verdana" w:cs="Arial"/>
          <w:bCs/>
        </w:rPr>
        <w:t xml:space="preserve">± </w:t>
      </w:r>
      <w:r w:rsidR="00F65D92" w:rsidRPr="001A045E">
        <w:rPr>
          <w:rFonts w:ascii="Verdana" w:hAnsi="Verdana" w:cs="Arial"/>
        </w:rPr>
        <w:t>15,2 para el sexo masculino, un CV para ambos sexos de 3,2</w:t>
      </w:r>
      <w:r>
        <w:rPr>
          <w:rFonts w:ascii="Verdana" w:hAnsi="Verdana" w:cs="Arial"/>
        </w:rPr>
        <w:t xml:space="preserve"> </w:t>
      </w:r>
      <w:r w:rsidR="00F65D92" w:rsidRPr="001A045E">
        <w:rPr>
          <w:rFonts w:ascii="Verdana" w:hAnsi="Verdana" w:cs="Arial"/>
        </w:rPr>
        <w:t>% por lo cual encontramos que no existen diferencias significativas entre ambos grupos, de acuerdo estudios estadísticos. La talla</w:t>
      </w:r>
      <w:r w:rsidR="00F65D92" w:rsidRPr="001A045E">
        <w:rPr>
          <w:rFonts w:ascii="Verdana" w:hAnsi="Verdana" w:cs="Arial"/>
          <w:bCs/>
          <w:iCs/>
        </w:rPr>
        <w:t xml:space="preserve"> (cm) </w:t>
      </w:r>
      <w:r w:rsidR="00F65D92" w:rsidRPr="001A045E">
        <w:rPr>
          <w:rFonts w:ascii="Verdana" w:hAnsi="Verdana" w:cs="Arial"/>
        </w:rPr>
        <w:t xml:space="preserve"> tiene una DE </w:t>
      </w:r>
      <w:smartTag w:uri="urn:schemas-microsoft-com:office:smarttags" w:element="time">
        <w:smartTagPr>
          <w:attr w:name="Hour" w:val="0"/>
          <w:attr w:name="Minute" w:val="05"/>
        </w:smartTagPr>
        <w:r w:rsidR="00F65D92" w:rsidRPr="001A045E">
          <w:rPr>
            <w:rFonts w:ascii="Verdana" w:hAnsi="Verdana" w:cs="Arial"/>
          </w:rPr>
          <w:t>0,05</w:t>
        </w:r>
      </w:smartTag>
      <w:r w:rsidR="00F65D92" w:rsidRPr="001A045E">
        <w:rPr>
          <w:rFonts w:ascii="Verdana" w:hAnsi="Verdana" w:cs="Arial"/>
        </w:rPr>
        <w:t xml:space="preserve"> y </w:t>
      </w:r>
      <w:smartTag w:uri="urn:schemas-microsoft-com:office:smarttags" w:element="time">
        <w:smartTagPr>
          <w:attr w:name="Hour" w:val="0"/>
          <w:attr w:name="Minute" w:val="08"/>
        </w:smartTagPr>
        <w:r w:rsidR="00F65D92" w:rsidRPr="001A045E">
          <w:rPr>
            <w:rFonts w:ascii="Verdana" w:hAnsi="Verdana" w:cs="Arial"/>
          </w:rPr>
          <w:t>0,08</w:t>
        </w:r>
      </w:smartTag>
      <w:r w:rsidR="00F65D92" w:rsidRPr="001A045E">
        <w:rPr>
          <w:rFonts w:ascii="Verdana" w:hAnsi="Verdana" w:cs="Arial"/>
        </w:rPr>
        <w:t xml:space="preserve"> y un CV de 1,6</w:t>
      </w:r>
      <w:r>
        <w:rPr>
          <w:rFonts w:ascii="Verdana" w:hAnsi="Verdana" w:cs="Arial"/>
        </w:rPr>
        <w:t xml:space="preserve"> </w:t>
      </w:r>
      <w:r w:rsidR="00F65D92" w:rsidRPr="001A045E">
        <w:rPr>
          <w:rFonts w:ascii="Verdana" w:hAnsi="Verdana" w:cs="Arial"/>
        </w:rPr>
        <w:t>%  en ambos sexo, el IMC presenta una DE que corresponde con una variabilidad de 1,8</w:t>
      </w:r>
      <w:r>
        <w:rPr>
          <w:rFonts w:ascii="Verdana" w:hAnsi="Verdana" w:cs="Arial"/>
        </w:rPr>
        <w:t xml:space="preserve"> </w:t>
      </w:r>
      <w:r w:rsidR="00F65D92" w:rsidRPr="001A045E">
        <w:rPr>
          <w:rFonts w:ascii="Verdana" w:hAnsi="Verdana" w:cs="Arial"/>
        </w:rPr>
        <w:t>%</w:t>
      </w:r>
      <w:r>
        <w:rPr>
          <w:rFonts w:ascii="Verdana" w:hAnsi="Verdana" w:cs="Arial"/>
        </w:rPr>
        <w:t xml:space="preserve"> </w:t>
      </w:r>
      <w:r w:rsidR="00F65D92" w:rsidRPr="001A045E">
        <w:rPr>
          <w:rFonts w:ascii="Verdana" w:hAnsi="Verdana" w:cs="Arial"/>
        </w:rPr>
        <w:t xml:space="preserve">entre los géneros. Indicadores no significativos. </w:t>
      </w:r>
    </w:p>
    <w:p w:rsidR="00F65D92" w:rsidRPr="001A045E" w:rsidRDefault="00F65D92" w:rsidP="001A045E">
      <w:pPr>
        <w:spacing w:after="0" w:line="360" w:lineRule="auto"/>
        <w:ind w:left="1418" w:hanging="1418"/>
        <w:jc w:val="both"/>
        <w:rPr>
          <w:rFonts w:ascii="Verdana" w:hAnsi="Verdana" w:cs="Arial"/>
          <w:bCs/>
        </w:rPr>
      </w:pPr>
      <w:r w:rsidRPr="001A045E">
        <w:rPr>
          <w:rFonts w:ascii="Verdana" w:hAnsi="Verdana" w:cs="Arial"/>
        </w:rPr>
        <w:lastRenderedPageBreak/>
        <w:t xml:space="preserve">Tabla  </w:t>
      </w:r>
      <w:r w:rsidR="001A045E">
        <w:rPr>
          <w:rFonts w:ascii="Verdana" w:hAnsi="Verdana" w:cs="Arial"/>
        </w:rPr>
        <w:t>2</w:t>
      </w:r>
      <w:r w:rsidRPr="001A045E">
        <w:rPr>
          <w:rFonts w:ascii="Verdana" w:hAnsi="Verdana" w:cs="Arial"/>
        </w:rPr>
        <w:t>.</w:t>
      </w:r>
      <w:r w:rsidRPr="001A045E">
        <w:rPr>
          <w:rFonts w:ascii="Verdana" w:hAnsi="Verdana" w:cs="Arial"/>
          <w:b/>
        </w:rPr>
        <w:t xml:space="preserve"> </w:t>
      </w:r>
      <w:r w:rsidRPr="001A045E">
        <w:rPr>
          <w:rFonts w:ascii="Verdana" w:hAnsi="Verdana" w:cs="Arial"/>
        </w:rPr>
        <w:t>Variables antropométricas en los adultos mayores estudiados según    sexo</w:t>
      </w:r>
    </w:p>
    <w:tbl>
      <w:tblPr>
        <w:tblW w:w="7087" w:type="dxa"/>
        <w:tblInd w:w="817" w:type="dxa"/>
        <w:tblBorders>
          <w:top w:val="single" w:sz="12" w:space="0" w:color="00000A"/>
          <w:bottom w:val="single" w:sz="12" w:space="0" w:color="00000A"/>
          <w:insideH w:val="single" w:sz="12" w:space="0" w:color="00000A"/>
        </w:tblBorders>
        <w:tblLook w:val="04A0"/>
      </w:tblPr>
      <w:tblGrid>
        <w:gridCol w:w="2384"/>
        <w:gridCol w:w="1913"/>
        <w:gridCol w:w="1538"/>
        <w:gridCol w:w="1252"/>
      </w:tblGrid>
      <w:tr w:rsidR="00F65D92" w:rsidRPr="001A045E" w:rsidTr="00B16D17">
        <w:trPr>
          <w:trHeight w:val="309"/>
        </w:trPr>
        <w:tc>
          <w:tcPr>
            <w:tcW w:w="2383" w:type="dxa"/>
            <w:tcBorders>
              <w:top w:val="single" w:sz="12" w:space="0" w:color="00000A"/>
              <w:bottom w:val="single" w:sz="12" w:space="0" w:color="00000A"/>
            </w:tcBorders>
            <w:shd w:val="clear" w:color="auto" w:fill="FFFFFF"/>
            <w:vAlign w:val="center"/>
          </w:tcPr>
          <w:p w:rsidR="00F65D92" w:rsidRPr="001A045E" w:rsidRDefault="00F65D92" w:rsidP="001A045E">
            <w:pPr>
              <w:spacing w:after="0" w:line="360" w:lineRule="auto"/>
              <w:jc w:val="both"/>
              <w:rPr>
                <w:rFonts w:ascii="Verdana" w:hAnsi="Verdana" w:cs="Arial"/>
                <w:bCs/>
              </w:rPr>
            </w:pPr>
            <w:r w:rsidRPr="001A045E">
              <w:rPr>
                <w:rFonts w:ascii="Verdana" w:hAnsi="Verdana" w:cs="Arial"/>
                <w:bCs/>
              </w:rPr>
              <w:t>Variables</w:t>
            </w:r>
          </w:p>
        </w:tc>
        <w:tc>
          <w:tcPr>
            <w:tcW w:w="191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lang w:val="en-US"/>
              </w:rPr>
            </w:pPr>
            <w:r w:rsidRPr="001A045E">
              <w:rPr>
                <w:rFonts w:ascii="Verdana" w:hAnsi="Verdana" w:cs="Arial"/>
                <w:bCs/>
              </w:rPr>
              <w:t xml:space="preserve">Femenino </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rPr>
              <w:t xml:space="preserve">(n=37) </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rPr>
              <w:t xml:space="preserve">Media ±DE   </w:t>
            </w:r>
          </w:p>
        </w:tc>
        <w:tc>
          <w:tcPr>
            <w:tcW w:w="1538"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lang w:val="en-US"/>
              </w:rPr>
            </w:pPr>
            <w:r w:rsidRPr="001A045E">
              <w:rPr>
                <w:rFonts w:ascii="Verdana" w:hAnsi="Verdana" w:cs="Arial"/>
                <w:bCs/>
              </w:rPr>
              <w:t>Masculino</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rPr>
              <w:t xml:space="preserve">(n=43) </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rPr>
              <w:t>Media ±DE</w:t>
            </w:r>
          </w:p>
        </w:tc>
        <w:tc>
          <w:tcPr>
            <w:tcW w:w="1252"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lang w:val="en-US"/>
              </w:rPr>
            </w:pPr>
            <w:r w:rsidRPr="001A045E">
              <w:rPr>
                <w:rFonts w:ascii="Verdana" w:hAnsi="Verdana" w:cs="Arial"/>
                <w:bCs/>
              </w:rPr>
              <w:t>CV</w:t>
            </w:r>
          </w:p>
          <w:p w:rsidR="00F65D92" w:rsidRPr="001A045E" w:rsidRDefault="00F65D92" w:rsidP="001A045E">
            <w:pPr>
              <w:spacing w:after="0" w:line="360" w:lineRule="auto"/>
              <w:jc w:val="both"/>
              <w:rPr>
                <w:rFonts w:ascii="Verdana" w:hAnsi="Verdana" w:cs="Arial"/>
                <w:lang w:val="en-US"/>
              </w:rPr>
            </w:pPr>
          </w:p>
          <w:p w:rsidR="00F65D92" w:rsidRPr="001A045E" w:rsidRDefault="00F65D92" w:rsidP="001A045E">
            <w:pPr>
              <w:spacing w:after="0" w:line="360" w:lineRule="auto"/>
              <w:jc w:val="both"/>
              <w:rPr>
                <w:rFonts w:ascii="Verdana" w:hAnsi="Verdana" w:cs="Arial"/>
                <w:lang w:val="en-US"/>
              </w:rPr>
            </w:pPr>
          </w:p>
        </w:tc>
      </w:tr>
      <w:tr w:rsidR="00F65D92" w:rsidRPr="001A045E" w:rsidTr="00B16D17">
        <w:trPr>
          <w:trHeight w:val="802"/>
        </w:trPr>
        <w:tc>
          <w:tcPr>
            <w:tcW w:w="238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bCs/>
                <w:iCs/>
              </w:rPr>
              <w:t xml:space="preserve">Peso (kg) </w:t>
            </w:r>
          </w:p>
          <w:p w:rsidR="00F65D92" w:rsidRPr="001A045E" w:rsidRDefault="00F65D92" w:rsidP="001A045E">
            <w:pPr>
              <w:spacing w:after="0" w:line="360" w:lineRule="auto"/>
              <w:jc w:val="both"/>
              <w:rPr>
                <w:rFonts w:ascii="Verdana" w:hAnsi="Verdana" w:cs="Arial"/>
              </w:rPr>
            </w:pPr>
          </w:p>
          <w:p w:rsidR="00F65D92" w:rsidRPr="001A045E" w:rsidRDefault="00F65D92" w:rsidP="001A045E">
            <w:pPr>
              <w:spacing w:after="0" w:line="360" w:lineRule="auto"/>
              <w:jc w:val="both"/>
              <w:rPr>
                <w:rFonts w:ascii="Verdana" w:hAnsi="Verdana" w:cs="Arial"/>
                <w:bCs/>
                <w:lang w:val="es-DO"/>
              </w:rPr>
            </w:pPr>
            <w:r w:rsidRPr="001A045E">
              <w:rPr>
                <w:rFonts w:ascii="Verdana" w:hAnsi="Verdana" w:cs="Arial"/>
                <w:bCs/>
                <w:iCs/>
              </w:rPr>
              <w:t xml:space="preserve">Talla (cm) </w:t>
            </w:r>
          </w:p>
          <w:p w:rsidR="00F65D92" w:rsidRPr="001A045E" w:rsidRDefault="00F65D92" w:rsidP="001A045E">
            <w:pPr>
              <w:spacing w:after="0" w:line="360" w:lineRule="auto"/>
              <w:jc w:val="both"/>
              <w:rPr>
                <w:rFonts w:ascii="Verdana" w:hAnsi="Verdana" w:cs="Arial"/>
                <w:bCs/>
                <w:lang w:val="es-DO"/>
              </w:rPr>
            </w:pPr>
          </w:p>
        </w:tc>
        <w:tc>
          <w:tcPr>
            <w:tcW w:w="191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rPr>
            </w:pPr>
            <w:r w:rsidRPr="001A045E">
              <w:rPr>
                <w:rFonts w:ascii="Verdana" w:hAnsi="Verdana" w:cs="Arial"/>
              </w:rPr>
              <w:t xml:space="preserve">64,0 </w:t>
            </w:r>
            <w:r w:rsidRPr="001A045E">
              <w:rPr>
                <w:rFonts w:ascii="Verdana" w:hAnsi="Verdana" w:cs="Arial"/>
                <w:bCs/>
              </w:rPr>
              <w:t>±</w:t>
            </w:r>
            <w:r w:rsidRPr="001A045E">
              <w:rPr>
                <w:rFonts w:ascii="Verdana" w:hAnsi="Verdana" w:cs="Arial"/>
              </w:rPr>
              <w:t xml:space="preserve"> 12,2 </w:t>
            </w:r>
          </w:p>
          <w:p w:rsidR="00F65D92" w:rsidRPr="001A045E" w:rsidRDefault="00F65D92" w:rsidP="001A045E">
            <w:pPr>
              <w:spacing w:after="0" w:line="360" w:lineRule="auto"/>
              <w:jc w:val="both"/>
              <w:rPr>
                <w:rFonts w:ascii="Verdana" w:hAnsi="Verdana" w:cs="Arial"/>
                <w:bCs/>
              </w:rPr>
            </w:pPr>
          </w:p>
          <w:p w:rsidR="00F65D92" w:rsidRPr="001A045E" w:rsidRDefault="00F65D92" w:rsidP="001A045E">
            <w:pPr>
              <w:spacing w:after="0" w:line="360" w:lineRule="auto"/>
              <w:jc w:val="both"/>
              <w:rPr>
                <w:rFonts w:ascii="Verdana" w:hAnsi="Verdana" w:cs="Arial"/>
              </w:rPr>
            </w:pPr>
            <w:r w:rsidRPr="001A045E">
              <w:rPr>
                <w:rFonts w:ascii="Verdana" w:hAnsi="Verdana" w:cs="Arial"/>
                <w:bCs/>
              </w:rPr>
              <w:t xml:space="preserve">1,5 ±   </w:t>
            </w:r>
            <w:r w:rsidRPr="001A045E">
              <w:rPr>
                <w:rFonts w:ascii="Verdana" w:hAnsi="Verdana" w:cs="Arial"/>
              </w:rPr>
              <w:t>0,5</w:t>
            </w:r>
          </w:p>
        </w:tc>
        <w:tc>
          <w:tcPr>
            <w:tcW w:w="1538"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68,1</w:t>
            </w:r>
            <w:r w:rsidRPr="001A045E">
              <w:rPr>
                <w:rFonts w:ascii="Verdana" w:hAnsi="Verdana" w:cs="Arial"/>
                <w:bCs/>
              </w:rPr>
              <w:t xml:space="preserve">± </w:t>
            </w:r>
            <w:r w:rsidRPr="001A045E">
              <w:rPr>
                <w:rFonts w:ascii="Verdana" w:hAnsi="Verdana" w:cs="Arial"/>
              </w:rPr>
              <w:t>15,2</w:t>
            </w:r>
          </w:p>
          <w:p w:rsidR="00F65D92" w:rsidRPr="001A045E" w:rsidRDefault="00F65D92" w:rsidP="001A045E">
            <w:pPr>
              <w:spacing w:after="0" w:line="360" w:lineRule="auto"/>
              <w:jc w:val="both"/>
              <w:rPr>
                <w:rFonts w:ascii="Verdana" w:hAnsi="Verdana" w:cs="Arial"/>
              </w:rPr>
            </w:pPr>
          </w:p>
          <w:p w:rsidR="00F65D92" w:rsidRPr="001A045E" w:rsidRDefault="00F65D92" w:rsidP="001A045E">
            <w:pPr>
              <w:spacing w:after="0" w:line="360" w:lineRule="auto"/>
              <w:jc w:val="both"/>
              <w:rPr>
                <w:rFonts w:ascii="Verdana" w:hAnsi="Verdana" w:cs="Arial"/>
              </w:rPr>
            </w:pPr>
            <w:r w:rsidRPr="001A045E">
              <w:rPr>
                <w:rFonts w:ascii="Verdana" w:hAnsi="Verdana" w:cs="Arial"/>
                <w:bCs/>
              </w:rPr>
              <w:t xml:space="preserve">1,6 ±  </w:t>
            </w:r>
            <w:r w:rsidRPr="001A045E">
              <w:rPr>
                <w:rFonts w:ascii="Verdana" w:hAnsi="Verdana" w:cs="Arial"/>
              </w:rPr>
              <w:t>0,8</w:t>
            </w:r>
          </w:p>
          <w:p w:rsidR="00F65D92" w:rsidRPr="001A045E" w:rsidRDefault="00F65D92" w:rsidP="001A045E">
            <w:pPr>
              <w:spacing w:after="0" w:line="360" w:lineRule="auto"/>
              <w:jc w:val="both"/>
              <w:rPr>
                <w:rFonts w:ascii="Verdana" w:hAnsi="Verdana" w:cs="Arial"/>
              </w:rPr>
            </w:pPr>
          </w:p>
        </w:tc>
        <w:tc>
          <w:tcPr>
            <w:tcW w:w="1252"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3,2%</w:t>
            </w:r>
          </w:p>
          <w:p w:rsidR="00F65D92" w:rsidRPr="001A045E" w:rsidRDefault="00F65D92" w:rsidP="001A045E">
            <w:pPr>
              <w:spacing w:after="0" w:line="360" w:lineRule="auto"/>
              <w:jc w:val="both"/>
              <w:rPr>
                <w:rFonts w:ascii="Verdana" w:hAnsi="Verdana" w:cs="Arial"/>
              </w:rPr>
            </w:pPr>
          </w:p>
          <w:p w:rsidR="00F65D92" w:rsidRPr="001A045E" w:rsidRDefault="00F65D92" w:rsidP="001A045E">
            <w:pPr>
              <w:spacing w:after="0" w:line="360" w:lineRule="auto"/>
              <w:jc w:val="both"/>
              <w:rPr>
                <w:rFonts w:ascii="Verdana" w:hAnsi="Verdana" w:cs="Arial"/>
                <w:lang w:val="en-US"/>
              </w:rPr>
            </w:pPr>
            <w:r w:rsidRPr="001A045E">
              <w:rPr>
                <w:rFonts w:ascii="Verdana" w:hAnsi="Verdana" w:cs="Arial"/>
              </w:rPr>
              <w:t>1,6%</w:t>
            </w:r>
          </w:p>
        </w:tc>
      </w:tr>
      <w:tr w:rsidR="00F65D92" w:rsidRPr="001A045E" w:rsidTr="00B16D17">
        <w:trPr>
          <w:trHeight w:val="347"/>
        </w:trPr>
        <w:tc>
          <w:tcPr>
            <w:tcW w:w="238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iCs/>
              </w:rPr>
            </w:pPr>
            <w:r w:rsidRPr="001A045E">
              <w:rPr>
                <w:rFonts w:ascii="Verdana" w:hAnsi="Verdana" w:cs="Arial"/>
                <w:bCs/>
                <w:iCs/>
              </w:rPr>
              <w:t>Índice de</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iCs/>
              </w:rPr>
              <w:t xml:space="preserve">Masa Corporal </w:t>
            </w:r>
          </w:p>
        </w:tc>
        <w:tc>
          <w:tcPr>
            <w:tcW w:w="191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bCs/>
                <w:lang w:val="en-US"/>
              </w:rPr>
              <w:t>26,6 ±</w:t>
            </w:r>
            <w:r w:rsidRPr="001A045E">
              <w:rPr>
                <w:rFonts w:ascii="Verdana" w:hAnsi="Verdana" w:cs="Arial"/>
              </w:rPr>
              <w:t xml:space="preserve">   5,1</w:t>
            </w:r>
          </w:p>
        </w:tc>
        <w:tc>
          <w:tcPr>
            <w:tcW w:w="1538"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 xml:space="preserve">25,1 </w:t>
            </w:r>
            <w:r w:rsidRPr="001A045E">
              <w:rPr>
                <w:rFonts w:ascii="Verdana" w:hAnsi="Verdana" w:cs="Arial"/>
                <w:bCs/>
                <w:lang w:val="en-US"/>
              </w:rPr>
              <w:t xml:space="preserve">± </w:t>
            </w:r>
            <w:r w:rsidRPr="001A045E">
              <w:rPr>
                <w:rFonts w:ascii="Verdana" w:hAnsi="Verdana" w:cs="Arial"/>
              </w:rPr>
              <w:t>4,2</w:t>
            </w:r>
          </w:p>
        </w:tc>
        <w:tc>
          <w:tcPr>
            <w:tcW w:w="1252"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lang w:val="en-US"/>
              </w:rPr>
            </w:pPr>
            <w:r w:rsidRPr="001A045E">
              <w:rPr>
                <w:rFonts w:ascii="Verdana" w:hAnsi="Verdana" w:cs="Arial"/>
              </w:rPr>
              <w:t>1,8%</w:t>
            </w:r>
          </w:p>
        </w:tc>
      </w:tr>
    </w:tbl>
    <w:p w:rsidR="00ED6A81" w:rsidRPr="001A045E" w:rsidRDefault="00ED6A81" w:rsidP="001A045E">
      <w:pPr>
        <w:spacing w:after="0" w:line="360" w:lineRule="auto"/>
        <w:jc w:val="both"/>
        <w:rPr>
          <w:rFonts w:ascii="Verdana" w:hAnsi="Verdana" w:cs="Arial"/>
        </w:rPr>
      </w:pPr>
    </w:p>
    <w:p w:rsidR="00F65D92" w:rsidRPr="001A045E" w:rsidRDefault="00F65D92" w:rsidP="001A045E">
      <w:pPr>
        <w:spacing w:after="0" w:line="360" w:lineRule="auto"/>
        <w:jc w:val="both"/>
        <w:rPr>
          <w:rFonts w:ascii="Verdana" w:hAnsi="Verdana" w:cs="Arial"/>
        </w:rPr>
      </w:pPr>
      <w:r w:rsidRPr="001A045E">
        <w:rPr>
          <w:rFonts w:ascii="Verdana" w:hAnsi="Verdana" w:cs="Arial"/>
        </w:rPr>
        <w:t>La curva de peso se modifica a lo largo de la vida. En general aumenta progresivamente hasta la edad de 40 a 50 años en los hombres y de 50 a 60 en las mujeres estabilizándose alrededor de los 70 años. A partir de esta edad se produce un descenso importante de este parámetro.</w:t>
      </w:r>
      <w:r w:rsidR="000501FA" w:rsidRPr="001A045E">
        <w:rPr>
          <w:rFonts w:ascii="Verdana" w:hAnsi="Verdana" w:cs="Arial"/>
          <w:vertAlign w:val="superscript"/>
        </w:rPr>
        <w:t>9</w:t>
      </w:r>
      <w:r w:rsidRPr="001A045E">
        <w:rPr>
          <w:rFonts w:ascii="Verdana" w:hAnsi="Verdana" w:cs="Arial"/>
          <w:vertAlign w:val="superscript"/>
        </w:rPr>
        <w:t xml:space="preserve"> </w:t>
      </w:r>
      <w:r w:rsidRPr="001A045E">
        <w:rPr>
          <w:rFonts w:ascii="Verdana" w:hAnsi="Verdana" w:cs="Arial"/>
        </w:rPr>
        <w:t>La  investigación de la Yuzaily Llody Rodríguez en la Provincia de Holguín se encontró que la media de peso (kg) es de 66,7 ±12,65 para el sexo femenino y de 70,1 ±13,71 para el sexo masculino, por lo cual no se  encontraron diferencias significativas entre ambos grupos, de acuerdo estudios estadísticos que muestran que p= 0,4.</w:t>
      </w:r>
      <w:r w:rsidR="000501FA" w:rsidRPr="001A045E">
        <w:rPr>
          <w:rFonts w:ascii="Verdana" w:hAnsi="Verdana" w:cs="Arial"/>
          <w:vertAlign w:val="superscript"/>
        </w:rPr>
        <w:t>9</w:t>
      </w:r>
    </w:p>
    <w:p w:rsidR="00F65D92" w:rsidRPr="001A045E" w:rsidRDefault="00F65D92" w:rsidP="001A045E">
      <w:pPr>
        <w:spacing w:after="0" w:line="360" w:lineRule="auto"/>
        <w:jc w:val="both"/>
        <w:rPr>
          <w:rFonts w:ascii="Verdana" w:hAnsi="Verdana" w:cs="Arial"/>
          <w:b/>
        </w:rPr>
      </w:pPr>
      <w:r w:rsidRPr="001A045E">
        <w:rPr>
          <w:rFonts w:ascii="Verdana" w:hAnsi="Verdana" w:cs="Arial"/>
        </w:rPr>
        <w:t>Según el puntaje indicador de malnutrición obtenido mediante la mini encuesta nutricional de adultos obtuvimos que el 71,2</w:t>
      </w:r>
      <w:r w:rsidR="001A045E">
        <w:rPr>
          <w:rFonts w:ascii="Verdana" w:hAnsi="Verdana" w:cs="Arial"/>
        </w:rPr>
        <w:t xml:space="preserve"> </w:t>
      </w:r>
      <w:r w:rsidRPr="001A045E">
        <w:rPr>
          <w:rFonts w:ascii="Verdana" w:hAnsi="Verdana" w:cs="Arial"/>
        </w:rPr>
        <w:t>% se encontraban con de riesgo de malnutrición siendo represe</w:t>
      </w:r>
      <w:r w:rsidR="001A045E">
        <w:rPr>
          <w:rFonts w:ascii="Verdana" w:hAnsi="Verdana" w:cs="Arial"/>
        </w:rPr>
        <w:t>ntativo en el sexo masculino. Las</w:t>
      </w:r>
      <w:r w:rsidRPr="001A045E">
        <w:rPr>
          <w:rFonts w:ascii="Verdana" w:hAnsi="Verdana" w:cs="Arial"/>
        </w:rPr>
        <w:t xml:space="preserve"> autora</w:t>
      </w:r>
      <w:r w:rsidR="001A045E">
        <w:rPr>
          <w:rFonts w:ascii="Verdana" w:hAnsi="Verdana" w:cs="Arial"/>
        </w:rPr>
        <w:t>s</w:t>
      </w:r>
      <w:r w:rsidRPr="001A045E">
        <w:rPr>
          <w:rFonts w:ascii="Verdana" w:hAnsi="Verdana" w:cs="Arial"/>
        </w:rPr>
        <w:t xml:space="preserve"> considera que estos resultados se deben a que estos adultos mayores no incluyen en su dieta de manera estable los nutrientes necesarios para lograr un adecuado estilo de vida en relación a la alimentación. Además la mini encuesta nutricional de adultos es útil para el diagnóstico precoz de la desnutrición en el anciano como identificador de riesgo en esta etapa de la vida. </w:t>
      </w:r>
    </w:p>
    <w:p w:rsidR="00F65D92" w:rsidRPr="001A045E" w:rsidRDefault="001A045E" w:rsidP="001A045E">
      <w:pPr>
        <w:spacing w:after="0" w:line="360" w:lineRule="auto"/>
        <w:ind w:left="1701" w:hanging="1701"/>
        <w:jc w:val="both"/>
        <w:rPr>
          <w:rFonts w:ascii="Verdana" w:hAnsi="Verdana" w:cs="Arial"/>
        </w:rPr>
      </w:pPr>
      <w:r w:rsidRPr="001A045E">
        <w:rPr>
          <w:rFonts w:ascii="Verdana" w:hAnsi="Verdana" w:cs="Arial"/>
        </w:rPr>
        <w:t>Tabla 3</w:t>
      </w:r>
      <w:r w:rsidR="00F65D92" w:rsidRPr="001A045E">
        <w:rPr>
          <w:rFonts w:ascii="Verdana" w:hAnsi="Verdana" w:cs="Arial"/>
        </w:rPr>
        <w:t>.</w:t>
      </w:r>
      <w:r w:rsidR="00F65D92" w:rsidRPr="001A045E">
        <w:rPr>
          <w:rFonts w:ascii="Verdana" w:hAnsi="Verdana" w:cs="Arial"/>
          <w:b/>
        </w:rPr>
        <w:t xml:space="preserve"> </w:t>
      </w:r>
      <w:r w:rsidR="00F65D92" w:rsidRPr="001A045E">
        <w:rPr>
          <w:rFonts w:ascii="Verdana" w:hAnsi="Verdana" w:cs="Arial"/>
        </w:rPr>
        <w:t>Distribución de  pacientes seg</w:t>
      </w:r>
      <w:r>
        <w:rPr>
          <w:rFonts w:ascii="Verdana" w:hAnsi="Verdana" w:cs="Arial"/>
        </w:rPr>
        <w:t xml:space="preserve">ún  resultado la  mini encuesta </w:t>
      </w:r>
      <w:r w:rsidR="00F65D92" w:rsidRPr="001A045E">
        <w:rPr>
          <w:rFonts w:ascii="Verdana" w:hAnsi="Verdana" w:cs="Arial"/>
        </w:rPr>
        <w:t>nutricional del adulto</w:t>
      </w:r>
    </w:p>
    <w:tbl>
      <w:tblPr>
        <w:tblW w:w="7920" w:type="dxa"/>
        <w:tblInd w:w="675" w:type="dxa"/>
        <w:tblBorders>
          <w:top w:val="single" w:sz="12" w:space="0" w:color="00000A"/>
          <w:bottom w:val="single" w:sz="12" w:space="0" w:color="00000A"/>
          <w:insideH w:val="single" w:sz="12" w:space="0" w:color="00000A"/>
        </w:tblBorders>
        <w:tblLook w:val="04A0"/>
      </w:tblPr>
      <w:tblGrid>
        <w:gridCol w:w="2668"/>
        <w:gridCol w:w="1863"/>
        <w:gridCol w:w="1745"/>
        <w:gridCol w:w="1644"/>
      </w:tblGrid>
      <w:tr w:rsidR="00F65D92" w:rsidRPr="001A045E" w:rsidTr="00B16D17">
        <w:trPr>
          <w:trHeight w:val="581"/>
        </w:trPr>
        <w:tc>
          <w:tcPr>
            <w:tcW w:w="2667"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
                <w:bCs/>
                <w:lang w:val="en-US"/>
              </w:rPr>
            </w:pPr>
            <w:r w:rsidRPr="001A045E">
              <w:rPr>
                <w:rFonts w:ascii="Verdana" w:hAnsi="Verdana" w:cs="Arial"/>
                <w:lang w:val="en-US"/>
              </w:rPr>
              <w:t>Estado  Nutricional</w:t>
            </w:r>
          </w:p>
          <w:p w:rsidR="00F65D92" w:rsidRPr="001A045E" w:rsidRDefault="00F65D92" w:rsidP="001A045E">
            <w:pPr>
              <w:spacing w:after="0" w:line="360" w:lineRule="auto"/>
              <w:jc w:val="both"/>
              <w:rPr>
                <w:rFonts w:ascii="Verdana" w:hAnsi="Verdana" w:cs="Arial"/>
                <w:b/>
                <w:bCs/>
              </w:rPr>
            </w:pPr>
          </w:p>
        </w:tc>
        <w:tc>
          <w:tcPr>
            <w:tcW w:w="186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lang w:val="en-US"/>
              </w:rPr>
            </w:pPr>
            <w:r w:rsidRPr="001A045E">
              <w:rPr>
                <w:rFonts w:ascii="Verdana" w:hAnsi="Verdana" w:cs="Arial"/>
                <w:bCs/>
              </w:rPr>
              <w:t>Femenino</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rPr>
              <w:t>No       %</w:t>
            </w:r>
          </w:p>
        </w:tc>
        <w:tc>
          <w:tcPr>
            <w:tcW w:w="1745"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lang w:val="en-US"/>
              </w:rPr>
            </w:pPr>
            <w:r w:rsidRPr="001A045E">
              <w:rPr>
                <w:rFonts w:ascii="Verdana" w:hAnsi="Verdana" w:cs="Arial"/>
                <w:bCs/>
              </w:rPr>
              <w:t>Masculino</w:t>
            </w:r>
          </w:p>
          <w:p w:rsidR="00F65D92" w:rsidRPr="001A045E" w:rsidRDefault="00F65D92" w:rsidP="001A045E">
            <w:pPr>
              <w:spacing w:after="0" w:line="360" w:lineRule="auto"/>
              <w:jc w:val="both"/>
              <w:rPr>
                <w:rFonts w:ascii="Verdana" w:hAnsi="Verdana" w:cs="Arial"/>
                <w:bCs/>
              </w:rPr>
            </w:pPr>
            <w:r w:rsidRPr="001A045E">
              <w:rPr>
                <w:rFonts w:ascii="Verdana" w:hAnsi="Verdana" w:cs="Arial"/>
                <w:bCs/>
              </w:rPr>
              <w:t>No      %</w:t>
            </w:r>
          </w:p>
        </w:tc>
        <w:tc>
          <w:tcPr>
            <w:tcW w:w="1644"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bCs/>
                <w:lang w:val="en-US"/>
              </w:rPr>
            </w:pPr>
            <w:r w:rsidRPr="001A045E">
              <w:rPr>
                <w:rFonts w:ascii="Verdana" w:hAnsi="Verdana" w:cs="Arial"/>
                <w:bCs/>
              </w:rPr>
              <w:t>Total</w:t>
            </w:r>
          </w:p>
          <w:p w:rsidR="00F65D92" w:rsidRPr="001A045E" w:rsidRDefault="00F65D92" w:rsidP="001A045E">
            <w:pPr>
              <w:spacing w:after="0" w:line="360" w:lineRule="auto"/>
              <w:jc w:val="both"/>
              <w:rPr>
                <w:rFonts w:ascii="Verdana" w:hAnsi="Verdana" w:cs="Arial"/>
              </w:rPr>
            </w:pPr>
            <w:r w:rsidRPr="001A045E">
              <w:rPr>
                <w:rFonts w:ascii="Verdana" w:hAnsi="Verdana" w:cs="Arial"/>
                <w:bCs/>
              </w:rPr>
              <w:t>No      %</w:t>
            </w:r>
          </w:p>
        </w:tc>
      </w:tr>
      <w:tr w:rsidR="00F65D92" w:rsidRPr="001A045E" w:rsidTr="00B16D17">
        <w:trPr>
          <w:trHeight w:val="623"/>
        </w:trPr>
        <w:tc>
          <w:tcPr>
            <w:tcW w:w="2667"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lang w:val="en-US"/>
              </w:rPr>
            </w:pPr>
            <w:r w:rsidRPr="001A045E">
              <w:rPr>
                <w:rFonts w:ascii="Verdana" w:hAnsi="Verdana" w:cs="Arial"/>
                <w:lang w:val="en-US"/>
              </w:rPr>
              <w:lastRenderedPageBreak/>
              <w:t xml:space="preserve">Satisfactorio </w:t>
            </w:r>
          </w:p>
          <w:p w:rsidR="00F65D92" w:rsidRPr="001A045E" w:rsidRDefault="00F65D92" w:rsidP="001A045E">
            <w:pPr>
              <w:spacing w:after="0" w:line="360" w:lineRule="auto"/>
              <w:jc w:val="both"/>
              <w:rPr>
                <w:rFonts w:ascii="Verdana" w:hAnsi="Verdana" w:cs="Arial"/>
              </w:rPr>
            </w:pPr>
            <w:r w:rsidRPr="001A045E">
              <w:rPr>
                <w:rFonts w:ascii="Verdana" w:hAnsi="Verdana" w:cs="Arial"/>
                <w:lang w:val="en-US"/>
              </w:rPr>
              <w:t>Riesgo Malnutrición</w:t>
            </w:r>
          </w:p>
        </w:tc>
        <w:tc>
          <w:tcPr>
            <w:tcW w:w="186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13      35,1</w:t>
            </w:r>
          </w:p>
          <w:p w:rsidR="00F65D92" w:rsidRPr="001A045E" w:rsidRDefault="00F65D92" w:rsidP="001A045E">
            <w:pPr>
              <w:spacing w:after="0" w:line="360" w:lineRule="auto"/>
              <w:jc w:val="both"/>
              <w:rPr>
                <w:rFonts w:ascii="Verdana" w:hAnsi="Verdana" w:cs="Arial"/>
              </w:rPr>
            </w:pPr>
            <w:r w:rsidRPr="001A045E">
              <w:rPr>
                <w:rFonts w:ascii="Verdana" w:hAnsi="Verdana" w:cs="Arial"/>
              </w:rPr>
              <w:t>24      64,8</w:t>
            </w:r>
          </w:p>
        </w:tc>
        <w:tc>
          <w:tcPr>
            <w:tcW w:w="1745"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10     23,2</w:t>
            </w:r>
          </w:p>
          <w:p w:rsidR="00F65D92" w:rsidRPr="001A045E" w:rsidRDefault="00F65D92" w:rsidP="001A045E">
            <w:pPr>
              <w:spacing w:after="0" w:line="360" w:lineRule="auto"/>
              <w:jc w:val="both"/>
              <w:rPr>
                <w:rFonts w:ascii="Verdana" w:hAnsi="Verdana" w:cs="Arial"/>
              </w:rPr>
            </w:pPr>
            <w:r w:rsidRPr="001A045E">
              <w:rPr>
                <w:rFonts w:ascii="Verdana" w:hAnsi="Verdana" w:cs="Arial"/>
              </w:rPr>
              <w:t>33     76,7</w:t>
            </w:r>
          </w:p>
        </w:tc>
        <w:tc>
          <w:tcPr>
            <w:tcW w:w="1644"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23    28,7</w:t>
            </w:r>
          </w:p>
          <w:p w:rsidR="00F65D92" w:rsidRPr="001A045E" w:rsidRDefault="00F65D92" w:rsidP="001A045E">
            <w:pPr>
              <w:spacing w:after="0" w:line="360" w:lineRule="auto"/>
              <w:jc w:val="both"/>
              <w:rPr>
                <w:rFonts w:ascii="Verdana" w:hAnsi="Verdana" w:cs="Arial"/>
                <w:lang w:val="en-US"/>
              </w:rPr>
            </w:pPr>
            <w:r w:rsidRPr="001A045E">
              <w:rPr>
                <w:rFonts w:ascii="Verdana" w:hAnsi="Verdana" w:cs="Arial"/>
              </w:rPr>
              <w:t>57    71,2</w:t>
            </w:r>
          </w:p>
        </w:tc>
      </w:tr>
      <w:tr w:rsidR="00F65D92" w:rsidRPr="001A045E" w:rsidTr="00B16D17">
        <w:trPr>
          <w:trHeight w:val="401"/>
        </w:trPr>
        <w:tc>
          <w:tcPr>
            <w:tcW w:w="2667"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bCs/>
                <w:lang w:val="es-DO"/>
              </w:rPr>
              <w:t xml:space="preserve">Total </w:t>
            </w:r>
          </w:p>
        </w:tc>
        <w:tc>
          <w:tcPr>
            <w:tcW w:w="1863"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37       46,2</w:t>
            </w:r>
          </w:p>
        </w:tc>
        <w:tc>
          <w:tcPr>
            <w:tcW w:w="1745"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rPr>
            </w:pPr>
            <w:r w:rsidRPr="001A045E">
              <w:rPr>
                <w:rFonts w:ascii="Verdana" w:hAnsi="Verdana" w:cs="Arial"/>
              </w:rPr>
              <w:t xml:space="preserve">43     53,7      </w:t>
            </w:r>
          </w:p>
        </w:tc>
        <w:tc>
          <w:tcPr>
            <w:tcW w:w="1644" w:type="dxa"/>
            <w:tcBorders>
              <w:top w:val="single" w:sz="12" w:space="0" w:color="00000A"/>
              <w:bottom w:val="single" w:sz="12" w:space="0" w:color="00000A"/>
            </w:tcBorders>
            <w:shd w:val="clear" w:color="auto" w:fill="FFFFFF"/>
          </w:tcPr>
          <w:p w:rsidR="00F65D92" w:rsidRPr="001A045E" w:rsidRDefault="00F65D92" w:rsidP="001A045E">
            <w:pPr>
              <w:spacing w:after="0" w:line="360" w:lineRule="auto"/>
              <w:jc w:val="both"/>
              <w:rPr>
                <w:rFonts w:ascii="Verdana" w:hAnsi="Verdana" w:cs="Arial"/>
                <w:lang w:val="en-US"/>
              </w:rPr>
            </w:pPr>
            <w:r w:rsidRPr="001A045E">
              <w:rPr>
                <w:rFonts w:ascii="Verdana" w:hAnsi="Verdana" w:cs="Arial"/>
              </w:rPr>
              <w:t>80      100</w:t>
            </w:r>
          </w:p>
        </w:tc>
      </w:tr>
    </w:tbl>
    <w:p w:rsidR="001A045E" w:rsidRDefault="001A045E" w:rsidP="001A045E">
      <w:pPr>
        <w:spacing w:after="0" w:line="360" w:lineRule="auto"/>
        <w:jc w:val="both"/>
        <w:rPr>
          <w:rFonts w:ascii="Verdana" w:hAnsi="Verdana" w:cs="Arial"/>
        </w:rPr>
      </w:pPr>
    </w:p>
    <w:p w:rsidR="00F65D92" w:rsidRPr="001A045E" w:rsidRDefault="00F65D92" w:rsidP="001A045E">
      <w:pPr>
        <w:spacing w:after="0" w:line="360" w:lineRule="auto"/>
        <w:jc w:val="both"/>
        <w:rPr>
          <w:rFonts w:ascii="Verdana" w:hAnsi="Verdana" w:cs="Arial"/>
        </w:rPr>
      </w:pPr>
      <w:r w:rsidRPr="001A045E">
        <w:rPr>
          <w:rFonts w:ascii="Verdana" w:hAnsi="Verdana" w:cs="Arial"/>
        </w:rPr>
        <w:t>Nuestros resultados coinciden con otros estudios como el realizado en el Hospital de Rehabilitación "Julio Díaz González" de Ciudad de la Habana en cuanto a la evaluación nutricional de los ancianos estudiados, según el cuestionario MNA, llama la atención que el 76,2</w:t>
      </w:r>
      <w:r w:rsidR="001A045E">
        <w:rPr>
          <w:rFonts w:ascii="Verdana" w:hAnsi="Verdana" w:cs="Arial"/>
        </w:rPr>
        <w:t xml:space="preserve"> </w:t>
      </w:r>
      <w:r w:rsidRPr="001A045E">
        <w:rPr>
          <w:rFonts w:ascii="Verdana" w:hAnsi="Verdana" w:cs="Arial"/>
        </w:rPr>
        <w:t>% de los pacientes se encuentra en riesgo de malnutrición, el 14,3</w:t>
      </w:r>
      <w:r w:rsidR="001A045E">
        <w:rPr>
          <w:rFonts w:ascii="Verdana" w:hAnsi="Verdana" w:cs="Arial"/>
        </w:rPr>
        <w:t xml:space="preserve"> </w:t>
      </w:r>
      <w:r w:rsidRPr="001A045E">
        <w:rPr>
          <w:rFonts w:ascii="Verdana" w:hAnsi="Verdana" w:cs="Arial"/>
        </w:rPr>
        <w:t>% está bien nutrido y como dato positivo solo el 9,5 % de estos ancianos esta desnutrido.</w:t>
      </w:r>
      <w:r w:rsidR="00E60558" w:rsidRPr="001A045E">
        <w:rPr>
          <w:rFonts w:ascii="Verdana" w:hAnsi="Verdana" w:cs="Arial"/>
          <w:vertAlign w:val="superscript"/>
        </w:rPr>
        <w:t>10</w:t>
      </w:r>
    </w:p>
    <w:p w:rsidR="00F65D92" w:rsidRDefault="00F65D92" w:rsidP="001A045E">
      <w:pPr>
        <w:spacing w:after="0" w:line="360" w:lineRule="auto"/>
        <w:jc w:val="both"/>
        <w:rPr>
          <w:rFonts w:ascii="Verdana" w:hAnsi="Verdana" w:cs="Arial"/>
          <w:vertAlign w:val="superscript"/>
        </w:rPr>
      </w:pPr>
      <w:r w:rsidRPr="001A045E">
        <w:rPr>
          <w:rFonts w:ascii="Verdana" w:hAnsi="Verdana" w:cs="Arial"/>
        </w:rPr>
        <w:t>Algunos autores coinciden con nuestros resul</w:t>
      </w:r>
      <w:r w:rsidR="00E60558" w:rsidRPr="001A045E">
        <w:rPr>
          <w:rFonts w:ascii="Verdana" w:hAnsi="Verdana" w:cs="Arial"/>
        </w:rPr>
        <w:t>tados. La  investigación de Yuse</w:t>
      </w:r>
      <w:r w:rsidRPr="001A045E">
        <w:rPr>
          <w:rFonts w:ascii="Verdana" w:hAnsi="Verdana" w:cs="Arial"/>
        </w:rPr>
        <w:t>ima Govante en 2018  en la Habana, arrojó que el 20</w:t>
      </w:r>
      <w:r w:rsidR="001A045E">
        <w:rPr>
          <w:rFonts w:ascii="Verdana" w:hAnsi="Verdana" w:cs="Arial"/>
        </w:rPr>
        <w:t xml:space="preserve"> </w:t>
      </w:r>
      <w:r w:rsidRPr="001A045E">
        <w:rPr>
          <w:rFonts w:ascii="Verdana" w:hAnsi="Verdana" w:cs="Arial"/>
        </w:rPr>
        <w:t>%  de  los  adultos  mayores  estudiados presentaron alteración en el patrón lipídico.</w:t>
      </w:r>
      <w:r w:rsidR="00E60558" w:rsidRPr="001A045E">
        <w:rPr>
          <w:rFonts w:ascii="Verdana" w:hAnsi="Verdana" w:cs="Arial"/>
          <w:vertAlign w:val="superscript"/>
        </w:rPr>
        <w:t xml:space="preserve">10 </w:t>
      </w:r>
      <w:r w:rsidRPr="001A045E">
        <w:rPr>
          <w:rFonts w:ascii="Verdana" w:hAnsi="Verdana" w:cs="Arial"/>
        </w:rPr>
        <w:t>Maritza Elizabeth en Ecuador, encontró que el 22,5</w:t>
      </w:r>
      <w:r w:rsidR="001A045E">
        <w:rPr>
          <w:rFonts w:ascii="Verdana" w:hAnsi="Verdana" w:cs="Arial"/>
        </w:rPr>
        <w:t xml:space="preserve"> </w:t>
      </w:r>
      <w:r w:rsidRPr="001A045E">
        <w:rPr>
          <w:rFonts w:ascii="Verdana" w:hAnsi="Verdana" w:cs="Arial"/>
        </w:rPr>
        <w:t>% presentaba hiperglicemia y el 52,5</w:t>
      </w:r>
      <w:r w:rsidR="001A045E">
        <w:rPr>
          <w:rFonts w:ascii="Verdana" w:hAnsi="Verdana" w:cs="Arial"/>
        </w:rPr>
        <w:t xml:space="preserve"> </w:t>
      </w:r>
      <w:r w:rsidRPr="001A045E">
        <w:rPr>
          <w:rFonts w:ascii="Verdana" w:hAnsi="Verdana" w:cs="Arial"/>
        </w:rPr>
        <w:t>% hipercolesteronemia.</w:t>
      </w:r>
      <w:r w:rsidR="00E60558" w:rsidRPr="001A045E">
        <w:rPr>
          <w:rFonts w:ascii="Verdana" w:hAnsi="Verdana" w:cs="Arial"/>
          <w:vertAlign w:val="superscript"/>
        </w:rPr>
        <w:t xml:space="preserve"> 11 </w:t>
      </w:r>
      <w:r w:rsidRPr="001A045E">
        <w:rPr>
          <w:rFonts w:ascii="Verdana" w:hAnsi="Verdana" w:cs="Arial"/>
        </w:rPr>
        <w:t>En la evaluación de adultos mayores que asisten a la casa hogar  de San Martin  Porres, la mayoría presentaron alteraciones  en triacilglicéridos con predominio en el sexo femenino difiriendo en cuanto al sexo con el nuestro.</w:t>
      </w:r>
      <w:r w:rsidR="007324DF" w:rsidRPr="001A045E">
        <w:rPr>
          <w:rFonts w:ascii="Verdana" w:hAnsi="Verdana" w:cs="Arial"/>
          <w:vertAlign w:val="superscript"/>
        </w:rPr>
        <w:t>12</w:t>
      </w:r>
    </w:p>
    <w:p w:rsidR="001A045E" w:rsidRDefault="001A045E" w:rsidP="001A045E">
      <w:pPr>
        <w:spacing w:after="0" w:line="360" w:lineRule="auto"/>
        <w:jc w:val="both"/>
        <w:rPr>
          <w:rFonts w:ascii="Verdana" w:hAnsi="Verdana" w:cs="Arial"/>
          <w:vertAlign w:val="superscript"/>
        </w:rPr>
      </w:pPr>
    </w:p>
    <w:p w:rsidR="001A045E" w:rsidRPr="001A045E" w:rsidRDefault="001A045E" w:rsidP="001A045E">
      <w:pPr>
        <w:spacing w:after="0" w:line="360" w:lineRule="auto"/>
        <w:jc w:val="both"/>
        <w:rPr>
          <w:rFonts w:ascii="Verdana" w:hAnsi="Verdana" w:cs="Arial"/>
          <w:b/>
        </w:rPr>
      </w:pPr>
    </w:p>
    <w:p w:rsidR="00F65D92" w:rsidRPr="001A045E" w:rsidRDefault="001A045E" w:rsidP="001A045E">
      <w:pPr>
        <w:spacing w:after="0" w:line="360" w:lineRule="auto"/>
        <w:ind w:left="1276" w:hanging="1276"/>
        <w:jc w:val="both"/>
        <w:rPr>
          <w:rFonts w:ascii="Verdana" w:hAnsi="Verdana" w:cs="Arial"/>
        </w:rPr>
      </w:pPr>
      <w:r w:rsidRPr="001A045E">
        <w:rPr>
          <w:rFonts w:ascii="Verdana" w:hAnsi="Verdana" w:cs="Arial"/>
        </w:rPr>
        <w:t>Tabla 4</w:t>
      </w:r>
      <w:r w:rsidR="00F65D92" w:rsidRPr="001A045E">
        <w:rPr>
          <w:rFonts w:ascii="Verdana" w:hAnsi="Verdana" w:cs="Arial"/>
        </w:rPr>
        <w:t>. Distribución de pacientes según determinaciones bioquímicas elevadas   y evaluación nutricional</w:t>
      </w:r>
    </w:p>
    <w:tbl>
      <w:tblPr>
        <w:tblW w:w="8505" w:type="dxa"/>
        <w:tblInd w:w="250" w:type="dxa"/>
        <w:tblBorders>
          <w:top w:val="single" w:sz="12" w:space="0" w:color="00000A"/>
        </w:tblBorders>
        <w:tblLook w:val="04A0"/>
      </w:tblPr>
      <w:tblGrid>
        <w:gridCol w:w="2126"/>
        <w:gridCol w:w="2835"/>
        <w:gridCol w:w="3544"/>
      </w:tblGrid>
      <w:tr w:rsidR="00F65D92" w:rsidRPr="001A045E" w:rsidTr="001A045E">
        <w:trPr>
          <w:cantSplit/>
          <w:trHeight w:val="314"/>
        </w:trPr>
        <w:tc>
          <w:tcPr>
            <w:tcW w:w="2126" w:type="dxa"/>
            <w:vMerge w:val="restart"/>
            <w:tcBorders>
              <w:top w:val="single" w:sz="12" w:space="0" w:color="00000A"/>
            </w:tcBorders>
            <w:shd w:val="clear" w:color="auto" w:fill="FFFFFF"/>
          </w:tcPr>
          <w:p w:rsidR="00F65D92" w:rsidRPr="007B31E2" w:rsidRDefault="00F65D92" w:rsidP="007B31E2">
            <w:pPr>
              <w:spacing w:after="0" w:line="240" w:lineRule="auto"/>
              <w:jc w:val="both"/>
              <w:rPr>
                <w:rFonts w:ascii="Verdana" w:hAnsi="Verdana" w:cs="Arial"/>
                <w:bCs/>
                <w:sz w:val="18"/>
              </w:rPr>
            </w:pPr>
            <w:r w:rsidRPr="007B31E2">
              <w:rPr>
                <w:rFonts w:ascii="Verdana" w:hAnsi="Verdana" w:cs="Arial"/>
                <w:sz w:val="18"/>
                <w:lang w:val="en-US"/>
              </w:rPr>
              <w:t>Determinaciones bioquímicas</w:t>
            </w:r>
            <w:r w:rsidRPr="007B31E2">
              <w:rPr>
                <w:rFonts w:ascii="Verdana" w:hAnsi="Verdana" w:cs="Arial"/>
                <w:bCs/>
                <w:sz w:val="18"/>
                <w:lang w:val="en-US"/>
              </w:rPr>
              <w:t xml:space="preserve"> elevadas    </w:t>
            </w:r>
          </w:p>
        </w:tc>
        <w:tc>
          <w:tcPr>
            <w:tcW w:w="6379" w:type="dxa"/>
            <w:gridSpan w:val="2"/>
            <w:tcBorders>
              <w:top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bCs/>
                <w:sz w:val="18"/>
              </w:rPr>
              <w:t>Valoración nutricional</w:t>
            </w:r>
          </w:p>
        </w:tc>
      </w:tr>
      <w:tr w:rsidR="00F65D92" w:rsidRPr="001A045E" w:rsidTr="001A045E">
        <w:trPr>
          <w:cantSplit/>
          <w:trHeight w:val="314"/>
        </w:trPr>
        <w:tc>
          <w:tcPr>
            <w:tcW w:w="2126" w:type="dxa"/>
            <w:vMerge/>
            <w:tcBorders>
              <w:bottom w:val="single" w:sz="12" w:space="0" w:color="00000A"/>
            </w:tcBorders>
            <w:shd w:val="clear" w:color="auto" w:fill="FFFFFF"/>
          </w:tcPr>
          <w:p w:rsidR="00F65D92" w:rsidRPr="007B31E2" w:rsidRDefault="00F65D92" w:rsidP="007B31E2">
            <w:pPr>
              <w:spacing w:after="0" w:line="240" w:lineRule="auto"/>
              <w:jc w:val="both"/>
              <w:rPr>
                <w:rFonts w:ascii="Verdana" w:hAnsi="Verdana" w:cs="Arial"/>
                <w:bCs/>
                <w:sz w:val="18"/>
                <w:lang w:val="en-US"/>
              </w:rPr>
            </w:pPr>
          </w:p>
        </w:tc>
        <w:tc>
          <w:tcPr>
            <w:tcW w:w="2835" w:type="dxa"/>
            <w:tcBorders>
              <w:bottom w:val="single" w:sz="12" w:space="0" w:color="00000A"/>
            </w:tcBorders>
            <w:shd w:val="clear" w:color="auto" w:fill="FFFFFF"/>
          </w:tcPr>
          <w:p w:rsidR="00F65D92" w:rsidRPr="007B31E2" w:rsidRDefault="00F65D92" w:rsidP="007B31E2">
            <w:pPr>
              <w:spacing w:after="0" w:line="240" w:lineRule="auto"/>
              <w:jc w:val="both"/>
              <w:rPr>
                <w:rFonts w:ascii="Verdana" w:hAnsi="Verdana" w:cs="Arial"/>
                <w:bCs/>
                <w:sz w:val="18"/>
              </w:rPr>
            </w:pPr>
            <w:r w:rsidRPr="007B31E2">
              <w:rPr>
                <w:rFonts w:ascii="Verdana" w:hAnsi="Verdana" w:cs="Arial"/>
                <w:bCs/>
                <w:sz w:val="18"/>
              </w:rPr>
              <w:t xml:space="preserve">Normo peso  </w:t>
            </w:r>
            <w:r w:rsidR="007B31E2">
              <w:rPr>
                <w:rFonts w:ascii="Verdana" w:hAnsi="Verdana" w:cs="Arial"/>
                <w:bCs/>
                <w:sz w:val="18"/>
              </w:rPr>
              <w:t xml:space="preserve">    </w:t>
            </w:r>
            <w:r w:rsidRPr="007B31E2">
              <w:rPr>
                <w:rFonts w:ascii="Verdana" w:hAnsi="Verdana" w:cs="Arial"/>
                <w:bCs/>
                <w:sz w:val="18"/>
              </w:rPr>
              <w:t xml:space="preserve">Bajo peso   </w:t>
            </w:r>
          </w:p>
          <w:p w:rsidR="00F65D92" w:rsidRPr="007B31E2" w:rsidRDefault="00F65D92" w:rsidP="007B31E2">
            <w:pPr>
              <w:spacing w:after="0" w:line="240" w:lineRule="auto"/>
              <w:jc w:val="both"/>
              <w:rPr>
                <w:rFonts w:ascii="Verdana" w:hAnsi="Verdana" w:cs="Arial"/>
                <w:bCs/>
                <w:sz w:val="18"/>
              </w:rPr>
            </w:pPr>
            <w:r w:rsidRPr="007B31E2">
              <w:rPr>
                <w:rFonts w:ascii="Verdana" w:hAnsi="Verdana" w:cs="Arial"/>
                <w:bCs/>
                <w:sz w:val="18"/>
              </w:rPr>
              <w:t xml:space="preserve">No    %       </w:t>
            </w:r>
            <w:r w:rsidR="007B31E2">
              <w:rPr>
                <w:rFonts w:ascii="Verdana" w:hAnsi="Verdana" w:cs="Arial"/>
                <w:bCs/>
                <w:sz w:val="18"/>
              </w:rPr>
              <w:t xml:space="preserve">      </w:t>
            </w:r>
            <w:r w:rsidRPr="007B31E2">
              <w:rPr>
                <w:rFonts w:ascii="Verdana" w:hAnsi="Verdana" w:cs="Arial"/>
                <w:bCs/>
                <w:sz w:val="18"/>
              </w:rPr>
              <w:t xml:space="preserve">No    %    </w:t>
            </w:r>
          </w:p>
        </w:tc>
        <w:tc>
          <w:tcPr>
            <w:tcW w:w="3544" w:type="dxa"/>
            <w:tcBorders>
              <w:bottom w:val="single" w:sz="12" w:space="0" w:color="00000A"/>
            </w:tcBorders>
            <w:shd w:val="clear" w:color="auto" w:fill="FFFFFF"/>
          </w:tcPr>
          <w:p w:rsidR="00F65D92" w:rsidRPr="007B31E2" w:rsidRDefault="00F65D92" w:rsidP="007B31E2">
            <w:pPr>
              <w:spacing w:after="0" w:line="240" w:lineRule="auto"/>
              <w:jc w:val="both"/>
              <w:rPr>
                <w:rFonts w:ascii="Verdana" w:hAnsi="Verdana" w:cs="Arial"/>
                <w:bCs/>
                <w:sz w:val="18"/>
              </w:rPr>
            </w:pPr>
            <w:r w:rsidRPr="007B31E2">
              <w:rPr>
                <w:rFonts w:ascii="Verdana" w:hAnsi="Verdana" w:cs="Arial"/>
                <w:bCs/>
                <w:sz w:val="18"/>
              </w:rPr>
              <w:t xml:space="preserve">Sobre peso </w:t>
            </w:r>
            <w:r w:rsidR="007B31E2" w:rsidRPr="007B31E2">
              <w:rPr>
                <w:rFonts w:ascii="Verdana" w:hAnsi="Verdana" w:cs="Arial"/>
                <w:bCs/>
                <w:sz w:val="18"/>
              </w:rPr>
              <w:t xml:space="preserve"> </w:t>
            </w:r>
            <w:r w:rsidRPr="007B31E2">
              <w:rPr>
                <w:rFonts w:ascii="Verdana" w:hAnsi="Verdana" w:cs="Arial"/>
                <w:bCs/>
                <w:sz w:val="18"/>
              </w:rPr>
              <w:t>Obeso        Total</w:t>
            </w:r>
          </w:p>
          <w:p w:rsidR="00F65D92" w:rsidRPr="007B31E2" w:rsidRDefault="00F65D92" w:rsidP="007B31E2">
            <w:pPr>
              <w:spacing w:after="0" w:line="240" w:lineRule="auto"/>
              <w:jc w:val="both"/>
              <w:rPr>
                <w:rFonts w:ascii="Verdana" w:hAnsi="Verdana" w:cs="Arial"/>
                <w:sz w:val="18"/>
              </w:rPr>
            </w:pPr>
            <w:r w:rsidRPr="007B31E2">
              <w:rPr>
                <w:rFonts w:ascii="Verdana" w:hAnsi="Verdana" w:cs="Arial"/>
                <w:bCs/>
                <w:sz w:val="18"/>
              </w:rPr>
              <w:t>No    %           No   %      No   %</w:t>
            </w:r>
          </w:p>
        </w:tc>
      </w:tr>
      <w:tr w:rsidR="00F65D92" w:rsidRPr="001A045E" w:rsidTr="001A045E">
        <w:trPr>
          <w:trHeight w:val="413"/>
        </w:trPr>
        <w:tc>
          <w:tcPr>
            <w:tcW w:w="2126" w:type="dxa"/>
            <w:tcBorders>
              <w:top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lang w:val="es-DO"/>
              </w:rPr>
              <w:t xml:space="preserve">Hemoglobina </w:t>
            </w:r>
          </w:p>
        </w:tc>
        <w:tc>
          <w:tcPr>
            <w:tcW w:w="2835" w:type="dxa"/>
            <w:tcBorders>
              <w:top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rPr>
              <w:t xml:space="preserve">5     17,2    </w:t>
            </w:r>
            <w:r w:rsidR="007B31E2">
              <w:rPr>
                <w:rFonts w:ascii="Verdana" w:hAnsi="Verdana" w:cs="Arial"/>
                <w:sz w:val="18"/>
              </w:rPr>
              <w:t xml:space="preserve">      </w:t>
            </w:r>
            <w:r w:rsidRPr="007B31E2">
              <w:rPr>
                <w:rFonts w:ascii="Verdana" w:hAnsi="Verdana" w:cs="Arial"/>
                <w:sz w:val="18"/>
              </w:rPr>
              <w:t xml:space="preserve"> 1    25</w:t>
            </w:r>
          </w:p>
        </w:tc>
        <w:tc>
          <w:tcPr>
            <w:tcW w:w="3544" w:type="dxa"/>
            <w:tcBorders>
              <w:top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sz w:val="18"/>
              </w:rPr>
              <w:t>2      5,7           2  16,6    10   12,5</w:t>
            </w:r>
          </w:p>
        </w:tc>
      </w:tr>
      <w:tr w:rsidR="00F65D92" w:rsidRPr="001A045E" w:rsidTr="001A045E">
        <w:trPr>
          <w:trHeight w:val="73"/>
        </w:trPr>
        <w:tc>
          <w:tcPr>
            <w:tcW w:w="2126"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lang w:val="es-DO"/>
              </w:rPr>
              <w:t xml:space="preserve">Colesterol </w:t>
            </w:r>
          </w:p>
        </w:tc>
        <w:tc>
          <w:tcPr>
            <w:tcW w:w="2835"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rPr>
              <w:t xml:space="preserve">6      20,6    </w:t>
            </w:r>
            <w:r w:rsidR="007B31E2">
              <w:rPr>
                <w:rFonts w:ascii="Verdana" w:hAnsi="Verdana" w:cs="Arial"/>
                <w:sz w:val="18"/>
              </w:rPr>
              <w:t xml:space="preserve">     </w:t>
            </w:r>
            <w:r w:rsidRPr="007B31E2">
              <w:rPr>
                <w:rFonts w:ascii="Verdana" w:hAnsi="Verdana" w:cs="Arial"/>
                <w:sz w:val="18"/>
              </w:rPr>
              <w:t xml:space="preserve"> 1    25</w:t>
            </w:r>
          </w:p>
        </w:tc>
        <w:tc>
          <w:tcPr>
            <w:tcW w:w="3544" w:type="dxa"/>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sz w:val="18"/>
              </w:rPr>
              <w:t>4    11,4           4  33,3    15   18,7</w:t>
            </w:r>
          </w:p>
        </w:tc>
      </w:tr>
      <w:tr w:rsidR="00F65D92" w:rsidRPr="001A045E" w:rsidTr="001A045E">
        <w:trPr>
          <w:trHeight w:val="413"/>
        </w:trPr>
        <w:tc>
          <w:tcPr>
            <w:tcW w:w="2126"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lang w:val="es-DO"/>
              </w:rPr>
              <w:t>Triacilglicéridos</w:t>
            </w:r>
          </w:p>
        </w:tc>
        <w:tc>
          <w:tcPr>
            <w:tcW w:w="2835"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rPr>
              <w:t xml:space="preserve">11    37,9    </w:t>
            </w:r>
            <w:r w:rsidR="007B31E2">
              <w:rPr>
                <w:rFonts w:ascii="Verdana" w:hAnsi="Verdana" w:cs="Arial"/>
                <w:sz w:val="18"/>
              </w:rPr>
              <w:t xml:space="preserve">     </w:t>
            </w:r>
            <w:r w:rsidRPr="007B31E2">
              <w:rPr>
                <w:rFonts w:ascii="Verdana" w:hAnsi="Verdana" w:cs="Arial"/>
                <w:sz w:val="18"/>
              </w:rPr>
              <w:t xml:space="preserve"> 1    25</w:t>
            </w:r>
          </w:p>
        </w:tc>
        <w:tc>
          <w:tcPr>
            <w:tcW w:w="3544" w:type="dxa"/>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sz w:val="18"/>
              </w:rPr>
              <w:t>12  34,2           5  41,6    29   36,2</w:t>
            </w:r>
          </w:p>
        </w:tc>
      </w:tr>
      <w:tr w:rsidR="00F65D92" w:rsidRPr="001A045E" w:rsidTr="001A045E">
        <w:trPr>
          <w:trHeight w:val="413"/>
        </w:trPr>
        <w:tc>
          <w:tcPr>
            <w:tcW w:w="2126"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lang w:val="es-DO"/>
              </w:rPr>
              <w:t xml:space="preserve">Creatinina </w:t>
            </w:r>
          </w:p>
        </w:tc>
        <w:tc>
          <w:tcPr>
            <w:tcW w:w="2835"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rPr>
              <w:t xml:space="preserve">1        3,4     </w:t>
            </w:r>
            <w:r w:rsidR="007B31E2">
              <w:rPr>
                <w:rFonts w:ascii="Verdana" w:hAnsi="Verdana" w:cs="Arial"/>
                <w:sz w:val="18"/>
              </w:rPr>
              <w:t xml:space="preserve">     </w:t>
            </w:r>
            <w:r w:rsidRPr="007B31E2">
              <w:rPr>
                <w:rFonts w:ascii="Verdana" w:hAnsi="Verdana" w:cs="Arial"/>
                <w:sz w:val="18"/>
              </w:rPr>
              <w:t>1    25</w:t>
            </w:r>
          </w:p>
        </w:tc>
        <w:tc>
          <w:tcPr>
            <w:tcW w:w="3544" w:type="dxa"/>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sz w:val="18"/>
              </w:rPr>
              <w:t>-        -             1    8,3     3      3,7</w:t>
            </w:r>
          </w:p>
        </w:tc>
      </w:tr>
      <w:tr w:rsidR="00F65D92" w:rsidRPr="001A045E" w:rsidTr="001A045E">
        <w:trPr>
          <w:trHeight w:val="413"/>
        </w:trPr>
        <w:tc>
          <w:tcPr>
            <w:tcW w:w="2126"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lang w:val="es-DO"/>
              </w:rPr>
              <w:t xml:space="preserve">Ácido Úrico </w:t>
            </w:r>
          </w:p>
        </w:tc>
        <w:tc>
          <w:tcPr>
            <w:tcW w:w="2835" w:type="dxa"/>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rPr>
              <w:t xml:space="preserve">1        3,4     </w:t>
            </w:r>
            <w:r w:rsidR="007B31E2">
              <w:rPr>
                <w:rFonts w:ascii="Verdana" w:hAnsi="Verdana" w:cs="Arial"/>
                <w:sz w:val="18"/>
              </w:rPr>
              <w:t xml:space="preserve">    </w:t>
            </w:r>
            <w:r w:rsidRPr="007B31E2">
              <w:rPr>
                <w:rFonts w:ascii="Verdana" w:hAnsi="Verdana" w:cs="Arial"/>
                <w:sz w:val="18"/>
              </w:rPr>
              <w:t xml:space="preserve"> -      -</w:t>
            </w:r>
          </w:p>
        </w:tc>
        <w:tc>
          <w:tcPr>
            <w:tcW w:w="3544" w:type="dxa"/>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sz w:val="18"/>
              </w:rPr>
              <w:t>3      8,5           2   16,6    6      7,5</w:t>
            </w:r>
          </w:p>
        </w:tc>
      </w:tr>
      <w:tr w:rsidR="00F65D92" w:rsidRPr="001A045E" w:rsidTr="001A045E">
        <w:trPr>
          <w:trHeight w:val="425"/>
        </w:trPr>
        <w:tc>
          <w:tcPr>
            <w:tcW w:w="2126" w:type="dxa"/>
            <w:tcBorders>
              <w:bottom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lang w:val="es-DO"/>
              </w:rPr>
              <w:t xml:space="preserve">Glicemia  </w:t>
            </w:r>
          </w:p>
        </w:tc>
        <w:tc>
          <w:tcPr>
            <w:tcW w:w="2835" w:type="dxa"/>
            <w:tcBorders>
              <w:bottom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rPr>
            </w:pPr>
            <w:r w:rsidRPr="007B31E2">
              <w:rPr>
                <w:rFonts w:ascii="Verdana" w:hAnsi="Verdana" w:cs="Arial"/>
                <w:sz w:val="18"/>
              </w:rPr>
              <w:t xml:space="preserve">9      31,0     </w:t>
            </w:r>
            <w:r w:rsidR="007B31E2">
              <w:rPr>
                <w:rFonts w:ascii="Verdana" w:hAnsi="Verdana" w:cs="Arial"/>
                <w:sz w:val="18"/>
              </w:rPr>
              <w:t xml:space="preserve">     </w:t>
            </w:r>
            <w:r w:rsidRPr="007B31E2">
              <w:rPr>
                <w:rFonts w:ascii="Verdana" w:hAnsi="Verdana" w:cs="Arial"/>
                <w:sz w:val="18"/>
              </w:rPr>
              <w:t>3   75</w:t>
            </w:r>
          </w:p>
        </w:tc>
        <w:tc>
          <w:tcPr>
            <w:tcW w:w="3544" w:type="dxa"/>
            <w:tcBorders>
              <w:bottom w:val="single" w:sz="12" w:space="0" w:color="00000A"/>
            </w:tcBorders>
            <w:shd w:val="clear" w:color="auto" w:fill="FFFFFF"/>
          </w:tcPr>
          <w:p w:rsidR="00F65D92" w:rsidRPr="007B31E2" w:rsidRDefault="00F65D92" w:rsidP="007B31E2">
            <w:pPr>
              <w:spacing w:after="0" w:line="240" w:lineRule="auto"/>
              <w:jc w:val="both"/>
              <w:rPr>
                <w:rFonts w:ascii="Verdana" w:hAnsi="Verdana" w:cs="Arial"/>
                <w:sz w:val="18"/>
                <w:lang w:val="en-US"/>
              </w:rPr>
            </w:pPr>
            <w:r w:rsidRPr="007B31E2">
              <w:rPr>
                <w:rFonts w:ascii="Verdana" w:hAnsi="Verdana" w:cs="Arial"/>
                <w:sz w:val="18"/>
              </w:rPr>
              <w:t>12   34,2          3    25      27   33,7</w:t>
            </w:r>
          </w:p>
        </w:tc>
      </w:tr>
    </w:tbl>
    <w:p w:rsidR="000C11E2" w:rsidRPr="001A045E" w:rsidRDefault="000C11E2" w:rsidP="001A045E">
      <w:pPr>
        <w:spacing w:after="0" w:line="360" w:lineRule="auto"/>
        <w:jc w:val="both"/>
        <w:rPr>
          <w:rFonts w:ascii="Verdana" w:hAnsi="Verdana" w:cs="Arial"/>
        </w:rPr>
      </w:pPr>
    </w:p>
    <w:p w:rsidR="002A2409" w:rsidRPr="001A045E" w:rsidRDefault="00F65D92" w:rsidP="001A045E">
      <w:pPr>
        <w:spacing w:after="0" w:line="360" w:lineRule="auto"/>
        <w:jc w:val="both"/>
        <w:rPr>
          <w:rFonts w:ascii="Verdana" w:hAnsi="Verdana" w:cs="Arial"/>
        </w:rPr>
      </w:pPr>
      <w:r w:rsidRPr="001A045E">
        <w:rPr>
          <w:rFonts w:ascii="Verdana" w:hAnsi="Verdana" w:cs="Arial"/>
        </w:rPr>
        <w:t xml:space="preserve">Diversos parámetros bioquímicos se utilizan como marcadores nutricionales. Entre ellos cabe destacar como más habituales las concentraciones plasmáticas de las proteínas viscerales, las proteínas somáticas como la creatinina sérica para determinar la masa muscular. Los valores de todos </w:t>
      </w:r>
      <w:r w:rsidRPr="001A045E">
        <w:rPr>
          <w:rFonts w:ascii="Verdana" w:hAnsi="Verdana" w:cs="Arial"/>
        </w:rPr>
        <w:lastRenderedPageBreak/>
        <w:t>ellos pueden estar</w:t>
      </w:r>
      <w:r w:rsidR="007324DF" w:rsidRPr="001A045E">
        <w:rPr>
          <w:rFonts w:ascii="Verdana" w:hAnsi="Verdana" w:cs="Arial"/>
        </w:rPr>
        <w:t xml:space="preserve"> </w:t>
      </w:r>
      <w:r w:rsidRPr="001A045E">
        <w:rPr>
          <w:rFonts w:ascii="Verdana" w:hAnsi="Verdana" w:cs="Arial"/>
        </w:rPr>
        <w:t>alterados por diversas situaciones no nutricionales; es más, en el paciente anciano puede asociarse a la sola presencia de sarcopenia. No obstante, su disminución se asocia tanto a la presencia de desnutrición como a aumento en la morbilidad y mortalidad.</w:t>
      </w:r>
    </w:p>
    <w:p w:rsidR="00F65D92" w:rsidRPr="001A045E" w:rsidRDefault="00F65D92" w:rsidP="001A045E">
      <w:pPr>
        <w:spacing w:after="0" w:line="360" w:lineRule="auto"/>
        <w:jc w:val="both"/>
        <w:rPr>
          <w:rFonts w:ascii="Verdana" w:hAnsi="Verdana" w:cs="Arial"/>
        </w:rPr>
      </w:pPr>
      <w:r w:rsidRPr="001A045E">
        <w:rPr>
          <w:rFonts w:ascii="Verdana" w:hAnsi="Verdana" w:cs="Arial"/>
          <w:bCs/>
        </w:rPr>
        <w:t>En un estudio de nutrición realizado por Sánchez Saldaña Lourdes en Lima 2018, se encontró, el</w:t>
      </w:r>
      <w:r w:rsidRPr="001A045E">
        <w:rPr>
          <w:rFonts w:ascii="Verdana" w:hAnsi="Verdana" w:cs="Arial"/>
        </w:rPr>
        <w:t xml:space="preserve"> 90,7% de pacientes evaluadas tuvieron más de 88cm de circunferencia de cintura, 71,2% con riesgo muy alto y 19,5% con riesgo alto.</w:t>
      </w:r>
      <w:r w:rsidR="007324DF" w:rsidRPr="001A045E">
        <w:rPr>
          <w:rFonts w:ascii="Verdana" w:hAnsi="Verdana" w:cs="Arial"/>
          <w:vertAlign w:val="superscript"/>
        </w:rPr>
        <w:t>13</w:t>
      </w:r>
    </w:p>
    <w:p w:rsidR="00F65D92" w:rsidRDefault="00F65D92" w:rsidP="001A045E">
      <w:pPr>
        <w:spacing w:after="0" w:line="360" w:lineRule="auto"/>
        <w:jc w:val="both"/>
        <w:rPr>
          <w:rFonts w:ascii="Verdana" w:hAnsi="Verdana" w:cs="Arial"/>
          <w:vertAlign w:val="superscript"/>
        </w:rPr>
      </w:pPr>
      <w:r w:rsidRPr="001A045E">
        <w:rPr>
          <w:rFonts w:ascii="Verdana" w:hAnsi="Verdana" w:cs="Arial"/>
        </w:rPr>
        <w:t xml:space="preserve">En el artículo: </w:t>
      </w:r>
      <w:r w:rsidRPr="001A045E">
        <w:rPr>
          <w:rFonts w:ascii="Verdana" w:hAnsi="Verdana" w:cs="Arial"/>
          <w:bCs/>
        </w:rPr>
        <w:t>Evaluación del estado nutricional del grupo de adultos mayores jubilados  en la provincia Bolívar en el cantón Chillanes en Ecuador, al</w:t>
      </w:r>
      <w:r w:rsidRPr="001A045E">
        <w:rPr>
          <w:rFonts w:ascii="Verdana" w:hAnsi="Verdana" w:cs="Arial"/>
        </w:rPr>
        <w:t xml:space="preserve"> analizar el riesgo metabólico con la circunferencia de la cintura se encontró que el 90% de la población tenia  riesgo metabólico aumentado, 7,5 % muy aumentado y un 2,5% no tiene riesgo.</w:t>
      </w:r>
      <w:r w:rsidR="007324DF" w:rsidRPr="001A045E">
        <w:rPr>
          <w:rFonts w:ascii="Verdana" w:hAnsi="Verdana" w:cs="Arial"/>
          <w:vertAlign w:val="superscript"/>
        </w:rPr>
        <w:t xml:space="preserve">10 </w:t>
      </w:r>
      <w:r w:rsidRPr="001A045E">
        <w:rPr>
          <w:rFonts w:ascii="Verdana" w:hAnsi="Verdana" w:cs="Arial"/>
        </w:rPr>
        <w:t xml:space="preserve">En el estudio de Acosta en Córdoba, Argentina existió una mayor proporción  de  </w:t>
      </w:r>
      <w:r w:rsidRPr="00CF21C4">
        <w:rPr>
          <w:rFonts w:ascii="Verdana" w:hAnsi="Verdana" w:cs="Arial"/>
        </w:rPr>
        <w:t>la categoría de riesgo en varones.</w:t>
      </w:r>
      <w:r w:rsidR="007324DF" w:rsidRPr="00CF21C4">
        <w:rPr>
          <w:rFonts w:ascii="Verdana" w:hAnsi="Verdana" w:cs="Arial"/>
          <w:vertAlign w:val="superscript"/>
        </w:rPr>
        <w:t>14</w:t>
      </w:r>
    </w:p>
    <w:p w:rsidR="00CF21C4" w:rsidRDefault="00CF21C4" w:rsidP="001A045E">
      <w:pPr>
        <w:spacing w:after="0" w:line="360" w:lineRule="auto"/>
        <w:jc w:val="both"/>
        <w:rPr>
          <w:rFonts w:ascii="Verdana" w:hAnsi="Verdana" w:cs="Arial"/>
          <w:vertAlign w:val="superscript"/>
        </w:rPr>
      </w:pPr>
    </w:p>
    <w:p w:rsidR="00CF21C4" w:rsidRDefault="00CF21C4" w:rsidP="001A045E">
      <w:pPr>
        <w:spacing w:after="0" w:line="360" w:lineRule="auto"/>
        <w:jc w:val="both"/>
        <w:rPr>
          <w:rFonts w:ascii="Verdana" w:hAnsi="Verdana" w:cs="Arial"/>
          <w:vertAlign w:val="superscript"/>
        </w:rPr>
      </w:pPr>
    </w:p>
    <w:p w:rsidR="00CF21C4" w:rsidRDefault="00CF21C4" w:rsidP="001A045E">
      <w:pPr>
        <w:spacing w:after="0" w:line="360" w:lineRule="auto"/>
        <w:jc w:val="both"/>
        <w:rPr>
          <w:rFonts w:ascii="Verdana" w:hAnsi="Verdana" w:cs="Arial"/>
          <w:vertAlign w:val="superscript"/>
        </w:rPr>
      </w:pPr>
    </w:p>
    <w:p w:rsidR="00CF21C4" w:rsidRPr="00CF21C4" w:rsidRDefault="00CF21C4" w:rsidP="001A045E">
      <w:pPr>
        <w:spacing w:after="0" w:line="360" w:lineRule="auto"/>
        <w:jc w:val="both"/>
        <w:rPr>
          <w:rFonts w:ascii="Verdana" w:hAnsi="Verdana" w:cs="Arial"/>
          <w:vertAlign w:val="superscript"/>
        </w:rPr>
      </w:pPr>
    </w:p>
    <w:p w:rsidR="00F65D92" w:rsidRPr="001A045E" w:rsidRDefault="00F65D92" w:rsidP="001A045E">
      <w:pPr>
        <w:spacing w:after="0" w:line="360" w:lineRule="auto"/>
        <w:ind w:left="1134" w:hanging="1134"/>
        <w:jc w:val="both"/>
        <w:rPr>
          <w:rFonts w:ascii="Verdana" w:hAnsi="Verdana" w:cs="Arial"/>
          <w:bCs/>
        </w:rPr>
      </w:pPr>
      <w:r w:rsidRPr="00CF21C4">
        <w:rPr>
          <w:rFonts w:ascii="Verdana" w:hAnsi="Verdana" w:cs="Arial"/>
        </w:rPr>
        <w:t xml:space="preserve">Tabla </w:t>
      </w:r>
      <w:r w:rsidR="00CF21C4">
        <w:rPr>
          <w:rFonts w:ascii="Verdana" w:hAnsi="Verdana" w:cs="Arial"/>
        </w:rPr>
        <w:t>5</w:t>
      </w:r>
      <w:r w:rsidRPr="001A045E">
        <w:rPr>
          <w:rFonts w:ascii="Verdana" w:hAnsi="Verdana" w:cs="Arial"/>
          <w:b/>
        </w:rPr>
        <w:t xml:space="preserve">. </w:t>
      </w:r>
      <w:r w:rsidRPr="001A045E">
        <w:rPr>
          <w:rFonts w:ascii="Verdana" w:hAnsi="Verdana" w:cs="Arial"/>
        </w:rPr>
        <w:t>Distribución de pacientes  según  circunferencia abdominal y estado nutricional</w:t>
      </w:r>
    </w:p>
    <w:tbl>
      <w:tblPr>
        <w:tblW w:w="9138" w:type="dxa"/>
        <w:tblInd w:w="-141" w:type="dxa"/>
        <w:tblBorders>
          <w:top w:val="single" w:sz="12" w:space="0" w:color="000001"/>
          <w:bottom w:val="single" w:sz="12" w:space="0" w:color="000001"/>
          <w:insideH w:val="single" w:sz="12" w:space="0" w:color="000001"/>
        </w:tblBorders>
        <w:tblLook w:val="04A0"/>
      </w:tblPr>
      <w:tblGrid>
        <w:gridCol w:w="2147"/>
        <w:gridCol w:w="1505"/>
        <w:gridCol w:w="1508"/>
        <w:gridCol w:w="1505"/>
        <w:gridCol w:w="1233"/>
        <w:gridCol w:w="1240"/>
      </w:tblGrid>
      <w:tr w:rsidR="00F65D92" w:rsidRPr="001A045E" w:rsidTr="00B16D17">
        <w:trPr>
          <w:trHeight w:val="313"/>
        </w:trPr>
        <w:tc>
          <w:tcPr>
            <w:tcW w:w="2146"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Circunferencia abdominal</w:t>
            </w:r>
          </w:p>
        </w:tc>
        <w:tc>
          <w:tcPr>
            <w:tcW w:w="1505"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Bajo peso</w:t>
            </w:r>
          </w:p>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No      %</w:t>
            </w:r>
          </w:p>
        </w:tc>
        <w:tc>
          <w:tcPr>
            <w:tcW w:w="1508"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Normopeso</w:t>
            </w:r>
          </w:p>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No    %</w:t>
            </w:r>
          </w:p>
        </w:tc>
        <w:tc>
          <w:tcPr>
            <w:tcW w:w="1505"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Sobrepeso</w:t>
            </w:r>
          </w:p>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No   %</w:t>
            </w:r>
          </w:p>
        </w:tc>
        <w:tc>
          <w:tcPr>
            <w:tcW w:w="1233"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Obeso</w:t>
            </w:r>
          </w:p>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 xml:space="preserve">No    %        </w:t>
            </w:r>
          </w:p>
        </w:tc>
        <w:tc>
          <w:tcPr>
            <w:tcW w:w="1240"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n-US"/>
              </w:rPr>
            </w:pPr>
            <w:r w:rsidRPr="00CF21C4">
              <w:rPr>
                <w:rFonts w:ascii="Verdana" w:hAnsi="Verdana" w:cs="Arial"/>
                <w:bCs/>
                <w:sz w:val="18"/>
                <w:lang w:val="en-US"/>
              </w:rPr>
              <w:t>Total</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bCs/>
                <w:sz w:val="18"/>
                <w:lang w:val="en-US"/>
              </w:rPr>
              <w:t>No    %</w:t>
            </w:r>
          </w:p>
        </w:tc>
      </w:tr>
      <w:tr w:rsidR="00F65D92" w:rsidRPr="001A045E" w:rsidTr="00CF21C4">
        <w:trPr>
          <w:trHeight w:val="692"/>
        </w:trPr>
        <w:tc>
          <w:tcPr>
            <w:tcW w:w="2146"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bCs/>
                <w:sz w:val="18"/>
                <w:lang w:val="es-DO"/>
              </w:rPr>
            </w:pPr>
            <w:r w:rsidRPr="00CF21C4">
              <w:rPr>
                <w:rFonts w:ascii="Verdana" w:hAnsi="Verdana" w:cs="Arial"/>
                <w:bCs/>
                <w:sz w:val="18"/>
                <w:lang w:val="es-DO"/>
              </w:rPr>
              <w:t>Bajo riesgo</w:t>
            </w:r>
          </w:p>
          <w:p w:rsidR="00F65D92" w:rsidRPr="00CF21C4" w:rsidRDefault="00F65D92" w:rsidP="00CF21C4">
            <w:pPr>
              <w:spacing w:after="0" w:line="240" w:lineRule="auto"/>
              <w:jc w:val="both"/>
              <w:rPr>
                <w:rFonts w:ascii="Verdana" w:hAnsi="Verdana" w:cs="Arial"/>
                <w:bCs/>
                <w:sz w:val="18"/>
                <w:lang w:val="es-DO"/>
              </w:rPr>
            </w:pPr>
            <w:r w:rsidRPr="00CF21C4">
              <w:rPr>
                <w:rFonts w:ascii="Verdana" w:hAnsi="Verdana" w:cs="Arial"/>
                <w:bCs/>
                <w:sz w:val="18"/>
                <w:lang w:val="es-DO"/>
              </w:rPr>
              <w:t xml:space="preserve">Riesgo aumentado </w:t>
            </w:r>
          </w:p>
          <w:p w:rsidR="00F65D92" w:rsidRPr="00CF21C4" w:rsidRDefault="00F65D92" w:rsidP="00CF21C4">
            <w:pPr>
              <w:spacing w:after="0" w:line="240" w:lineRule="auto"/>
              <w:jc w:val="both"/>
              <w:rPr>
                <w:rFonts w:ascii="Verdana" w:hAnsi="Verdana" w:cs="Arial"/>
                <w:sz w:val="18"/>
                <w:lang w:val="es-DO"/>
              </w:rPr>
            </w:pPr>
            <w:r w:rsidRPr="00CF21C4">
              <w:rPr>
                <w:rFonts w:ascii="Verdana" w:hAnsi="Verdana" w:cs="Arial"/>
                <w:bCs/>
                <w:sz w:val="18"/>
                <w:lang w:val="es-DO"/>
              </w:rPr>
              <w:t>Alto riesgo</w:t>
            </w:r>
          </w:p>
        </w:tc>
        <w:tc>
          <w:tcPr>
            <w:tcW w:w="1505"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s-DO"/>
              </w:rPr>
            </w:pPr>
            <w:r w:rsidRPr="00CF21C4">
              <w:rPr>
                <w:rFonts w:ascii="Verdana" w:hAnsi="Verdana" w:cs="Arial"/>
                <w:sz w:val="18"/>
                <w:lang w:val="es-DO"/>
              </w:rPr>
              <w:t>2        2,5</w:t>
            </w:r>
          </w:p>
          <w:p w:rsidR="00F65D92" w:rsidRPr="00CF21C4" w:rsidRDefault="00F65D92" w:rsidP="00CF21C4">
            <w:pPr>
              <w:spacing w:after="0" w:line="240" w:lineRule="auto"/>
              <w:jc w:val="both"/>
              <w:rPr>
                <w:rFonts w:ascii="Verdana" w:hAnsi="Verdana" w:cs="Arial"/>
                <w:sz w:val="18"/>
                <w:lang w:val="es-DO"/>
              </w:rPr>
            </w:pPr>
            <w:r w:rsidRPr="00CF21C4">
              <w:rPr>
                <w:rFonts w:ascii="Verdana" w:hAnsi="Verdana" w:cs="Arial"/>
                <w:sz w:val="18"/>
                <w:lang w:val="es-DO"/>
              </w:rPr>
              <w:t>1        1,2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s-DO"/>
              </w:rPr>
              <w:t>1        1,2</w:t>
            </w:r>
          </w:p>
        </w:tc>
        <w:tc>
          <w:tcPr>
            <w:tcW w:w="1508"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21    26,2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0        0,0</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8      10,0</w:t>
            </w:r>
          </w:p>
        </w:tc>
        <w:tc>
          <w:tcPr>
            <w:tcW w:w="1505"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9     11,2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7       8,7</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19    23,7</w:t>
            </w:r>
          </w:p>
        </w:tc>
        <w:tc>
          <w:tcPr>
            <w:tcW w:w="1233"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1     1,2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1     1,2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10  12,5</w:t>
            </w:r>
          </w:p>
        </w:tc>
        <w:tc>
          <w:tcPr>
            <w:tcW w:w="1240"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33   41,2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9     11,2</w:t>
            </w:r>
          </w:p>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38    47,1</w:t>
            </w:r>
          </w:p>
        </w:tc>
      </w:tr>
      <w:tr w:rsidR="00F65D92" w:rsidRPr="001A045E" w:rsidTr="00B16D17">
        <w:trPr>
          <w:trHeight w:val="351"/>
        </w:trPr>
        <w:tc>
          <w:tcPr>
            <w:tcW w:w="2146"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s-DO"/>
              </w:rPr>
            </w:pPr>
            <w:r w:rsidRPr="00CF21C4">
              <w:rPr>
                <w:rFonts w:ascii="Verdana" w:hAnsi="Verdana" w:cs="Arial"/>
                <w:bCs/>
                <w:sz w:val="18"/>
                <w:lang w:val="en-US"/>
              </w:rPr>
              <w:t>Total</w:t>
            </w:r>
          </w:p>
        </w:tc>
        <w:tc>
          <w:tcPr>
            <w:tcW w:w="1505"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s-DO"/>
              </w:rPr>
              <w:t>4     5,0</w:t>
            </w:r>
          </w:p>
        </w:tc>
        <w:tc>
          <w:tcPr>
            <w:tcW w:w="1508"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29    36,2</w:t>
            </w:r>
          </w:p>
        </w:tc>
        <w:tc>
          <w:tcPr>
            <w:tcW w:w="1505"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35    43,7</w:t>
            </w:r>
          </w:p>
        </w:tc>
        <w:tc>
          <w:tcPr>
            <w:tcW w:w="1233"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12  15,0</w:t>
            </w:r>
          </w:p>
        </w:tc>
        <w:tc>
          <w:tcPr>
            <w:tcW w:w="1240" w:type="dxa"/>
            <w:tcBorders>
              <w:top w:val="single" w:sz="12" w:space="0" w:color="000001"/>
              <w:bottom w:val="single" w:sz="12" w:space="0" w:color="000001"/>
            </w:tcBorders>
            <w:shd w:val="clear" w:color="auto" w:fill="FFFFFF"/>
          </w:tcPr>
          <w:p w:rsidR="00F65D92" w:rsidRPr="00CF21C4" w:rsidRDefault="00F65D92" w:rsidP="00CF21C4">
            <w:pPr>
              <w:spacing w:after="0" w:line="240" w:lineRule="auto"/>
              <w:jc w:val="both"/>
              <w:rPr>
                <w:rFonts w:ascii="Verdana" w:hAnsi="Verdana" w:cs="Arial"/>
                <w:sz w:val="18"/>
                <w:lang w:val="en-US"/>
              </w:rPr>
            </w:pPr>
            <w:r w:rsidRPr="00CF21C4">
              <w:rPr>
                <w:rFonts w:ascii="Verdana" w:hAnsi="Verdana" w:cs="Arial"/>
                <w:sz w:val="18"/>
                <w:lang w:val="en-US"/>
              </w:rPr>
              <w:t>80     100</w:t>
            </w:r>
          </w:p>
        </w:tc>
      </w:tr>
    </w:tbl>
    <w:p w:rsidR="00F65D92" w:rsidRPr="001A045E" w:rsidRDefault="00F65D92" w:rsidP="001A045E">
      <w:pPr>
        <w:spacing w:after="0" w:line="360" w:lineRule="auto"/>
        <w:jc w:val="both"/>
        <w:rPr>
          <w:rFonts w:ascii="Verdana" w:hAnsi="Verdana" w:cs="Arial"/>
        </w:rPr>
      </w:pPr>
    </w:p>
    <w:p w:rsidR="00F65D92" w:rsidRPr="001A045E" w:rsidRDefault="00CF21C4" w:rsidP="001A045E">
      <w:pPr>
        <w:spacing w:after="0" w:line="360" w:lineRule="auto"/>
        <w:jc w:val="both"/>
        <w:rPr>
          <w:rFonts w:ascii="Verdana" w:hAnsi="Verdana" w:cs="Arial"/>
          <w:bCs/>
        </w:rPr>
      </w:pPr>
      <w:r>
        <w:rPr>
          <w:rFonts w:ascii="Verdana" w:hAnsi="Verdana" w:cs="Arial"/>
        </w:rPr>
        <w:t>En la Tabla 5</w:t>
      </w:r>
      <w:r w:rsidR="00F65D92" w:rsidRPr="001A045E">
        <w:rPr>
          <w:rFonts w:ascii="Verdana" w:hAnsi="Verdana" w:cs="Arial"/>
        </w:rPr>
        <w:t xml:space="preserve"> se muestra la distribución de pacientes según circunferencia abdominal y estado nutricional. Analizamos que los pacientes con alto riesgo correspondían en su mayoría con la categoría de sobrepeso en un 23,7</w:t>
      </w:r>
      <w:r w:rsidR="00F65D92" w:rsidRPr="001A045E">
        <w:rPr>
          <w:rFonts w:ascii="Verdana" w:hAnsi="Verdana" w:cs="Arial"/>
          <w:bCs/>
        </w:rPr>
        <w:t>%, el riesgo incrementado también estuvo asociado al sobrepeso. La  mayoría  de  los pacientes con categoría de  bajo riesgo se asociaron al normopeso.</w:t>
      </w:r>
    </w:p>
    <w:p w:rsidR="00F65D92" w:rsidRPr="001A045E" w:rsidRDefault="00F65D92" w:rsidP="001A045E">
      <w:pPr>
        <w:spacing w:after="0" w:line="360" w:lineRule="auto"/>
        <w:jc w:val="both"/>
        <w:rPr>
          <w:rFonts w:ascii="Verdana" w:hAnsi="Verdana" w:cs="Arial"/>
        </w:rPr>
      </w:pPr>
      <w:r w:rsidRPr="001A045E">
        <w:rPr>
          <w:rFonts w:ascii="Verdana" w:hAnsi="Verdana" w:cs="Arial"/>
          <w:bCs/>
        </w:rPr>
        <w:t xml:space="preserve">Consideramos que </w:t>
      </w:r>
      <w:r w:rsidRPr="001A045E">
        <w:rPr>
          <w:rFonts w:ascii="Verdana" w:hAnsi="Verdana" w:cs="Arial"/>
        </w:rPr>
        <w:t xml:space="preserve">la circunferencia abdominal nos da una referencia de la grasa visceral, más distribuida en una parte del cuerpo, la región abdominal y la evaluación nutricional se mide peso y talla con una distribución de la </w:t>
      </w:r>
      <w:r w:rsidRPr="001A045E">
        <w:rPr>
          <w:rFonts w:ascii="Verdana" w:hAnsi="Verdana" w:cs="Arial"/>
        </w:rPr>
        <w:lastRenderedPageBreak/>
        <w:t>masa muscular y la grasa de forma general y en diferentes regiones del cuerpo. Por lo que pensamos no siempre se corresponden estos dos parámetros antropométricos, pero si coincidimos con otros autores en cuanto a los valores incrementados en la circunferencia abdominal constituya un riesgo de enfermedades cardiometabólicas y más si se asocia con el sobrepeso.</w:t>
      </w:r>
      <w:r w:rsidR="00CF21C4">
        <w:rPr>
          <w:rFonts w:ascii="Verdana" w:hAnsi="Verdana" w:cs="Arial"/>
          <w:vertAlign w:val="superscript"/>
        </w:rPr>
        <w:t>15,16</w:t>
      </w:r>
    </w:p>
    <w:p w:rsidR="009E20A6" w:rsidRPr="00CF21C4" w:rsidRDefault="00B9240F" w:rsidP="001A045E">
      <w:pPr>
        <w:spacing w:after="0" w:line="360" w:lineRule="auto"/>
        <w:jc w:val="both"/>
        <w:rPr>
          <w:rFonts w:ascii="Verdana" w:hAnsi="Verdana" w:cs="Arial"/>
          <w:b/>
        </w:rPr>
      </w:pPr>
      <w:r w:rsidRPr="00CF21C4">
        <w:rPr>
          <w:rFonts w:ascii="Verdana" w:hAnsi="Verdana" w:cs="Arial"/>
          <w:b/>
        </w:rPr>
        <w:t>Conclusiones:</w:t>
      </w:r>
    </w:p>
    <w:p w:rsidR="00B9240F" w:rsidRPr="001A045E" w:rsidRDefault="00B9240F" w:rsidP="001A045E">
      <w:pPr>
        <w:spacing w:after="0" w:line="360" w:lineRule="auto"/>
        <w:jc w:val="both"/>
        <w:rPr>
          <w:rFonts w:ascii="Verdana" w:hAnsi="Verdana" w:cs="Arial"/>
        </w:rPr>
      </w:pPr>
      <w:r w:rsidRPr="001A045E">
        <w:rPr>
          <w:rFonts w:ascii="Verdana" w:hAnsi="Verdana" w:cs="Arial"/>
          <w:lang w:val="es-DO"/>
        </w:rPr>
        <w:t>Se concluyó que e</w:t>
      </w:r>
      <w:r w:rsidRPr="001A045E">
        <w:rPr>
          <w:rFonts w:ascii="Verdana" w:hAnsi="Verdana" w:cs="Arial"/>
        </w:rPr>
        <w:t>l sexo masculino con edades de 70-79 años, sobrepeso, con una media de peso y talla superior. Se observó predominio de riesgo de malnutrición en ambos se</w:t>
      </w:r>
      <w:r w:rsidR="005F3306">
        <w:rPr>
          <w:rFonts w:ascii="Verdana" w:hAnsi="Verdana" w:cs="Arial"/>
        </w:rPr>
        <w:t xml:space="preserve">xos, </w:t>
      </w:r>
      <w:r w:rsidRPr="001A045E">
        <w:rPr>
          <w:rFonts w:ascii="Verdana" w:hAnsi="Verdana" w:cs="Arial"/>
        </w:rPr>
        <w:t xml:space="preserve">las alteraciones bioquímicas predominaron en triacilglicéridos, glicemia y colesterol correspondiéndose con los pacientes normopeso. </w:t>
      </w:r>
      <w:r w:rsidR="005F3306">
        <w:rPr>
          <w:rFonts w:ascii="Verdana" w:hAnsi="Verdana" w:cs="Arial"/>
        </w:rPr>
        <w:t>D</w:t>
      </w:r>
      <w:r w:rsidRPr="001A045E">
        <w:rPr>
          <w:rFonts w:ascii="Verdana" w:hAnsi="Verdana" w:cs="Arial"/>
        </w:rPr>
        <w:t>e forma general predominó el bajo peso/bajo riesgo cardiovascular en estos pacientes.</w:t>
      </w:r>
    </w:p>
    <w:p w:rsidR="009E20A6" w:rsidRPr="00CF21C4" w:rsidRDefault="009E20A6" w:rsidP="001A045E">
      <w:pPr>
        <w:tabs>
          <w:tab w:val="num" w:pos="0"/>
        </w:tabs>
        <w:spacing w:after="0" w:line="360" w:lineRule="auto"/>
        <w:jc w:val="both"/>
        <w:rPr>
          <w:rFonts w:ascii="Verdana" w:hAnsi="Verdana" w:cs="Arial"/>
          <w:b/>
        </w:rPr>
      </w:pPr>
      <w:r w:rsidRPr="00CF21C4">
        <w:rPr>
          <w:rFonts w:ascii="Verdana" w:hAnsi="Verdana" w:cs="Arial"/>
          <w:b/>
        </w:rPr>
        <w:t>Referencias bibliográficas:</w:t>
      </w:r>
    </w:p>
    <w:p w:rsidR="009E20A6" w:rsidRPr="001A045E" w:rsidRDefault="009E20A6" w:rsidP="001A045E">
      <w:pPr>
        <w:pStyle w:val="Prrafodelista"/>
        <w:numPr>
          <w:ilvl w:val="0"/>
          <w:numId w:val="5"/>
        </w:numPr>
        <w:tabs>
          <w:tab w:val="left" w:pos="142"/>
          <w:tab w:val="left" w:pos="426"/>
        </w:tabs>
        <w:suppressAutoHyphens/>
        <w:spacing w:after="0" w:line="360" w:lineRule="auto"/>
        <w:ind w:right="-284"/>
        <w:jc w:val="both"/>
        <w:rPr>
          <w:rFonts w:ascii="Verdana" w:hAnsi="Verdana" w:cs="Arial"/>
        </w:rPr>
      </w:pPr>
      <w:r w:rsidRPr="001A045E">
        <w:rPr>
          <w:rFonts w:ascii="Verdana" w:hAnsi="Verdana" w:cs="Arial"/>
        </w:rPr>
        <w:t xml:space="preserve">Vega García E, Menéndez Jiménez J, Rodríguez Rivera L, Ojeda Hernández M, Cardoso Lunar N, Cascudo Barral N, et al. Atención al adulto mayor. En: Medicina General Integral. Vol. 2. 3ra ed. La Habana: Editorial Ciencias Médicas, 2014, p. 488 – 517 </w:t>
      </w:r>
    </w:p>
    <w:p w:rsidR="00CA696A" w:rsidRPr="001A045E" w:rsidRDefault="00CA696A" w:rsidP="001A045E">
      <w:pPr>
        <w:pStyle w:val="Prrafodelista"/>
        <w:numPr>
          <w:ilvl w:val="0"/>
          <w:numId w:val="5"/>
        </w:numPr>
        <w:tabs>
          <w:tab w:val="left" w:pos="142"/>
          <w:tab w:val="left" w:pos="426"/>
        </w:tabs>
        <w:suppressAutoHyphens/>
        <w:spacing w:after="0" w:line="360" w:lineRule="auto"/>
        <w:ind w:right="-284"/>
        <w:jc w:val="both"/>
        <w:rPr>
          <w:rFonts w:ascii="Verdana" w:hAnsi="Verdana" w:cs="Arial"/>
          <w:lang w:val="pt-BR"/>
        </w:rPr>
      </w:pPr>
      <w:r w:rsidRPr="001A045E">
        <w:rPr>
          <w:rFonts w:ascii="Verdana" w:hAnsi="Verdana" w:cs="Arial"/>
        </w:rPr>
        <w:t xml:space="preserve">Cabrera González J, Barrios Viera O, Díaz-Canell AM, Basanta Fortes D. Estado nutricional de los ancianos domiciliados en una comunidad urbana del municipio habanero de Playa. Rev Cubana Aliment Nutr., [Internet]   2015[citado </w:t>
      </w:r>
      <w:smartTag w:uri="urn:schemas-microsoft-com:office:smarttags" w:element="date">
        <w:smartTagPr>
          <w:attr w:name="ls" w:val="trans"/>
          <w:attr w:name="Month" w:val="1"/>
          <w:attr w:name="Day" w:val="15"/>
          <w:attr w:name="Year" w:val="2018"/>
        </w:smartTagPr>
        <w:r w:rsidRPr="001A045E">
          <w:rPr>
            <w:rFonts w:ascii="Verdana" w:hAnsi="Verdana" w:cs="Arial"/>
          </w:rPr>
          <w:t>15 ene 2018</w:t>
        </w:r>
      </w:smartTag>
      <w:r w:rsidRPr="001A045E">
        <w:rPr>
          <w:rFonts w:ascii="Verdana" w:hAnsi="Verdana" w:cs="Arial"/>
        </w:rPr>
        <w:t>]:25(1):[Aprox9p].</w:t>
      </w:r>
      <w:r w:rsidRPr="001A045E">
        <w:rPr>
          <w:rFonts w:ascii="Verdana" w:hAnsi="Verdana" w:cs="Arial"/>
          <w:vanish/>
        </w:rPr>
        <w:t>http://www.revalnutricion.sld.cu/index.php/rcan/art</w:t>
      </w:r>
    </w:p>
    <w:p w:rsidR="00CA696A" w:rsidRPr="001A045E" w:rsidRDefault="00CA696A" w:rsidP="001A045E">
      <w:pPr>
        <w:pStyle w:val="Prrafodelista"/>
        <w:numPr>
          <w:ilvl w:val="0"/>
          <w:numId w:val="5"/>
        </w:numPr>
        <w:tabs>
          <w:tab w:val="left" w:pos="142"/>
          <w:tab w:val="left" w:pos="426"/>
        </w:tabs>
        <w:suppressAutoHyphens/>
        <w:spacing w:after="0" w:line="360" w:lineRule="auto"/>
        <w:ind w:right="-284"/>
        <w:jc w:val="both"/>
        <w:rPr>
          <w:rFonts w:ascii="Verdana" w:hAnsi="Verdana" w:cs="Arial"/>
        </w:rPr>
      </w:pPr>
      <w:r w:rsidRPr="001A045E">
        <w:rPr>
          <w:rFonts w:ascii="Verdana" w:hAnsi="Verdana" w:cs="Arial"/>
        </w:rPr>
        <w:t xml:space="preserve">Bayarre Vea D, Álvarez  Lauzanque ME, Pérez Piñeiro JS, Almenares Rodríguez K, Rodríguez Cabrera A. et al. </w:t>
      </w:r>
      <w:r w:rsidRPr="001A045E">
        <w:rPr>
          <w:rFonts w:ascii="Verdana" w:eastAsia="Times New Roman" w:hAnsi="Verdana" w:cs="Arial"/>
        </w:rPr>
        <w:t>Enfoques, evolución y afrontamiento del envejecimiento demográfico en Cuba</w:t>
      </w:r>
      <w:r w:rsidRPr="001A045E">
        <w:rPr>
          <w:rFonts w:ascii="Verdana" w:hAnsi="Verdana" w:cs="Arial"/>
        </w:rPr>
        <w:t xml:space="preserve">. Rev. Panamericana de Salud Publica [Internet].2018 [citado  2021  Enero 18];  42(21) </w:t>
      </w:r>
      <w:r w:rsidRPr="001A045E">
        <w:rPr>
          <w:rFonts w:ascii="Verdana" w:eastAsia="Times New Roman" w:hAnsi="Verdana" w:cs="Arial"/>
        </w:rPr>
        <w:t>[aprox. 21p.].</w:t>
      </w:r>
      <w:r w:rsidRPr="001A045E">
        <w:rPr>
          <w:rFonts w:ascii="Verdana" w:hAnsi="Verdana" w:cs="Arial"/>
          <w:vanish/>
        </w:rPr>
        <w:t>https://scielosp.org/article/rpsp/2018.v42/e21/</w:t>
      </w:r>
      <w:r w:rsidRPr="001A045E">
        <w:rPr>
          <w:rFonts w:ascii="Verdana" w:hAnsi="Verdana" w:cs="Arial"/>
        </w:rPr>
        <w:t xml:space="preserve"> Disponible en. </w:t>
      </w:r>
      <w:hyperlink r:id="rId7" w:history="1">
        <w:r w:rsidRPr="001A045E">
          <w:rPr>
            <w:rStyle w:val="Hipervnculo"/>
            <w:rFonts w:ascii="Verdana" w:hAnsi="Verdana" w:cs="Arial"/>
          </w:rPr>
          <w:t>https://scielosp.org/article/rpsp/2018.v42/e21/</w:t>
        </w:r>
      </w:hyperlink>
    </w:p>
    <w:p w:rsidR="00CA696A" w:rsidRPr="001A045E" w:rsidRDefault="00CA696A" w:rsidP="001A045E">
      <w:pPr>
        <w:pStyle w:val="Prrafodelista"/>
        <w:numPr>
          <w:ilvl w:val="0"/>
          <w:numId w:val="5"/>
        </w:numPr>
        <w:tabs>
          <w:tab w:val="left" w:pos="142"/>
          <w:tab w:val="left" w:pos="426"/>
        </w:tabs>
        <w:suppressAutoHyphens/>
        <w:spacing w:after="0" w:line="360" w:lineRule="auto"/>
        <w:ind w:right="-284"/>
        <w:jc w:val="both"/>
        <w:rPr>
          <w:rFonts w:ascii="Verdana" w:hAnsi="Verdana" w:cs="Arial"/>
        </w:rPr>
      </w:pPr>
      <w:r w:rsidRPr="001A045E">
        <w:rPr>
          <w:rFonts w:ascii="Verdana" w:hAnsi="Verdana" w:cs="Arial"/>
        </w:rPr>
        <w:t>Organización Mundial de la Salud. Infor</w:t>
      </w:r>
      <w:r w:rsidRPr="001A045E">
        <w:rPr>
          <w:rFonts w:ascii="Verdana" w:hAnsi="Verdana" w:cs="Arial"/>
        </w:rPr>
        <w:softHyphen/>
        <w:t>me mundial sobre el envejecimiento y la salud. Ginebra: OMS; 2015</w:t>
      </w:r>
    </w:p>
    <w:p w:rsidR="00CA696A" w:rsidRPr="001A045E" w:rsidRDefault="00CA696A" w:rsidP="001A045E">
      <w:pPr>
        <w:pStyle w:val="Prrafodelista"/>
        <w:numPr>
          <w:ilvl w:val="0"/>
          <w:numId w:val="5"/>
        </w:numPr>
        <w:tabs>
          <w:tab w:val="left" w:pos="142"/>
          <w:tab w:val="left" w:pos="284"/>
        </w:tabs>
        <w:suppressAutoHyphens/>
        <w:spacing w:after="0" w:line="360" w:lineRule="auto"/>
        <w:ind w:right="-284"/>
        <w:jc w:val="both"/>
        <w:rPr>
          <w:rFonts w:ascii="Verdana" w:hAnsi="Verdana" w:cs="Arial"/>
        </w:rPr>
      </w:pPr>
      <w:r w:rsidRPr="001A045E">
        <w:rPr>
          <w:rFonts w:ascii="Verdana" w:hAnsi="Verdana" w:cs="Arial"/>
        </w:rPr>
        <w:t xml:space="preserve">Reynosa Peralta S, Mendoza Delgadillo,O,E Factores asociados a la desnutrición en pacientes adultos mayoresen un Hospital de Lima </w:t>
      </w:r>
      <w:r w:rsidRPr="001A045E">
        <w:rPr>
          <w:rFonts w:ascii="Verdana" w:hAnsi="Verdana" w:cs="Arial"/>
          <w:bCs/>
        </w:rPr>
        <w:t>[Internet]</w:t>
      </w:r>
      <w:r w:rsidRPr="001A045E">
        <w:rPr>
          <w:rFonts w:ascii="Verdana" w:hAnsi="Verdana" w:cs="Arial"/>
        </w:rPr>
        <w:t>.2018</w:t>
      </w:r>
      <w:r w:rsidRPr="001A045E">
        <w:rPr>
          <w:rFonts w:ascii="Verdana" w:hAnsi="Verdana" w:cs="Arial"/>
          <w:iCs/>
        </w:rPr>
        <w:t>(TesisDr en Ciencias)</w:t>
      </w:r>
      <w:r w:rsidRPr="001A045E">
        <w:rPr>
          <w:rFonts w:ascii="Verdana" w:hAnsi="Verdana" w:cs="Arial"/>
          <w:bCs/>
        </w:rPr>
        <w:t xml:space="preserve">[citado </w:t>
      </w:r>
      <w:smartTag w:uri="urn:schemas-microsoft-com:office:smarttags" w:element="date">
        <w:smartTagPr>
          <w:attr w:name="ls" w:val="trans"/>
          <w:attr w:name="Month" w:val="3"/>
          <w:attr w:name="Day" w:val="7"/>
          <w:attr w:name="Year" w:val="2021"/>
        </w:smartTagPr>
        <w:r w:rsidRPr="001A045E">
          <w:rPr>
            <w:rFonts w:ascii="Verdana" w:hAnsi="Verdana" w:cs="Arial"/>
            <w:bCs/>
          </w:rPr>
          <w:t>7 Marzo 2021</w:t>
        </w:r>
      </w:smartTag>
      <w:r w:rsidRPr="001A045E">
        <w:rPr>
          <w:rFonts w:ascii="Verdana" w:hAnsi="Verdana" w:cs="Arial"/>
          <w:bCs/>
        </w:rPr>
        <w:t>];</w:t>
      </w:r>
      <w:r w:rsidRPr="001A045E">
        <w:rPr>
          <w:rFonts w:ascii="Verdana" w:hAnsi="Verdana" w:cs="Arial"/>
        </w:rPr>
        <w:t xml:space="preserve"> Disponibleen:https://repositorio.uwiener.edu.pe/xmlui/bitstream/handle</w:t>
      </w:r>
      <w:r w:rsidRPr="001A045E">
        <w:rPr>
          <w:rFonts w:ascii="Verdana" w:hAnsi="Verdana" w:cs="Arial"/>
        </w:rPr>
        <w:lastRenderedPageBreak/>
        <w:t>/123456789/2540/TESIS%20Mendoza%20Olga%20-%20Reynoso%20Stefanie.pdf?sequence=1&amp;isAllowed=y</w:t>
      </w:r>
    </w:p>
    <w:p w:rsidR="0042742F" w:rsidRPr="001A045E" w:rsidRDefault="0042742F" w:rsidP="001A045E">
      <w:pPr>
        <w:pStyle w:val="Prrafodelista"/>
        <w:numPr>
          <w:ilvl w:val="0"/>
          <w:numId w:val="5"/>
        </w:numPr>
        <w:tabs>
          <w:tab w:val="left" w:pos="142"/>
          <w:tab w:val="left" w:pos="284"/>
          <w:tab w:val="left" w:pos="426"/>
        </w:tabs>
        <w:suppressAutoHyphens/>
        <w:spacing w:after="0" w:line="360" w:lineRule="auto"/>
        <w:ind w:right="-284"/>
        <w:jc w:val="both"/>
        <w:rPr>
          <w:rFonts w:ascii="Verdana" w:eastAsia="Times New Roman" w:hAnsi="Verdana" w:cs="Arial"/>
        </w:rPr>
      </w:pPr>
      <w:r w:rsidRPr="001A045E">
        <w:rPr>
          <w:rFonts w:ascii="Verdana" w:hAnsi="Verdana" w:cs="Arial"/>
          <w:iCs/>
        </w:rPr>
        <w:t xml:space="preserve">Chalapud-Narváez LM, Escobar-Almario A. Actividad física para mejorar fuerza y equilibrio en el adulto mayor. Rev Univ. Salud.2017;19(1):94-101. Disponible en : </w:t>
      </w:r>
      <w:hyperlink r:id="rId8" w:history="1">
        <w:r w:rsidRPr="001A045E">
          <w:rPr>
            <w:rStyle w:val="Hipervnculo"/>
            <w:rFonts w:ascii="Verdana" w:hAnsi="Verdana" w:cs="Arial"/>
            <w:iCs/>
          </w:rPr>
          <w:t>http://dx.doi.org/10.22267/rus.171901.73</w:t>
        </w:r>
      </w:hyperlink>
    </w:p>
    <w:p w:rsidR="000501FA" w:rsidRPr="001A045E" w:rsidRDefault="000501FA" w:rsidP="001A045E">
      <w:pPr>
        <w:pStyle w:val="Prrafodelista"/>
        <w:numPr>
          <w:ilvl w:val="0"/>
          <w:numId w:val="5"/>
        </w:numPr>
        <w:tabs>
          <w:tab w:val="left" w:pos="142"/>
          <w:tab w:val="left" w:pos="284"/>
        </w:tabs>
        <w:suppressAutoHyphens/>
        <w:spacing w:after="0" w:line="360" w:lineRule="auto"/>
        <w:ind w:right="-284"/>
        <w:jc w:val="both"/>
        <w:rPr>
          <w:rFonts w:ascii="Verdana" w:hAnsi="Verdana" w:cs="Arial"/>
        </w:rPr>
      </w:pPr>
      <w:r w:rsidRPr="001A045E">
        <w:rPr>
          <w:rFonts w:ascii="Verdana" w:hAnsi="Verdana" w:cs="Arial"/>
        </w:rPr>
        <w:t xml:space="preserve">Riveros Ríos M . </w:t>
      </w:r>
      <w:r w:rsidRPr="001A045E">
        <w:rPr>
          <w:rFonts w:ascii="Verdana" w:hAnsi="Verdana" w:cs="Arial"/>
          <w:bCs/>
        </w:rPr>
        <w:t>Valoración de factores biopsicosociales determinantes del riesgo de desnutrición en los adultos mayores en hogares de ancianos.</w:t>
      </w:r>
      <w:r w:rsidRPr="001A045E">
        <w:rPr>
          <w:rFonts w:ascii="Verdana" w:hAnsi="Verdana" w:cs="Arial"/>
          <w:i/>
          <w:iCs/>
        </w:rPr>
        <w:t xml:space="preserve"> An. Fac. Cienc. Méd. (Asunción)</w:t>
      </w:r>
      <w:r w:rsidRPr="001A045E">
        <w:rPr>
          <w:rFonts w:ascii="Verdana" w:eastAsia="Times New Roman" w:hAnsi="Verdana" w:cs="Arial"/>
          <w:bCs/>
        </w:rPr>
        <w:t> </w:t>
      </w:r>
      <w:r w:rsidRPr="001A045E">
        <w:rPr>
          <w:rFonts w:ascii="Verdana" w:hAnsi="Verdana" w:cs="Arial"/>
          <w:bCs/>
        </w:rPr>
        <w:t>[Internet]Marzo</w:t>
      </w:r>
      <w:r w:rsidRPr="001A045E">
        <w:rPr>
          <w:rFonts w:ascii="Verdana" w:hAnsi="Verdana" w:cs="Arial"/>
        </w:rPr>
        <w:t>2019</w:t>
      </w:r>
      <w:r w:rsidRPr="001A045E">
        <w:rPr>
          <w:rFonts w:ascii="Verdana" w:hAnsi="Verdana" w:cs="Arial"/>
          <w:bCs/>
        </w:rPr>
        <w:t xml:space="preserve">[citado </w:t>
      </w:r>
      <w:smartTag w:uri="urn:schemas-microsoft-com:office:smarttags" w:element="date">
        <w:smartTagPr>
          <w:attr w:name="ls" w:val="trans"/>
          <w:attr w:name="Month" w:val="3"/>
          <w:attr w:name="Day" w:val="3"/>
          <w:attr w:name="Year" w:val="2021"/>
        </w:smartTagPr>
        <w:r w:rsidRPr="001A045E">
          <w:rPr>
            <w:rFonts w:ascii="Verdana" w:hAnsi="Verdana" w:cs="Arial"/>
            <w:bCs/>
          </w:rPr>
          <w:t>3 Marzo 2021</w:t>
        </w:r>
      </w:smartTag>
      <w:r w:rsidRPr="001A045E">
        <w:rPr>
          <w:rFonts w:ascii="Verdana" w:hAnsi="Verdana" w:cs="Arial"/>
          <w:bCs/>
        </w:rPr>
        <w:t>];</w:t>
      </w:r>
      <w:r w:rsidRPr="001A045E">
        <w:rPr>
          <w:rFonts w:ascii="Verdana" w:hAnsi="Verdana" w:cs="Arial"/>
        </w:rPr>
        <w:t>48(2):</w:t>
      </w:r>
      <w:r w:rsidRPr="001A045E">
        <w:rPr>
          <w:rFonts w:ascii="Verdana" w:hAnsi="Verdana" w:cs="Arial"/>
          <w:iCs/>
        </w:rPr>
        <w:t>[Aprox9p.</w:t>
      </w:r>
      <w:r w:rsidRPr="001A045E">
        <w:rPr>
          <w:rFonts w:ascii="Verdana" w:hAnsi="Verdana" w:cs="Arial"/>
        </w:rPr>
        <w:t xml:space="preserve"> </w:t>
      </w:r>
      <w:r w:rsidRPr="001A045E">
        <w:rPr>
          <w:rFonts w:ascii="Verdana" w:hAnsi="Verdana" w:cs="Arial"/>
          <w:iCs/>
        </w:rPr>
        <w:t xml:space="preserve">Disponible: </w:t>
      </w:r>
      <w:hyperlink r:id="rId9" w:history="1">
        <w:r w:rsidRPr="001A045E">
          <w:rPr>
            <w:rStyle w:val="Hipervnculo"/>
            <w:rFonts w:ascii="Verdana" w:hAnsi="Verdana" w:cs="Arial"/>
            <w:i/>
            <w:iCs/>
          </w:rPr>
          <w:t>http://dx.doi.org/10.18004/anales/2015.048(02)17-032</w:t>
        </w:r>
      </w:hyperlink>
    </w:p>
    <w:p w:rsidR="000501FA" w:rsidRPr="001A045E" w:rsidRDefault="000501FA" w:rsidP="001A045E">
      <w:pPr>
        <w:pStyle w:val="Prrafodelista"/>
        <w:numPr>
          <w:ilvl w:val="0"/>
          <w:numId w:val="5"/>
        </w:numPr>
        <w:tabs>
          <w:tab w:val="left" w:pos="142"/>
          <w:tab w:val="left" w:pos="426"/>
        </w:tabs>
        <w:suppressAutoHyphens/>
        <w:spacing w:after="0" w:line="360" w:lineRule="auto"/>
        <w:ind w:right="-284"/>
        <w:jc w:val="both"/>
        <w:rPr>
          <w:rFonts w:ascii="Verdana" w:hAnsi="Verdana" w:cs="Arial"/>
        </w:rPr>
      </w:pPr>
      <w:r w:rsidRPr="001A045E">
        <w:rPr>
          <w:rFonts w:ascii="Verdana" w:hAnsi="Verdana" w:cs="Arial"/>
        </w:rPr>
        <w:t xml:space="preserve">Tejera Ibarra G, Dinza Tejera D. Morbilidad geriátrica en el hospital provincial Clínico Quirúrgico Docente "Saturnino Lora" de Santiago de Cuba [internet] Medisan16 12 Santiago de Cuba dic. 2012 [Consulta: </w:t>
      </w:r>
      <w:smartTag w:uri="urn:schemas-microsoft-com:office:smarttags" w:element="date">
        <w:smartTagPr>
          <w:attr w:name="ls" w:val="trans"/>
          <w:attr w:name="Month" w:val="3"/>
          <w:attr w:name="Day" w:val="22"/>
          <w:attr w:name="Year" w:val="2018"/>
        </w:smartTagPr>
        <w:r w:rsidRPr="001A045E">
          <w:rPr>
            <w:rFonts w:ascii="Verdana" w:hAnsi="Verdana" w:cs="Arial"/>
          </w:rPr>
          <w:t>22 marzo 2018</w:t>
        </w:r>
      </w:smartTag>
      <w:r w:rsidRPr="001A045E">
        <w:rPr>
          <w:rFonts w:ascii="Verdana" w:hAnsi="Verdana" w:cs="Arial"/>
        </w:rPr>
        <w:t xml:space="preserve">]. Disponible en: </w:t>
      </w:r>
      <w:hyperlink r:id="rId10" w:history="1">
        <w:r w:rsidRPr="001A045E">
          <w:rPr>
            <w:rStyle w:val="Hipervnculo"/>
            <w:rFonts w:ascii="Verdana" w:hAnsi="Verdana" w:cs="Arial"/>
          </w:rPr>
          <w:t>http://scielo.sld.cu/scielo.php?script=sci_arttext&amp;pid=S10</w:t>
        </w:r>
      </w:hyperlink>
    </w:p>
    <w:p w:rsidR="000501FA" w:rsidRPr="001A045E" w:rsidRDefault="000501FA" w:rsidP="001A045E">
      <w:pPr>
        <w:pStyle w:val="Prrafodelista"/>
        <w:numPr>
          <w:ilvl w:val="0"/>
          <w:numId w:val="5"/>
        </w:numPr>
        <w:tabs>
          <w:tab w:val="left" w:pos="142"/>
          <w:tab w:val="left" w:pos="284"/>
        </w:tabs>
        <w:suppressAutoHyphens/>
        <w:spacing w:after="0" w:line="360" w:lineRule="auto"/>
        <w:ind w:right="-284"/>
        <w:jc w:val="both"/>
        <w:rPr>
          <w:rFonts w:ascii="Verdana" w:hAnsi="Verdana" w:cs="Arial"/>
        </w:rPr>
      </w:pPr>
      <w:r w:rsidRPr="001A045E">
        <w:rPr>
          <w:rFonts w:ascii="Verdana" w:hAnsi="Verdana" w:cs="Arial"/>
        </w:rPr>
        <w:t>Llody Rodríguez Y. Factores biopsicosociales que intervienen en el estado nutricional del adulto mayor consultorio 49 Velasco 2017.</w:t>
      </w:r>
      <w:r w:rsidRPr="001A045E">
        <w:rPr>
          <w:rFonts w:ascii="Verdana" w:hAnsi="Verdana" w:cs="Arial"/>
          <w:iCs/>
        </w:rPr>
        <w:t xml:space="preserve"> (Tesis).Holguín:</w:t>
      </w:r>
      <w:r w:rsidRPr="001A045E">
        <w:rPr>
          <w:rFonts w:ascii="Verdana" w:hAnsi="Verdana" w:cs="Arial"/>
          <w:bCs/>
        </w:rPr>
        <w:t xml:space="preserve">Policlínico Universitario José Ávila Serrano Velasco; 2017. </w:t>
      </w:r>
    </w:p>
    <w:p w:rsidR="00E60558" w:rsidRPr="001A045E" w:rsidRDefault="00E60558" w:rsidP="000C77CA">
      <w:pPr>
        <w:pStyle w:val="Prrafodelista"/>
        <w:tabs>
          <w:tab w:val="left" w:pos="142"/>
          <w:tab w:val="left" w:pos="426"/>
        </w:tabs>
        <w:suppressAutoHyphens/>
        <w:spacing w:after="0" w:line="360" w:lineRule="auto"/>
        <w:ind w:left="709" w:right="-284" w:hanging="425"/>
        <w:jc w:val="both"/>
        <w:rPr>
          <w:rFonts w:ascii="Verdana" w:hAnsi="Verdana"/>
        </w:rPr>
      </w:pPr>
      <w:r w:rsidRPr="001A045E">
        <w:rPr>
          <w:rFonts w:ascii="Verdana" w:hAnsi="Verdana" w:cs="Arial"/>
        </w:rPr>
        <w:t xml:space="preserve">10. </w:t>
      </w:r>
      <w:r w:rsidRPr="001A045E">
        <w:rPr>
          <w:rFonts w:ascii="Verdana" w:eastAsia="Times New Roman" w:hAnsi="Verdana" w:cs="Arial"/>
        </w:rPr>
        <w:t>Yuseima  G B, Ronal O R, Marialicia L M</w:t>
      </w:r>
      <w:r w:rsidRPr="001A045E">
        <w:rPr>
          <w:rFonts w:ascii="Verdana" w:hAnsi="Verdana" w:cs="Arial"/>
          <w:bCs/>
        </w:rPr>
        <w:t xml:space="preserve"> .</w:t>
      </w:r>
      <w:r w:rsidRPr="001A045E">
        <w:rPr>
          <w:rFonts w:ascii="Verdana" w:eastAsia="Times New Roman" w:hAnsi="Verdana" w:cs="Arial"/>
        </w:rPr>
        <w:t xml:space="preserve">Evaluación nutricional en </w:t>
      </w:r>
      <w:r w:rsidR="000C77CA">
        <w:rPr>
          <w:rFonts w:ascii="Verdana" w:eastAsia="Times New Roman" w:hAnsi="Verdana" w:cs="Arial"/>
        </w:rPr>
        <w:t xml:space="preserve">  </w:t>
      </w:r>
      <w:r w:rsidRPr="001A045E">
        <w:rPr>
          <w:rFonts w:ascii="Verdana" w:eastAsia="Times New Roman" w:hAnsi="Verdana" w:cs="Arial"/>
        </w:rPr>
        <w:t>adultos   mayores discapacitados. Centro de Referencia N. Rev Cubana de Medicina Física y Rehabilitación.</w:t>
      </w:r>
      <w:r w:rsidRPr="001A045E">
        <w:rPr>
          <w:rFonts w:ascii="Verdana" w:hAnsi="Verdana" w:cs="Arial"/>
        </w:rPr>
        <w:t xml:space="preserve"> [Internet]</w:t>
      </w:r>
      <w:r w:rsidRPr="001A045E">
        <w:rPr>
          <w:rFonts w:ascii="Verdana" w:eastAsia="Times New Roman" w:hAnsi="Verdana" w:cs="Arial"/>
        </w:rPr>
        <w:t xml:space="preserve"> 2018 [citado </w:t>
      </w:r>
      <w:smartTag w:uri="urn:schemas-microsoft-com:office:smarttags" w:element="date">
        <w:smartTagPr>
          <w:attr w:name="ls" w:val="trans"/>
          <w:attr w:name="Month" w:val="1"/>
          <w:attr w:name="Day" w:val="15"/>
          <w:attr w:name="Year" w:val="2020"/>
        </w:smartTagPr>
        <w:r w:rsidRPr="001A045E">
          <w:rPr>
            <w:rFonts w:ascii="Verdana" w:eastAsia="Times New Roman" w:hAnsi="Verdana" w:cs="Arial"/>
          </w:rPr>
          <w:t>15 ene 2020</w:t>
        </w:r>
      </w:smartTag>
      <w:r w:rsidRPr="001A045E">
        <w:rPr>
          <w:rFonts w:ascii="Verdana" w:eastAsia="Times New Roman" w:hAnsi="Verdana" w:cs="Arial"/>
        </w:rPr>
        <w:t xml:space="preserve">];10(1):23-34  </w:t>
      </w:r>
      <w:r w:rsidRPr="001A045E">
        <w:rPr>
          <w:rFonts w:ascii="Verdana" w:hAnsi="Verdana" w:cs="Arial"/>
          <w:iCs/>
        </w:rPr>
        <w:t>[Aprox9p</w:t>
      </w:r>
      <w:r w:rsidRPr="001A045E">
        <w:rPr>
          <w:rFonts w:ascii="Verdana" w:hAnsi="Verdana" w:cs="Arial"/>
          <w:bCs/>
        </w:rPr>
        <w:t>]</w:t>
      </w:r>
      <w:r w:rsidRPr="001A045E">
        <w:rPr>
          <w:rFonts w:ascii="Verdana" w:hAnsi="Verdana" w:cs="Arial"/>
          <w:iCs/>
        </w:rPr>
        <w:t>.</w:t>
      </w:r>
      <w:r w:rsidRPr="001A045E">
        <w:rPr>
          <w:rFonts w:ascii="Verdana" w:eastAsia="Times New Roman" w:hAnsi="Verdana" w:cs="Arial"/>
        </w:rPr>
        <w:t xml:space="preserve"> </w:t>
      </w:r>
      <w:r w:rsidRPr="001A045E">
        <w:rPr>
          <w:rFonts w:ascii="Verdana" w:hAnsi="Verdana" w:cs="Arial"/>
          <w:iCs/>
        </w:rPr>
        <w:t xml:space="preserve">Disponible en: </w:t>
      </w:r>
      <w:hyperlink r:id="rId11" w:history="1">
        <w:r w:rsidRPr="001A045E">
          <w:rPr>
            <w:rStyle w:val="Hipervnculo"/>
            <w:rFonts w:ascii="Verdana" w:hAnsi="Verdana" w:cs="Arial"/>
            <w:iCs/>
          </w:rPr>
          <w:t>http://www.sld.cu/sitios/revrehabilitacion</w:t>
        </w:r>
      </w:hyperlink>
    </w:p>
    <w:p w:rsidR="007324DF" w:rsidRPr="001A045E" w:rsidRDefault="00E60558" w:rsidP="000C77CA">
      <w:pPr>
        <w:tabs>
          <w:tab w:val="left" w:pos="142"/>
          <w:tab w:val="left" w:pos="284"/>
          <w:tab w:val="left" w:pos="426"/>
        </w:tabs>
        <w:suppressAutoHyphens/>
        <w:spacing w:after="0" w:line="360" w:lineRule="auto"/>
        <w:ind w:left="709" w:right="-284" w:hanging="425"/>
        <w:jc w:val="both"/>
        <w:rPr>
          <w:rFonts w:ascii="Verdana" w:eastAsia="Times New Roman" w:hAnsi="Verdana" w:cs="Arial"/>
        </w:rPr>
      </w:pPr>
      <w:r w:rsidRPr="001A045E">
        <w:rPr>
          <w:rFonts w:ascii="Verdana" w:hAnsi="Verdana" w:cs="Arial"/>
        </w:rPr>
        <w:t>11. Velasco Gaibor Maritza Elizabeth.</w:t>
      </w:r>
      <w:r w:rsidRPr="001A045E">
        <w:rPr>
          <w:rFonts w:ascii="Verdana" w:hAnsi="Verdana" w:cs="Arial"/>
          <w:bCs/>
        </w:rPr>
        <w:t>Evaluacion del estado nutricional del grupo de adultos mayores jubilados del IESS.</w:t>
      </w:r>
      <w:r w:rsidRPr="001A045E">
        <w:rPr>
          <w:rFonts w:ascii="Verdana" w:hAnsi="Verdana" w:cs="Arial"/>
        </w:rPr>
        <w:t xml:space="preserve"> Tesis </w:t>
      </w:r>
      <w:r w:rsidRPr="001A045E">
        <w:rPr>
          <w:rFonts w:ascii="Verdana" w:hAnsi="Verdana" w:cs="Arial"/>
          <w:bCs/>
        </w:rPr>
        <w:t xml:space="preserve">[Internet] 2013Bolívar en cantón chillanes. [Citado </w:t>
      </w:r>
      <w:smartTag w:uri="urn:schemas-microsoft-com:office:smarttags" w:element="date">
        <w:smartTagPr>
          <w:attr w:name="ls" w:val="trans"/>
          <w:attr w:name="Month" w:val="3"/>
          <w:attr w:name="Day" w:val="9"/>
          <w:attr w:name="Year" w:val="2021"/>
        </w:smartTagPr>
        <w:r w:rsidRPr="001A045E">
          <w:rPr>
            <w:rFonts w:ascii="Verdana" w:hAnsi="Verdana" w:cs="Arial"/>
            <w:bCs/>
          </w:rPr>
          <w:t>9 Marzo 2021</w:t>
        </w:r>
      </w:smartTag>
      <w:r w:rsidRPr="001A045E">
        <w:rPr>
          <w:rFonts w:ascii="Verdana" w:hAnsi="Verdana" w:cs="Arial"/>
          <w:bCs/>
        </w:rPr>
        <w:t>]</w:t>
      </w:r>
      <w:r w:rsidRPr="001A045E">
        <w:rPr>
          <w:rFonts w:ascii="Verdana" w:hAnsi="Verdana" w:cs="Arial"/>
        </w:rPr>
        <w:t>:</w:t>
      </w:r>
      <w:r w:rsidRPr="001A045E">
        <w:rPr>
          <w:rFonts w:ascii="Verdana" w:hAnsi="Verdana" w:cs="Arial"/>
          <w:iCs/>
        </w:rPr>
        <w:t>[Aprox9p</w:t>
      </w:r>
      <w:r w:rsidRPr="001A045E">
        <w:rPr>
          <w:rFonts w:ascii="Verdana" w:hAnsi="Verdana" w:cs="Arial"/>
          <w:bCs/>
        </w:rPr>
        <w:t>]</w:t>
      </w:r>
      <w:r w:rsidRPr="001A045E">
        <w:rPr>
          <w:rFonts w:ascii="Verdana" w:hAnsi="Verdana" w:cs="Arial"/>
          <w:iCs/>
        </w:rPr>
        <w:t>.</w:t>
      </w:r>
      <w:r w:rsidRPr="001A045E">
        <w:rPr>
          <w:rFonts w:ascii="Verdana" w:hAnsi="Verdana" w:cs="Arial"/>
        </w:rPr>
        <w:t>Disponible en:</w:t>
      </w:r>
      <w:r w:rsidRPr="001A045E">
        <w:rPr>
          <w:rFonts w:ascii="Verdana" w:eastAsia="Times New Roman" w:hAnsi="Verdana" w:cs="Arial"/>
        </w:rPr>
        <w:t>http://dspace.espoch.edu.ec&gt;handle</w:t>
      </w:r>
    </w:p>
    <w:p w:rsidR="007324DF" w:rsidRPr="001A045E" w:rsidRDefault="007324DF" w:rsidP="000C77CA">
      <w:pPr>
        <w:tabs>
          <w:tab w:val="left" w:pos="709"/>
        </w:tabs>
        <w:suppressAutoHyphens/>
        <w:spacing w:after="0" w:line="360" w:lineRule="auto"/>
        <w:ind w:left="709" w:right="-284" w:hanging="425"/>
        <w:jc w:val="both"/>
        <w:rPr>
          <w:rFonts w:ascii="Verdana" w:eastAsia="Times New Roman" w:hAnsi="Verdana" w:cs="Arial"/>
        </w:rPr>
      </w:pPr>
      <w:r w:rsidRPr="001A045E">
        <w:rPr>
          <w:rFonts w:ascii="Verdana" w:eastAsia="Times New Roman" w:hAnsi="Verdana" w:cs="Arial"/>
        </w:rPr>
        <w:t xml:space="preserve">12. </w:t>
      </w:r>
      <w:r w:rsidRPr="001A045E">
        <w:rPr>
          <w:rFonts w:ascii="Verdana" w:hAnsi="Verdana" w:cs="Arial"/>
        </w:rPr>
        <w:t xml:space="preserve">Castillo Agüero, Luz Elsa, Chávez  Aguilar Flor Melissa. Relación del estilo de vida con el colesterol y triacilgliceridos en personas de la tercera edad que acuden a la casa hogar San Martín de Porres. Tesis. Perú </w:t>
      </w:r>
      <w:r w:rsidRPr="001A045E">
        <w:rPr>
          <w:rFonts w:ascii="Verdana" w:hAnsi="Verdana" w:cs="Arial"/>
          <w:bCs/>
        </w:rPr>
        <w:t>[Internet]</w:t>
      </w:r>
      <w:r w:rsidRPr="001A045E">
        <w:rPr>
          <w:rFonts w:ascii="Verdana" w:hAnsi="Verdana" w:cs="Arial"/>
        </w:rPr>
        <w:t xml:space="preserve"> 2018.</w:t>
      </w:r>
      <w:r w:rsidRPr="001A045E">
        <w:rPr>
          <w:rFonts w:ascii="Verdana" w:hAnsi="Verdana" w:cs="Arial"/>
          <w:bCs/>
        </w:rPr>
        <w:t xml:space="preserve"> [ Citado </w:t>
      </w:r>
      <w:smartTag w:uri="urn:schemas-microsoft-com:office:smarttags" w:element="date">
        <w:smartTagPr>
          <w:attr w:name="ls" w:val="trans"/>
          <w:attr w:name="Month" w:val="3"/>
          <w:attr w:name="Day" w:val="9"/>
          <w:attr w:name="Year" w:val="2021"/>
        </w:smartTagPr>
        <w:r w:rsidRPr="001A045E">
          <w:rPr>
            <w:rFonts w:ascii="Verdana" w:hAnsi="Verdana" w:cs="Arial"/>
            <w:bCs/>
          </w:rPr>
          <w:t>9 Marzo 2021</w:t>
        </w:r>
      </w:smartTag>
      <w:r w:rsidRPr="001A045E">
        <w:rPr>
          <w:rFonts w:ascii="Verdana" w:hAnsi="Verdana" w:cs="Arial"/>
          <w:bCs/>
        </w:rPr>
        <w:t>]</w:t>
      </w:r>
      <w:r w:rsidRPr="001A045E">
        <w:rPr>
          <w:rFonts w:ascii="Verdana" w:hAnsi="Verdana" w:cs="Arial"/>
        </w:rPr>
        <w:t>:</w:t>
      </w:r>
      <w:r w:rsidRPr="001A045E">
        <w:rPr>
          <w:rFonts w:ascii="Verdana" w:hAnsi="Verdana" w:cs="Arial"/>
          <w:iCs/>
        </w:rPr>
        <w:t>[Aprox9p</w:t>
      </w:r>
      <w:r w:rsidRPr="001A045E">
        <w:rPr>
          <w:rFonts w:ascii="Verdana" w:hAnsi="Verdana" w:cs="Arial"/>
          <w:bCs/>
        </w:rPr>
        <w:t>]</w:t>
      </w:r>
      <w:r w:rsidRPr="001A045E">
        <w:rPr>
          <w:rFonts w:ascii="Verdana" w:hAnsi="Verdana" w:cs="Arial"/>
          <w:iCs/>
        </w:rPr>
        <w:t>.</w:t>
      </w:r>
      <w:r w:rsidRPr="001A045E">
        <w:rPr>
          <w:rFonts w:ascii="Verdana" w:hAnsi="Verdana" w:cs="Arial"/>
        </w:rPr>
        <w:t>Disponible en:</w:t>
      </w:r>
      <w:r w:rsidRPr="001A045E">
        <w:rPr>
          <w:rFonts w:ascii="Verdana" w:eastAsia="Times New Roman" w:hAnsi="Verdana" w:cs="Arial"/>
        </w:rPr>
        <w:t>http:// repositorio.uwiener.edu.pe/handle/</w:t>
      </w:r>
    </w:p>
    <w:p w:rsidR="007324DF" w:rsidRPr="001A045E" w:rsidRDefault="007324DF" w:rsidP="000C77CA">
      <w:pPr>
        <w:tabs>
          <w:tab w:val="left" w:pos="142"/>
          <w:tab w:val="left" w:pos="709"/>
        </w:tabs>
        <w:suppressAutoHyphens/>
        <w:spacing w:after="0" w:line="360" w:lineRule="auto"/>
        <w:ind w:left="709" w:right="-284" w:hanging="425"/>
        <w:jc w:val="both"/>
        <w:rPr>
          <w:rFonts w:ascii="Verdana" w:hAnsi="Verdana" w:cs="Arial"/>
        </w:rPr>
      </w:pPr>
      <w:r w:rsidRPr="001A045E">
        <w:rPr>
          <w:rFonts w:ascii="Verdana" w:eastAsia="Times New Roman" w:hAnsi="Verdana" w:cs="Arial"/>
        </w:rPr>
        <w:t xml:space="preserve">13. </w:t>
      </w:r>
      <w:r w:rsidRPr="001A045E">
        <w:rPr>
          <w:rFonts w:ascii="Verdana" w:hAnsi="Verdana" w:cs="Arial"/>
          <w:bCs/>
        </w:rPr>
        <w:t xml:space="preserve">Sánchez  Saldaña L, E </w:t>
      </w:r>
      <w:r w:rsidRPr="001A045E">
        <w:rPr>
          <w:rFonts w:ascii="Verdana" w:hAnsi="Verdana" w:cs="Arial"/>
        </w:rPr>
        <w:t>Estado nutricional antropométrico y Bioquímico en mujeres pre quirúrgicas adultas mayores.</w:t>
      </w:r>
      <w:r w:rsidRPr="001A045E">
        <w:rPr>
          <w:rFonts w:ascii="Verdana" w:hAnsi="Verdana" w:cs="Arial"/>
          <w:bCs/>
        </w:rPr>
        <w:t xml:space="preserve">Univrsidad Norbert wiener  </w:t>
      </w:r>
      <w:r w:rsidRPr="001A045E">
        <w:rPr>
          <w:rFonts w:ascii="Verdana" w:hAnsi="Verdana" w:cs="Arial"/>
          <w:bCs/>
        </w:rPr>
        <w:lastRenderedPageBreak/>
        <w:t>[Internet]2018. Lima (tesis</w:t>
      </w:r>
      <w:r w:rsidRPr="001A045E">
        <w:rPr>
          <w:rFonts w:ascii="Verdana" w:hAnsi="Verdana" w:cs="Arial"/>
          <w:iCs/>
        </w:rPr>
        <w:t>)</w:t>
      </w:r>
      <w:r w:rsidRPr="001A045E">
        <w:rPr>
          <w:rFonts w:ascii="Verdana" w:hAnsi="Verdana" w:cs="Arial"/>
          <w:bCs/>
        </w:rPr>
        <w:t xml:space="preserve">[citado </w:t>
      </w:r>
      <w:smartTag w:uri="urn:schemas-microsoft-com:office:smarttags" w:element="date">
        <w:smartTagPr>
          <w:attr w:name="ls" w:val="trans"/>
          <w:attr w:name="Month" w:val="2"/>
          <w:attr w:name="Day" w:val="7"/>
          <w:attr w:name="Year" w:val="2021"/>
        </w:smartTagPr>
        <w:r w:rsidRPr="001A045E">
          <w:rPr>
            <w:rFonts w:ascii="Verdana" w:hAnsi="Verdana" w:cs="Arial"/>
            <w:bCs/>
          </w:rPr>
          <w:t>7 febrero 2021</w:t>
        </w:r>
      </w:smartTag>
      <w:r w:rsidRPr="001A045E">
        <w:rPr>
          <w:rFonts w:ascii="Verdana" w:hAnsi="Verdana" w:cs="Arial"/>
          <w:bCs/>
        </w:rPr>
        <w:t>];</w:t>
      </w:r>
      <w:r w:rsidRPr="001A045E">
        <w:rPr>
          <w:rFonts w:ascii="Verdana" w:hAnsi="Verdana" w:cs="Arial"/>
        </w:rPr>
        <w:t xml:space="preserve"> Disponible en:repositoro.uwiener.edu.pe&gt;handle</w:t>
      </w:r>
    </w:p>
    <w:p w:rsidR="00DB1EE5" w:rsidRPr="001A045E" w:rsidRDefault="007324DF" w:rsidP="000C77CA">
      <w:pPr>
        <w:tabs>
          <w:tab w:val="left" w:pos="142"/>
          <w:tab w:val="left" w:pos="426"/>
        </w:tabs>
        <w:suppressAutoHyphens/>
        <w:spacing w:after="0" w:line="360" w:lineRule="auto"/>
        <w:ind w:left="709" w:right="-284" w:hanging="425"/>
        <w:jc w:val="both"/>
        <w:rPr>
          <w:rFonts w:ascii="Verdana" w:hAnsi="Verdana"/>
        </w:rPr>
      </w:pPr>
      <w:r w:rsidRPr="001A045E">
        <w:rPr>
          <w:rFonts w:ascii="Verdana" w:hAnsi="Verdana" w:cs="Arial"/>
        </w:rPr>
        <w:t>14. Laura Débora Acosta, Elvira Delia Carrizo, Enrique Peláez Víctor, Eduardo Roque Torres. Condiciones de vida, estado nutricional y estado de salud en adultos mayores, Córdoba,Argentina.2011. Rev. Bras. Geriatr. Gerontol., Rio de Janeiro</w:t>
      </w:r>
      <w:r w:rsidRPr="001A045E">
        <w:rPr>
          <w:rFonts w:ascii="Verdana" w:hAnsi="Verdana" w:cs="Arial"/>
          <w:bCs/>
        </w:rPr>
        <w:t>[Internet];</w:t>
      </w:r>
      <w:r w:rsidRPr="001A045E">
        <w:rPr>
          <w:rFonts w:ascii="Verdana" w:hAnsi="Verdana" w:cs="Arial"/>
        </w:rPr>
        <w:t>2015; 18(1)</w:t>
      </w:r>
      <w:r w:rsidRPr="001A045E">
        <w:rPr>
          <w:rFonts w:ascii="Verdana" w:hAnsi="Verdana" w:cs="Arial"/>
          <w:bCs/>
        </w:rPr>
        <w:t xml:space="preserve">[Citado </w:t>
      </w:r>
      <w:smartTag w:uri="urn:schemas-microsoft-com:office:smarttags" w:element="date">
        <w:smartTagPr>
          <w:attr w:name="ls" w:val="trans"/>
          <w:attr w:name="Month" w:val="2"/>
          <w:attr w:name="Day" w:val="7"/>
          <w:attr w:name="Year" w:val="2021"/>
        </w:smartTagPr>
        <w:r w:rsidRPr="001A045E">
          <w:rPr>
            <w:rFonts w:ascii="Verdana" w:hAnsi="Verdana" w:cs="Arial"/>
            <w:bCs/>
          </w:rPr>
          <w:t>7 febrero 2021</w:t>
        </w:r>
      </w:smartTag>
      <w:r w:rsidRPr="001A045E">
        <w:rPr>
          <w:rFonts w:ascii="Verdana" w:hAnsi="Verdana" w:cs="Arial"/>
          <w:bCs/>
        </w:rPr>
        <w:t>].</w:t>
      </w:r>
      <w:r w:rsidRPr="001A045E">
        <w:rPr>
          <w:rFonts w:ascii="Verdana" w:hAnsi="Verdana" w:cs="Arial"/>
        </w:rPr>
        <w:t xml:space="preserve"> </w:t>
      </w:r>
      <w:r w:rsidRPr="001A045E">
        <w:rPr>
          <w:rFonts w:ascii="Verdana" w:hAnsi="Verdana" w:cs="Arial"/>
          <w:bCs/>
        </w:rPr>
        <w:t xml:space="preserve">Disponible en :      </w:t>
      </w:r>
      <w:hyperlink r:id="rId12" w:history="1">
        <w:r w:rsidRPr="001A045E">
          <w:rPr>
            <w:rStyle w:val="Hipervnculo"/>
            <w:rFonts w:ascii="Verdana" w:hAnsi="Verdana" w:cs="Arial"/>
            <w:bCs/>
          </w:rPr>
          <w:t>http://dx.doi.org/10.1590/1809-9823.2015.14058</w:t>
        </w:r>
      </w:hyperlink>
    </w:p>
    <w:p w:rsidR="00DB1EE5" w:rsidRPr="001A045E" w:rsidRDefault="00DB1EE5" w:rsidP="000C77CA">
      <w:pPr>
        <w:tabs>
          <w:tab w:val="left" w:pos="142"/>
          <w:tab w:val="left" w:pos="426"/>
        </w:tabs>
        <w:suppressAutoHyphens/>
        <w:spacing w:after="0" w:line="360" w:lineRule="auto"/>
        <w:ind w:left="709" w:right="-284" w:hanging="425"/>
        <w:jc w:val="both"/>
        <w:rPr>
          <w:rFonts w:ascii="Verdana" w:hAnsi="Verdana" w:cs="Arial"/>
        </w:rPr>
      </w:pPr>
      <w:r w:rsidRPr="001A045E">
        <w:rPr>
          <w:rFonts w:ascii="Verdana" w:hAnsi="Verdana"/>
        </w:rPr>
        <w:t xml:space="preserve">15. </w:t>
      </w:r>
      <w:r w:rsidRPr="001A045E">
        <w:rPr>
          <w:rFonts w:ascii="Verdana" w:hAnsi="Verdana" w:cs="Arial"/>
        </w:rPr>
        <w:t>Campos-Mondragón M G 1, Oliart-Ros R M1, Méndez-Machado F Angulo-Guerrero Ofelia. .</w:t>
      </w:r>
      <w:r w:rsidRPr="001A045E">
        <w:rPr>
          <w:rFonts w:ascii="Verdana" w:hAnsi="Verdana" w:cs="Arial"/>
          <w:bCs/>
        </w:rPr>
        <w:t>Síndrome Metabólico y su correlación con los niveles séricos deurea, Creatinina y ácido úrico en adultos de Veracruz.Rev Biomed . [Internet]</w:t>
      </w:r>
      <w:r w:rsidRPr="001A045E">
        <w:rPr>
          <w:rFonts w:ascii="Verdana" w:hAnsi="Verdana" w:cs="Arial"/>
        </w:rPr>
        <w:t xml:space="preserve">. </w:t>
      </w:r>
      <w:r w:rsidRPr="001A045E">
        <w:rPr>
          <w:rFonts w:ascii="Verdana" w:hAnsi="Verdana" w:cs="Arial"/>
          <w:bCs/>
        </w:rPr>
        <w:t>2010;   Artículo .21:67-75. ];</w:t>
      </w:r>
      <w:r w:rsidRPr="001A045E">
        <w:rPr>
          <w:rFonts w:ascii="Verdana" w:hAnsi="Verdana" w:cs="Arial"/>
        </w:rPr>
        <w:t>Disponible en:www.medigraphic.com.&gt;new&gt;resumen</w:t>
      </w:r>
    </w:p>
    <w:p w:rsidR="00DB1EE5" w:rsidRPr="001A045E" w:rsidRDefault="00DB1EE5" w:rsidP="000C77CA">
      <w:pPr>
        <w:tabs>
          <w:tab w:val="left" w:pos="142"/>
          <w:tab w:val="left" w:pos="851"/>
        </w:tabs>
        <w:suppressAutoHyphens/>
        <w:spacing w:after="0" w:line="360" w:lineRule="auto"/>
        <w:ind w:left="851" w:right="-284" w:hanging="567"/>
        <w:jc w:val="both"/>
        <w:rPr>
          <w:rFonts w:ascii="Verdana" w:hAnsi="Verdana" w:cs="Arial"/>
        </w:rPr>
      </w:pPr>
      <w:r w:rsidRPr="001A045E">
        <w:rPr>
          <w:rFonts w:ascii="Verdana" w:hAnsi="Verdana" w:cs="Arial"/>
        </w:rPr>
        <w:t xml:space="preserve">16. </w:t>
      </w:r>
      <w:r w:rsidRPr="001A045E">
        <w:rPr>
          <w:rFonts w:ascii="Verdana" w:eastAsia="Times New Roman" w:hAnsi="Verdana" w:cs="Arial"/>
        </w:rPr>
        <w:t xml:space="preserve">Naranjo Hernández Y. El envejecimiento de la población en Cuba: un reto Gac Méd Espirituana </w:t>
      </w:r>
      <w:r w:rsidRPr="001A045E">
        <w:rPr>
          <w:rFonts w:ascii="Verdana" w:hAnsi="Verdana" w:cs="Arial"/>
        </w:rPr>
        <w:t xml:space="preserve">[Internet].2015 [citado  2021  Enero 18] ;  17( 3) </w:t>
      </w:r>
      <w:r w:rsidRPr="001A045E">
        <w:rPr>
          <w:rFonts w:ascii="Verdana" w:eastAsia="Times New Roman" w:hAnsi="Verdana" w:cs="Arial"/>
        </w:rPr>
        <w:t xml:space="preserve">[aprox. 21p.]. </w:t>
      </w:r>
      <w:r w:rsidRPr="001A045E">
        <w:rPr>
          <w:rFonts w:ascii="Verdana" w:hAnsi="Verdana" w:cs="Arial"/>
        </w:rPr>
        <w:t>Disponible en http://scielo.sld.cu/scielo.php?script=sci_arttext&amp;pid=S1608-8921201.</w:t>
      </w:r>
    </w:p>
    <w:p w:rsidR="00DB1EE5" w:rsidRPr="001A045E" w:rsidRDefault="00DB1EE5" w:rsidP="000C77CA">
      <w:pPr>
        <w:tabs>
          <w:tab w:val="left" w:pos="142"/>
          <w:tab w:val="left" w:pos="426"/>
        </w:tabs>
        <w:suppressAutoHyphens/>
        <w:spacing w:after="0" w:line="360" w:lineRule="auto"/>
        <w:ind w:left="284" w:right="-284"/>
        <w:jc w:val="both"/>
        <w:rPr>
          <w:rFonts w:ascii="Verdana" w:hAnsi="Verdana" w:cs="Arial"/>
        </w:rPr>
      </w:pPr>
    </w:p>
    <w:sectPr w:rsidR="00DB1EE5" w:rsidRPr="001A045E" w:rsidSect="000C77CA">
      <w:pgSz w:w="11906" w:h="16838"/>
      <w:pgMar w:top="1417" w:right="1701"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683" w:rsidRDefault="00407683" w:rsidP="000C77CA">
      <w:pPr>
        <w:spacing w:after="0" w:line="240" w:lineRule="auto"/>
      </w:pPr>
      <w:r>
        <w:separator/>
      </w:r>
    </w:p>
  </w:endnote>
  <w:endnote w:type="continuationSeparator" w:id="1">
    <w:p w:rsidR="00407683" w:rsidRDefault="00407683" w:rsidP="000C7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683" w:rsidRDefault="00407683" w:rsidP="000C77CA">
      <w:pPr>
        <w:spacing w:after="0" w:line="240" w:lineRule="auto"/>
      </w:pPr>
      <w:r>
        <w:separator/>
      </w:r>
    </w:p>
  </w:footnote>
  <w:footnote w:type="continuationSeparator" w:id="1">
    <w:p w:rsidR="00407683" w:rsidRDefault="00407683" w:rsidP="000C77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7"/>
    <w:lvl w:ilvl="0">
      <w:start w:val="1"/>
      <w:numFmt w:val="decimal"/>
      <w:lvlText w:val="%1."/>
      <w:lvlJc w:val="left"/>
      <w:pPr>
        <w:tabs>
          <w:tab w:val="num" w:pos="0"/>
        </w:tabs>
        <w:ind w:left="644" w:hanging="360"/>
      </w:pPr>
      <w:rPr>
        <w:rFonts w:ascii="Arial" w:eastAsia="Times New Roman" w:hAnsi="Arial" w:cs="Arial"/>
        <w:bCs/>
        <w:i w:val="0"/>
        <w:iCs/>
        <w:color w:val="00000A"/>
        <w:sz w:val="24"/>
        <w:szCs w:val="22"/>
        <w:lang w:val="en-US"/>
      </w:rPr>
    </w:lvl>
    <w:lvl w:ilvl="1">
      <w:start w:val="1"/>
      <w:numFmt w:val="lowerLetter"/>
      <w:lvlText w:val="%2."/>
      <w:lvlJc w:val="left"/>
      <w:pPr>
        <w:tabs>
          <w:tab w:val="num" w:pos="0"/>
        </w:tabs>
        <w:ind w:left="796" w:hanging="360"/>
      </w:pPr>
    </w:lvl>
    <w:lvl w:ilvl="2">
      <w:start w:val="1"/>
      <w:numFmt w:val="lowerRoman"/>
      <w:lvlText w:val="%3."/>
      <w:lvlJc w:val="right"/>
      <w:pPr>
        <w:tabs>
          <w:tab w:val="num" w:pos="0"/>
        </w:tabs>
        <w:ind w:left="1516" w:hanging="180"/>
      </w:pPr>
    </w:lvl>
    <w:lvl w:ilvl="3">
      <w:start w:val="1"/>
      <w:numFmt w:val="decimal"/>
      <w:lvlText w:val="%4."/>
      <w:lvlJc w:val="left"/>
      <w:pPr>
        <w:tabs>
          <w:tab w:val="num" w:pos="0"/>
        </w:tabs>
        <w:ind w:left="2236" w:hanging="360"/>
      </w:pPr>
    </w:lvl>
    <w:lvl w:ilvl="4">
      <w:start w:val="1"/>
      <w:numFmt w:val="lowerLetter"/>
      <w:lvlText w:val="%5."/>
      <w:lvlJc w:val="left"/>
      <w:pPr>
        <w:tabs>
          <w:tab w:val="num" w:pos="0"/>
        </w:tabs>
        <w:ind w:left="2956" w:hanging="360"/>
      </w:pPr>
    </w:lvl>
    <w:lvl w:ilvl="5">
      <w:start w:val="1"/>
      <w:numFmt w:val="lowerRoman"/>
      <w:lvlText w:val="%6."/>
      <w:lvlJc w:val="right"/>
      <w:pPr>
        <w:tabs>
          <w:tab w:val="num" w:pos="0"/>
        </w:tabs>
        <w:ind w:left="3676" w:hanging="180"/>
      </w:pPr>
    </w:lvl>
    <w:lvl w:ilvl="6">
      <w:start w:val="1"/>
      <w:numFmt w:val="decimal"/>
      <w:lvlText w:val="%7."/>
      <w:lvlJc w:val="left"/>
      <w:pPr>
        <w:tabs>
          <w:tab w:val="num" w:pos="0"/>
        </w:tabs>
        <w:ind w:left="4396" w:hanging="360"/>
      </w:pPr>
    </w:lvl>
    <w:lvl w:ilvl="7">
      <w:start w:val="1"/>
      <w:numFmt w:val="lowerLetter"/>
      <w:lvlText w:val="%8."/>
      <w:lvlJc w:val="left"/>
      <w:pPr>
        <w:tabs>
          <w:tab w:val="num" w:pos="0"/>
        </w:tabs>
        <w:ind w:left="5116" w:hanging="360"/>
      </w:pPr>
    </w:lvl>
    <w:lvl w:ilvl="8">
      <w:start w:val="1"/>
      <w:numFmt w:val="lowerRoman"/>
      <w:lvlText w:val="%9."/>
      <w:lvlJc w:val="right"/>
      <w:pPr>
        <w:tabs>
          <w:tab w:val="num" w:pos="0"/>
        </w:tabs>
        <w:ind w:left="5836" w:hanging="180"/>
      </w:pPr>
    </w:lvl>
  </w:abstractNum>
  <w:abstractNum w:abstractNumId="1">
    <w:nsid w:val="0000000F"/>
    <w:multiLevelType w:val="multilevel"/>
    <w:tmpl w:val="0000000F"/>
    <w:name w:val="WW8Num16"/>
    <w:lvl w:ilvl="0">
      <w:start w:val="1"/>
      <w:numFmt w:val="bullet"/>
      <w:lvlText w:val=""/>
      <w:lvlJc w:val="left"/>
      <w:pPr>
        <w:tabs>
          <w:tab w:val="num" w:pos="0"/>
        </w:tabs>
        <w:ind w:left="720" w:hanging="360"/>
      </w:pPr>
      <w:rPr>
        <w:rFonts w:ascii="Symbol" w:hAnsi="Symbol" w:cs="Symbol" w:hint="default"/>
        <w:color w:val="000000"/>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B9E41C4"/>
    <w:multiLevelType w:val="multilevel"/>
    <w:tmpl w:val="87D6A12C"/>
    <w:lvl w:ilvl="0">
      <w:start w:val="3"/>
      <w:numFmt w:val="bullet"/>
      <w:lvlText w:val="-"/>
      <w:lvlJc w:val="left"/>
      <w:pPr>
        <w:ind w:left="720" w:hanging="360"/>
      </w:pPr>
      <w:rPr>
        <w:rFonts w:ascii="Arial" w:hAnsi="Arial" w:cs="Arial" w:hint="default"/>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FC82C2E"/>
    <w:multiLevelType w:val="hybridMultilevel"/>
    <w:tmpl w:val="21C6F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A12A31"/>
    <w:multiLevelType w:val="multilevel"/>
    <w:tmpl w:val="B704CE12"/>
    <w:lvl w:ilvl="0">
      <w:start w:val="1"/>
      <w:numFmt w:val="bullet"/>
      <w:lvlText w:val=""/>
      <w:lvlJc w:val="left"/>
      <w:pPr>
        <w:ind w:left="720" w:hanging="360"/>
      </w:pPr>
      <w:rPr>
        <w:rFonts w:ascii="Symbol" w:hAnsi="Symbol" w:cs="Symbol" w:hint="default"/>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Cs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Cs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E997DC4"/>
    <w:multiLevelType w:val="multilevel"/>
    <w:tmpl w:val="1354CCB4"/>
    <w:lvl w:ilvl="0">
      <w:start w:val="3"/>
      <w:numFmt w:val="bullet"/>
      <w:lvlText w:val="-"/>
      <w:lvlJc w:val="left"/>
      <w:pPr>
        <w:ind w:left="720" w:hanging="360"/>
      </w:pPr>
      <w:rPr>
        <w:rFonts w:ascii="Arial" w:hAnsi="Arial" w:cs="Arial" w:hint="default"/>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15BF"/>
    <w:rsid w:val="000501FA"/>
    <w:rsid w:val="000C11E2"/>
    <w:rsid w:val="000C77CA"/>
    <w:rsid w:val="001423B5"/>
    <w:rsid w:val="00195621"/>
    <w:rsid w:val="00195F5C"/>
    <w:rsid w:val="001A045E"/>
    <w:rsid w:val="00263A75"/>
    <w:rsid w:val="002A2409"/>
    <w:rsid w:val="002D663F"/>
    <w:rsid w:val="00341E24"/>
    <w:rsid w:val="003B4CF8"/>
    <w:rsid w:val="003F727A"/>
    <w:rsid w:val="00407683"/>
    <w:rsid w:val="0042742F"/>
    <w:rsid w:val="005F3306"/>
    <w:rsid w:val="0063294F"/>
    <w:rsid w:val="006A611F"/>
    <w:rsid w:val="007324DF"/>
    <w:rsid w:val="00784DD8"/>
    <w:rsid w:val="007B31E2"/>
    <w:rsid w:val="007F15BF"/>
    <w:rsid w:val="009B1795"/>
    <w:rsid w:val="009E20A6"/>
    <w:rsid w:val="00B12E13"/>
    <w:rsid w:val="00B9240F"/>
    <w:rsid w:val="00CA696A"/>
    <w:rsid w:val="00CF21C4"/>
    <w:rsid w:val="00DB1EE5"/>
    <w:rsid w:val="00E338C0"/>
    <w:rsid w:val="00E53445"/>
    <w:rsid w:val="00E60558"/>
    <w:rsid w:val="00ED4433"/>
    <w:rsid w:val="00ED6A81"/>
    <w:rsid w:val="00F04704"/>
    <w:rsid w:val="00F65D92"/>
    <w:rsid w:val="00FC5B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94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E20A6"/>
    <w:pPr>
      <w:ind w:left="720"/>
      <w:contextualSpacing/>
    </w:pPr>
  </w:style>
  <w:style w:type="character" w:styleId="Hipervnculo">
    <w:name w:val="Hyperlink"/>
    <w:basedOn w:val="Fuentedeprrafopredeter"/>
    <w:rsid w:val="00CA696A"/>
    <w:rPr>
      <w:color w:val="0563C1"/>
      <w:u w:val="single"/>
    </w:rPr>
  </w:style>
  <w:style w:type="paragraph" w:styleId="Encabezado">
    <w:name w:val="header"/>
    <w:basedOn w:val="Normal"/>
    <w:link w:val="EncabezadoCar"/>
    <w:uiPriority w:val="99"/>
    <w:semiHidden/>
    <w:unhideWhenUsed/>
    <w:rsid w:val="000C77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C77CA"/>
  </w:style>
  <w:style w:type="paragraph" w:styleId="Piedepgina">
    <w:name w:val="footer"/>
    <w:basedOn w:val="Normal"/>
    <w:link w:val="PiedepginaCar"/>
    <w:uiPriority w:val="99"/>
    <w:unhideWhenUsed/>
    <w:rsid w:val="000C77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77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2267/rus.171901.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losp.org/article/rpsp/2018.v42/e21/" TargetMode="External"/><Relationship Id="rId12" Type="http://schemas.openxmlformats.org/officeDocument/2006/relationships/hyperlink" Target="http://dx.doi.org/10.1590/1809-9823.2015.14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d.cu/sitios/revrehabilitacion" TargetMode="External"/><Relationship Id="rId5" Type="http://schemas.openxmlformats.org/officeDocument/2006/relationships/footnotes" Target="footnotes.xml"/><Relationship Id="rId10" Type="http://schemas.openxmlformats.org/officeDocument/2006/relationships/hyperlink" Target="http://scielo.sld.cu/scielo.php?script=sci_arttext&amp;pid=S10" TargetMode="External"/><Relationship Id="rId4" Type="http://schemas.openxmlformats.org/officeDocument/2006/relationships/webSettings" Target="webSettings.xml"/><Relationship Id="rId9" Type="http://schemas.openxmlformats.org/officeDocument/2006/relationships/hyperlink" Target="http://dx.doi.org/10.18004/anales/2015.048(02)17-03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3408</Words>
  <Characters>18748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dc:creator>
  <cp:keywords/>
  <dc:description/>
  <cp:lastModifiedBy>SALA</cp:lastModifiedBy>
  <cp:revision>31</cp:revision>
  <dcterms:created xsi:type="dcterms:W3CDTF">2022-11-23T20:37:00Z</dcterms:created>
  <dcterms:modified xsi:type="dcterms:W3CDTF">2022-12-07T22:00:00Z</dcterms:modified>
</cp:coreProperties>
</file>