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8F" w:rsidRPr="00C13CB4" w:rsidRDefault="00A92E8F" w:rsidP="00A92E8F">
      <w:pPr>
        <w:pStyle w:val="NormalWeb"/>
        <w:kinsoku w:val="0"/>
        <w:overflowPunct w:val="0"/>
        <w:spacing w:before="0" w:beforeAutospacing="0" w:after="0" w:afterAutospacing="0"/>
        <w:jc w:val="both"/>
        <w:textAlignment w:val="baseline"/>
        <w:rPr>
          <w:rFonts w:ascii="Verdana" w:eastAsiaTheme="minorEastAsia" w:hAnsi="Verdana" w:cs="Arial"/>
          <w:b/>
          <w:caps/>
          <w:color w:val="000000" w:themeColor="text1"/>
          <w:kern w:val="24"/>
          <w:sz w:val="28"/>
          <w:szCs w:val="28"/>
          <w:lang w:val="es-ES"/>
        </w:rPr>
      </w:pPr>
      <w:bookmarkStart w:id="0" w:name="_GoBack"/>
      <w:r w:rsidRPr="00C13CB4">
        <w:rPr>
          <w:rFonts w:ascii="Verdana" w:eastAsiaTheme="minorEastAsia" w:hAnsi="Verdana" w:cs="Arial"/>
          <w:b/>
          <w:caps/>
          <w:color w:val="000000" w:themeColor="text1"/>
          <w:kern w:val="24"/>
          <w:sz w:val="28"/>
          <w:szCs w:val="28"/>
          <w:lang w:val="es-ES" w:eastAsia="en-US"/>
        </w:rPr>
        <w:t>Asociación entre el hígado graso no alcohólico y evaluación ponderal en pacientes con diabetes tipo2.</w:t>
      </w:r>
    </w:p>
    <w:p w:rsidR="00593C0A" w:rsidRPr="00C13CB4" w:rsidRDefault="00593C0A">
      <w:pPr>
        <w:rPr>
          <w:caps/>
          <w:lang w:val="es-ES"/>
        </w:rPr>
      </w:pPr>
    </w:p>
    <w:bookmarkEnd w:id="0"/>
    <w:p w:rsidR="00A92E8F" w:rsidRPr="00A92E8F" w:rsidRDefault="00A92E8F" w:rsidP="003A3A86">
      <w:pPr>
        <w:spacing w:after="0" w:line="360" w:lineRule="auto"/>
        <w:ind w:left="-425"/>
        <w:jc w:val="both"/>
        <w:rPr>
          <w:rFonts w:ascii="Verdana" w:eastAsia="Calibri" w:hAnsi="Verdana" w:cs="Times New Roman"/>
          <w:b/>
          <w:lang w:val="es-MX"/>
        </w:rPr>
      </w:pPr>
      <w:r w:rsidRPr="00A92E8F">
        <w:rPr>
          <w:rFonts w:ascii="Verdana" w:eastAsia="Calibri" w:hAnsi="Verdana" w:cs="Times New Roman"/>
          <w:b/>
          <w:lang w:val="es-MX"/>
        </w:rPr>
        <w:t xml:space="preserve">Autores: </w:t>
      </w:r>
    </w:p>
    <w:p w:rsidR="00A92E8F" w:rsidRPr="00834BFA" w:rsidRDefault="00A92E8F" w:rsidP="003A3A86">
      <w:pPr>
        <w:jc w:val="both"/>
        <w:rPr>
          <w:rFonts w:ascii="Verdana" w:eastAsiaTheme="minorEastAsia" w:hAnsi="Verdana" w:cs="Arial"/>
          <w:color w:val="000000" w:themeColor="text1"/>
          <w:kern w:val="24"/>
          <w:vertAlign w:val="superscript"/>
          <w:lang w:val="es-ES"/>
        </w:rPr>
      </w:pPr>
      <w:r w:rsidRPr="00834BFA">
        <w:rPr>
          <w:rFonts w:ascii="Verdana" w:eastAsiaTheme="minorEastAsia" w:hAnsi="Verdana" w:cs="Arial"/>
          <w:color w:val="000000" w:themeColor="text1"/>
          <w:kern w:val="24"/>
          <w:lang w:val="es-ES"/>
        </w:rPr>
        <w:t>Yuleysi Zamora Viera</w:t>
      </w:r>
      <w:r w:rsidRPr="00834BFA">
        <w:rPr>
          <w:rFonts w:ascii="Verdana" w:eastAsiaTheme="minorEastAsia" w:hAnsi="Verdana" w:cs="Arial"/>
          <w:color w:val="000000" w:themeColor="text1"/>
          <w:kern w:val="24"/>
          <w:vertAlign w:val="superscript"/>
          <w:lang w:val="es-ES"/>
        </w:rPr>
        <w:t>1</w:t>
      </w:r>
      <w:r w:rsidRPr="00834BFA">
        <w:rPr>
          <w:rFonts w:ascii="Verdana" w:eastAsiaTheme="minorEastAsia" w:hAnsi="Verdana" w:cs="Arial"/>
          <w:color w:val="000000" w:themeColor="text1"/>
          <w:kern w:val="24"/>
          <w:lang w:val="es-ES"/>
        </w:rPr>
        <w:t>, Yelec Estrada Guerra</w:t>
      </w:r>
      <w:r w:rsidRPr="00834BFA">
        <w:rPr>
          <w:rFonts w:ascii="Verdana" w:eastAsiaTheme="minorEastAsia" w:hAnsi="Verdana" w:cs="Arial"/>
          <w:color w:val="000000" w:themeColor="text1"/>
          <w:kern w:val="24"/>
          <w:vertAlign w:val="superscript"/>
          <w:lang w:val="es-ES"/>
        </w:rPr>
        <w:t xml:space="preserve"> 2   </w:t>
      </w:r>
    </w:p>
    <w:p w:rsidR="003A3A86" w:rsidRPr="00834BFA" w:rsidRDefault="00A92E8F" w:rsidP="003A3A86">
      <w:pPr>
        <w:jc w:val="both"/>
        <w:rPr>
          <w:rFonts w:ascii="Verdana" w:eastAsiaTheme="minorEastAsia" w:hAnsi="Verdana" w:cs="Arial"/>
          <w:color w:val="000000" w:themeColor="text1"/>
          <w:kern w:val="24"/>
          <w:lang w:val="es-VE"/>
        </w:rPr>
      </w:pPr>
      <w:r w:rsidRPr="00834BFA">
        <w:rPr>
          <w:rFonts w:ascii="Verdana" w:eastAsiaTheme="minorEastAsia" w:hAnsi="Verdana" w:cs="Arial"/>
          <w:color w:val="000000" w:themeColor="text1"/>
          <w:kern w:val="24"/>
          <w:vertAlign w:val="superscript"/>
          <w:lang w:val="es-ES"/>
        </w:rPr>
        <w:t>1</w:t>
      </w:r>
      <w:r w:rsidRPr="00834BFA">
        <w:rPr>
          <w:rFonts w:ascii="Verdana" w:eastAsiaTheme="minorEastAsia" w:hAnsi="Verdana" w:cs="Arial"/>
          <w:color w:val="000000" w:themeColor="text1"/>
          <w:kern w:val="24"/>
          <w:lang w:val="es-ES"/>
        </w:rPr>
        <w:t xml:space="preserve"> Especialista de Segundo grado en Gastroenterología,</w:t>
      </w:r>
      <w:r w:rsidR="003A3A86" w:rsidRPr="00834BFA">
        <w:rPr>
          <w:rFonts w:ascii="Verdana" w:eastAsiaTheme="minorEastAsia" w:hAnsi="Verdana" w:cs="Arial"/>
          <w:color w:val="000000" w:themeColor="text1"/>
          <w:kern w:val="24"/>
          <w:lang w:val="es-ES"/>
        </w:rPr>
        <w:t xml:space="preserve"> Departamento</w:t>
      </w:r>
      <w:r w:rsidR="00E94074" w:rsidRPr="00834BFA">
        <w:rPr>
          <w:rFonts w:ascii="Verdana" w:eastAsiaTheme="minorEastAsia" w:hAnsi="Verdana" w:cs="Arial"/>
          <w:color w:val="000000" w:themeColor="text1"/>
          <w:kern w:val="24"/>
          <w:lang w:val="es-ES"/>
        </w:rPr>
        <w:t xml:space="preserve"> </w:t>
      </w:r>
      <w:r w:rsidR="003A3A86" w:rsidRPr="00834BFA">
        <w:rPr>
          <w:rFonts w:ascii="Verdana" w:eastAsiaTheme="minorEastAsia" w:hAnsi="Verdana" w:cs="Arial"/>
          <w:color w:val="000000" w:themeColor="text1"/>
          <w:kern w:val="24"/>
          <w:lang w:val="es-ES"/>
        </w:rPr>
        <w:t>de Gastroenterología del H</w:t>
      </w:r>
      <w:r w:rsidR="00E94074" w:rsidRPr="00834BFA">
        <w:rPr>
          <w:rFonts w:ascii="Verdana" w:eastAsiaTheme="minorEastAsia" w:hAnsi="Verdana" w:cs="Arial"/>
          <w:color w:val="000000" w:themeColor="text1"/>
          <w:kern w:val="24"/>
          <w:lang w:val="es-ES"/>
        </w:rPr>
        <w:t>osp</w:t>
      </w:r>
      <w:r w:rsidR="003A3A86" w:rsidRPr="00834BFA">
        <w:rPr>
          <w:rFonts w:ascii="Verdana" w:eastAsiaTheme="minorEastAsia" w:hAnsi="Verdana" w:cs="Arial"/>
          <w:color w:val="000000" w:themeColor="text1"/>
          <w:kern w:val="24"/>
          <w:lang w:val="es-ES"/>
        </w:rPr>
        <w:t>ital</w:t>
      </w:r>
      <w:r w:rsidR="003A3A86" w:rsidRPr="00834BFA">
        <w:rPr>
          <w:rFonts w:ascii="Verdana" w:eastAsiaTheme="minorEastAsia" w:hAnsi="Verdana" w:cs="Arial"/>
          <w:color w:val="000000" w:themeColor="text1"/>
          <w:kern w:val="24"/>
          <w:lang w:val="es-VE"/>
        </w:rPr>
        <w:t xml:space="preserve"> Provincial General Docente Dr. Antonio Luaces Iraola,     </w:t>
      </w:r>
    </w:p>
    <w:p w:rsidR="00644795" w:rsidRPr="00834BFA" w:rsidRDefault="003A3A86" w:rsidP="003A3A86">
      <w:pPr>
        <w:jc w:val="both"/>
        <w:rPr>
          <w:rFonts w:ascii="Verdana" w:eastAsiaTheme="minorEastAsia" w:hAnsi="Verdana" w:cs="Arial"/>
          <w:color w:val="000000" w:themeColor="text1"/>
          <w:kern w:val="24"/>
          <w:lang w:val="es-VE"/>
        </w:rPr>
      </w:pPr>
      <w:r w:rsidRPr="00834BFA">
        <w:rPr>
          <w:rFonts w:ascii="Verdana" w:eastAsiaTheme="minorEastAsia" w:hAnsi="Verdana" w:cs="Arial"/>
          <w:color w:val="000000" w:themeColor="text1"/>
          <w:kern w:val="24"/>
          <w:lang w:val="es-VE"/>
        </w:rPr>
        <w:t xml:space="preserve"> </w:t>
      </w:r>
      <w:r w:rsidRPr="00834BFA">
        <w:rPr>
          <w:rFonts w:ascii="Verdana" w:eastAsiaTheme="minorEastAsia" w:hAnsi="Verdana" w:cs="Arial"/>
          <w:color w:val="000000" w:themeColor="text1"/>
          <w:kern w:val="24"/>
          <w:vertAlign w:val="superscript"/>
          <w:lang w:val="es-VE"/>
        </w:rPr>
        <w:t xml:space="preserve">2 </w:t>
      </w:r>
      <w:r w:rsidRPr="00834BFA">
        <w:rPr>
          <w:rFonts w:ascii="Verdana" w:eastAsiaTheme="minorEastAsia" w:hAnsi="Verdana" w:cs="Arial"/>
          <w:color w:val="000000" w:themeColor="text1"/>
          <w:kern w:val="24"/>
          <w:lang w:val="es-ES"/>
        </w:rPr>
        <w:t xml:space="preserve">Especialista de Primer grado en </w:t>
      </w:r>
      <w:r w:rsidR="00644795" w:rsidRPr="00834BFA">
        <w:rPr>
          <w:rFonts w:ascii="Verdana" w:eastAsiaTheme="minorEastAsia" w:hAnsi="Verdana" w:cs="Arial"/>
          <w:color w:val="000000" w:themeColor="text1"/>
          <w:kern w:val="24"/>
          <w:lang w:val="es-ES"/>
        </w:rPr>
        <w:t xml:space="preserve">MGI, Especialista de </w:t>
      </w:r>
      <w:r w:rsidRPr="00834BFA">
        <w:rPr>
          <w:rFonts w:ascii="Verdana" w:eastAsiaTheme="minorEastAsia" w:hAnsi="Verdana" w:cs="Arial"/>
          <w:color w:val="000000" w:themeColor="text1"/>
          <w:kern w:val="24"/>
          <w:lang w:val="es-ES"/>
        </w:rPr>
        <w:t>Segundo grado en Gastroenterología</w:t>
      </w:r>
      <w:r w:rsidR="00644795" w:rsidRPr="00834BFA">
        <w:rPr>
          <w:rFonts w:ascii="Verdana" w:eastAsiaTheme="minorEastAsia" w:hAnsi="Verdana" w:cs="Arial"/>
          <w:color w:val="000000" w:themeColor="text1"/>
          <w:kern w:val="24"/>
          <w:lang w:val="es-ES"/>
        </w:rPr>
        <w:t xml:space="preserve"> del Hospital</w:t>
      </w:r>
      <w:r w:rsidR="00644795" w:rsidRPr="00834BFA">
        <w:rPr>
          <w:rFonts w:ascii="Verdana" w:eastAsiaTheme="minorEastAsia" w:hAnsi="Verdana" w:cs="Arial"/>
          <w:color w:val="000000" w:themeColor="text1"/>
          <w:kern w:val="24"/>
          <w:lang w:val="es-VE"/>
        </w:rPr>
        <w:t xml:space="preserve"> Provincial General Docente Dr. Antonio Luaces Iraola.</w:t>
      </w:r>
    </w:p>
    <w:p w:rsidR="00A92E8F" w:rsidRPr="00834BFA" w:rsidRDefault="00A92E8F" w:rsidP="003A3A86">
      <w:pPr>
        <w:jc w:val="both"/>
        <w:rPr>
          <w:rFonts w:ascii="Verdana" w:eastAsiaTheme="minorEastAsia" w:hAnsi="Verdana" w:cs="Arial"/>
          <w:color w:val="000000" w:themeColor="text1"/>
          <w:kern w:val="24"/>
          <w:lang w:val="es-ES"/>
        </w:rPr>
      </w:pPr>
      <w:r w:rsidRPr="00834BFA">
        <w:rPr>
          <w:rFonts w:ascii="Verdana" w:eastAsiaTheme="minorEastAsia" w:hAnsi="Verdana" w:cs="Arial"/>
          <w:color w:val="000000" w:themeColor="text1"/>
          <w:kern w:val="24"/>
          <w:lang w:val="es-ES"/>
        </w:rPr>
        <w:t>Ciego de Ávila, Cuba</w:t>
      </w:r>
    </w:p>
    <w:p w:rsidR="00A92E8F" w:rsidRPr="00834BFA" w:rsidRDefault="00A92E8F" w:rsidP="003A3A86">
      <w:pPr>
        <w:jc w:val="both"/>
        <w:rPr>
          <w:rFonts w:ascii="Verdana" w:eastAsiaTheme="minorEastAsia" w:hAnsi="Verdana" w:cs="Arial"/>
          <w:color w:val="000000" w:themeColor="text1"/>
          <w:kern w:val="24"/>
          <w:lang w:val="es-ES"/>
        </w:rPr>
      </w:pPr>
      <w:r w:rsidRPr="00834BFA">
        <w:rPr>
          <w:rFonts w:ascii="Verdana" w:eastAsiaTheme="minorEastAsia" w:hAnsi="Verdana" w:cs="Arial"/>
          <w:color w:val="000000" w:themeColor="text1"/>
          <w:kern w:val="24"/>
          <w:lang w:val="es-ES"/>
        </w:rPr>
        <w:t xml:space="preserve">Correo: </w:t>
      </w:r>
      <w:hyperlink r:id="rId5" w:history="1">
        <w:r w:rsidRPr="00834BFA">
          <w:rPr>
            <w:rStyle w:val="Hipervnculo"/>
            <w:rFonts w:ascii="Verdana" w:eastAsiaTheme="minorEastAsia" w:hAnsi="Verdana" w:cs="Arial"/>
            <w:kern w:val="24"/>
            <w:lang w:val="es-ES"/>
          </w:rPr>
          <w:t>yuleysizv@gmail.com</w:t>
        </w:r>
      </w:hyperlink>
    </w:p>
    <w:p w:rsidR="00A92E8F" w:rsidRPr="0062002A" w:rsidRDefault="00A92E8F" w:rsidP="003A3A86">
      <w:pPr>
        <w:jc w:val="both"/>
        <w:rPr>
          <w:rFonts w:ascii="Verdana" w:eastAsiaTheme="minorEastAsia" w:hAnsi="Verdana" w:cs="Arial"/>
          <w:b/>
          <w:color w:val="000000" w:themeColor="text1"/>
          <w:kern w:val="24"/>
          <w:lang w:val="es-ES"/>
        </w:rPr>
      </w:pPr>
    </w:p>
    <w:p w:rsidR="00A92E8F" w:rsidRPr="0062002A" w:rsidRDefault="00A92E8F" w:rsidP="00E94074">
      <w:pPr>
        <w:jc w:val="both"/>
        <w:rPr>
          <w:rFonts w:ascii="Verdana" w:eastAsiaTheme="minorEastAsia" w:hAnsi="Verdana" w:cs="Arial"/>
          <w:b/>
          <w:color w:val="000000" w:themeColor="text1"/>
          <w:kern w:val="24"/>
          <w:lang w:val="es-ES"/>
        </w:rPr>
      </w:pPr>
      <w:r w:rsidRPr="0062002A">
        <w:rPr>
          <w:rFonts w:ascii="Verdana" w:eastAsiaTheme="minorEastAsia" w:hAnsi="Verdana" w:cs="Arial"/>
          <w:b/>
          <w:color w:val="000000" w:themeColor="text1"/>
          <w:kern w:val="24"/>
          <w:lang w:val="es-ES"/>
        </w:rPr>
        <w:t>Resumen</w:t>
      </w:r>
    </w:p>
    <w:p w:rsidR="00E94074" w:rsidRPr="00834BFA" w:rsidRDefault="00E94074" w:rsidP="00E94074">
      <w:pPr>
        <w:spacing w:after="0" w:line="240" w:lineRule="auto"/>
        <w:jc w:val="both"/>
        <w:rPr>
          <w:rFonts w:ascii="Verdana" w:hAnsi="Verdana" w:cs="Arial"/>
          <w:lang w:val="es-VE"/>
        </w:rPr>
      </w:pPr>
      <w:r w:rsidRPr="00834BFA">
        <w:rPr>
          <w:rFonts w:ascii="Verdana" w:hAnsi="Verdana" w:cs="Arial"/>
          <w:lang w:val="es-VE"/>
        </w:rPr>
        <w:t>Introducción: la enfermedad por hígado graso no alcohólico ha ido en ascenso a nivel mundial</w:t>
      </w:r>
      <w:r w:rsidR="00644795" w:rsidRPr="00834BFA">
        <w:rPr>
          <w:rFonts w:ascii="Verdana" w:hAnsi="Verdana" w:cs="Arial"/>
          <w:lang w:val="es-VE"/>
        </w:rPr>
        <w:t xml:space="preserve">, junto a </w:t>
      </w:r>
      <w:r w:rsidRPr="00834BFA">
        <w:rPr>
          <w:rFonts w:ascii="Verdana" w:hAnsi="Verdana" w:cs="Arial"/>
          <w:lang w:val="es-VE"/>
        </w:rPr>
        <w:t>la obesidad y la diabetes mellitus tipo2.</w:t>
      </w:r>
    </w:p>
    <w:p w:rsidR="00E94074" w:rsidRPr="00834BFA" w:rsidRDefault="00E94074" w:rsidP="00E94074">
      <w:pPr>
        <w:spacing w:after="0" w:line="240" w:lineRule="auto"/>
        <w:jc w:val="both"/>
        <w:rPr>
          <w:rFonts w:ascii="Verdana" w:hAnsi="Verdana" w:cs="Arial"/>
          <w:lang w:val="es-VE"/>
        </w:rPr>
      </w:pPr>
      <w:r w:rsidRPr="00834BFA">
        <w:rPr>
          <w:rFonts w:ascii="Verdana" w:hAnsi="Verdana" w:cs="Arial"/>
          <w:lang w:val="es-VE"/>
        </w:rPr>
        <w:t>Objetivo: identificar la asociación entre el hígado graso no alcohólico y el peso corporal en pacientes con diabetes mellitus tipo2.</w:t>
      </w:r>
    </w:p>
    <w:p w:rsidR="00E94074" w:rsidRPr="00834BFA" w:rsidRDefault="00834BFA" w:rsidP="00E94074">
      <w:pPr>
        <w:spacing w:after="0" w:line="240" w:lineRule="auto"/>
        <w:jc w:val="both"/>
        <w:rPr>
          <w:rFonts w:ascii="Verdana" w:hAnsi="Verdana" w:cs="Arial"/>
        </w:rPr>
      </w:pPr>
      <w:r w:rsidRPr="00834BFA">
        <w:rPr>
          <w:rFonts w:ascii="Verdana" w:hAnsi="Verdana" w:cs="Arial"/>
        </w:rPr>
        <w:t>Método: se realizó</w:t>
      </w:r>
      <w:r w:rsidR="00E94074" w:rsidRPr="00834BFA">
        <w:rPr>
          <w:rFonts w:ascii="Verdana" w:hAnsi="Verdana" w:cs="Arial"/>
        </w:rPr>
        <w:t xml:space="preserve"> estudio transversal analítico , de septiembre 2019 - marzo 2021 en la consulta de Gastroenterología del Hospital Provincial General “Dr. Antonio Luaces Iraola”. Universo:  conformado por 97 pacientes con diagnó</w:t>
      </w:r>
      <w:r w:rsidRPr="00834BFA">
        <w:rPr>
          <w:rFonts w:ascii="Verdana" w:hAnsi="Verdana" w:cs="Arial"/>
        </w:rPr>
        <w:t>stico de diabetes mellitus tipo</w:t>
      </w:r>
      <w:r w:rsidR="00E94074" w:rsidRPr="00834BFA">
        <w:rPr>
          <w:rFonts w:ascii="Verdana" w:hAnsi="Verdana" w:cs="Arial"/>
        </w:rPr>
        <w:t xml:space="preserve">2.  Muestra: 85 pacientes que cumplieron los criterios de </w:t>
      </w:r>
      <w:r w:rsidRPr="00834BFA">
        <w:rPr>
          <w:rFonts w:ascii="Verdana" w:hAnsi="Verdana" w:cs="Arial"/>
        </w:rPr>
        <w:t>la investigación. V</w:t>
      </w:r>
      <w:r w:rsidR="00E94074" w:rsidRPr="00834BFA">
        <w:rPr>
          <w:rFonts w:ascii="Verdana" w:hAnsi="Verdana" w:cs="Arial"/>
        </w:rPr>
        <w:t>ariables</w:t>
      </w:r>
      <w:r w:rsidRPr="00834BFA">
        <w:rPr>
          <w:rFonts w:ascii="Verdana" w:hAnsi="Verdana" w:cs="Arial"/>
        </w:rPr>
        <w:t xml:space="preserve"> evaluadas</w:t>
      </w:r>
      <w:r w:rsidR="00E94074" w:rsidRPr="00834BFA">
        <w:rPr>
          <w:rFonts w:ascii="Verdana" w:hAnsi="Verdana" w:cs="Arial"/>
        </w:rPr>
        <w:t xml:space="preserve">: edad, sexo, índice de masa corporal, presencia </w:t>
      </w:r>
      <w:r w:rsidR="00644795" w:rsidRPr="00834BFA">
        <w:rPr>
          <w:rFonts w:ascii="Verdana" w:hAnsi="Verdana" w:cs="Arial"/>
        </w:rPr>
        <w:t xml:space="preserve">de esteatosis por ultrasonido, </w:t>
      </w:r>
      <w:r w:rsidR="00E94074" w:rsidRPr="00834BFA">
        <w:rPr>
          <w:rFonts w:ascii="Verdana" w:hAnsi="Verdana" w:cs="Arial"/>
        </w:rPr>
        <w:t xml:space="preserve">por el índice </w:t>
      </w:r>
      <w:r w:rsidR="00E94074" w:rsidRPr="00834BFA">
        <w:rPr>
          <w:rFonts w:ascii="Verdana" w:hAnsi="Verdana" w:cs="Arial"/>
          <w:i/>
        </w:rPr>
        <w:t>Fatty Liver Index</w:t>
      </w:r>
      <w:r w:rsidR="00644795" w:rsidRPr="00834BFA">
        <w:rPr>
          <w:rFonts w:ascii="Verdana" w:hAnsi="Verdana" w:cs="Arial"/>
        </w:rPr>
        <w:t xml:space="preserve">, </w:t>
      </w:r>
      <w:r w:rsidR="00E94074" w:rsidRPr="00834BFA">
        <w:rPr>
          <w:rFonts w:ascii="Verdana" w:hAnsi="Verdana" w:cs="Arial"/>
        </w:rPr>
        <w:t>grad</w:t>
      </w:r>
      <w:r w:rsidR="00644795" w:rsidRPr="00834BFA">
        <w:rPr>
          <w:rFonts w:ascii="Verdana" w:hAnsi="Verdana" w:cs="Arial"/>
        </w:rPr>
        <w:t xml:space="preserve">o de esteatosis por ultrasonido y </w:t>
      </w:r>
      <w:r w:rsidRPr="00834BFA">
        <w:rPr>
          <w:rFonts w:ascii="Verdana" w:hAnsi="Verdana" w:cs="Arial"/>
        </w:rPr>
        <w:t>grado de fibrosis por</w:t>
      </w:r>
      <w:r w:rsidR="00E94074" w:rsidRPr="00834BFA">
        <w:rPr>
          <w:rFonts w:ascii="Verdana" w:hAnsi="Verdana" w:cs="Arial"/>
        </w:rPr>
        <w:t xml:space="preserve"> puntuación  BARD.</w:t>
      </w:r>
    </w:p>
    <w:p w:rsidR="00E94074" w:rsidRPr="00834BFA" w:rsidRDefault="00E94074" w:rsidP="00E94074">
      <w:pPr>
        <w:spacing w:after="0" w:line="240" w:lineRule="auto"/>
        <w:jc w:val="both"/>
        <w:rPr>
          <w:rFonts w:ascii="Verdana" w:hAnsi="Verdana" w:cs="Arial"/>
        </w:rPr>
      </w:pPr>
      <w:r w:rsidRPr="00834BFA">
        <w:rPr>
          <w:rFonts w:ascii="Verdana" w:hAnsi="Verdana" w:cs="Arial"/>
        </w:rPr>
        <w:t>Resultados y discusión :</w:t>
      </w:r>
      <w:r w:rsidR="00644795" w:rsidRPr="00834BFA">
        <w:rPr>
          <w:rFonts w:ascii="Verdana" w:hAnsi="Verdana" w:cs="Arial"/>
        </w:rPr>
        <w:t xml:space="preserve"> p</w:t>
      </w:r>
      <w:r w:rsidRPr="00834BFA">
        <w:rPr>
          <w:rFonts w:ascii="Verdana" w:hAnsi="Verdana" w:cs="Arial"/>
        </w:rPr>
        <w:t xml:space="preserve">articiparon 85 pacientes, 56 presentaron criterios ecográficos para diagnóstico de hígado graso, </w:t>
      </w:r>
      <w:r w:rsidR="00644795" w:rsidRPr="00834BFA">
        <w:rPr>
          <w:rFonts w:ascii="Verdana" w:hAnsi="Verdana" w:cs="Arial"/>
        </w:rPr>
        <w:t xml:space="preserve">predominó el sexo femenino y </w:t>
      </w:r>
      <w:r w:rsidRPr="00834BFA">
        <w:rPr>
          <w:rFonts w:ascii="Verdana" w:hAnsi="Verdana" w:cs="Arial"/>
        </w:rPr>
        <w:t>el grupo etario de 49 a 58 años. La mayoría de pacientes presentaron sobrepeso con predominio de la esteatosis moderada. Se identificó relación entre la obesidad y la</w:t>
      </w:r>
      <w:r w:rsidR="00644795" w:rsidRPr="00834BFA">
        <w:rPr>
          <w:rFonts w:ascii="Verdana" w:hAnsi="Verdana" w:cs="Arial"/>
        </w:rPr>
        <w:t xml:space="preserve"> presencia de grasa hepática</w:t>
      </w:r>
      <w:r w:rsidRPr="00834BFA">
        <w:rPr>
          <w:rFonts w:ascii="Verdana" w:hAnsi="Verdana" w:cs="Arial"/>
        </w:rPr>
        <w:t xml:space="preserve"> por ultrasonido. Conclusiones: En los pacie</w:t>
      </w:r>
      <w:r w:rsidR="00834BFA" w:rsidRPr="00834BFA">
        <w:rPr>
          <w:rFonts w:ascii="Verdana" w:hAnsi="Verdana" w:cs="Arial"/>
        </w:rPr>
        <w:t>ntes con diabetes mellitus tipo</w:t>
      </w:r>
      <w:r w:rsidRPr="00834BFA">
        <w:rPr>
          <w:rFonts w:ascii="Verdana" w:hAnsi="Verdana" w:cs="Arial"/>
        </w:rPr>
        <w:t>2 existe una  relación entre la enfermedad por hígado graso no alcohólico y la obesidad</w:t>
      </w:r>
      <w:r w:rsidRPr="00834BFA">
        <w:rPr>
          <w:rFonts w:ascii="Verdana" w:hAnsi="Verdana" w:cs="Arial"/>
          <w:color w:val="FF0000"/>
        </w:rPr>
        <w:t>.</w:t>
      </w:r>
    </w:p>
    <w:p w:rsidR="00834BFA" w:rsidRPr="00834BFA" w:rsidRDefault="00834BFA" w:rsidP="00A92E8F">
      <w:pPr>
        <w:rPr>
          <w:rFonts w:ascii="Verdana" w:eastAsiaTheme="minorEastAsia" w:hAnsi="Verdana" w:cs="Arial"/>
          <w:color w:val="000000" w:themeColor="text1"/>
          <w:kern w:val="24"/>
        </w:rPr>
      </w:pPr>
    </w:p>
    <w:p w:rsidR="00834BFA" w:rsidRPr="00834BFA" w:rsidRDefault="00834BFA" w:rsidP="00834BFA">
      <w:pPr>
        <w:pStyle w:val="NormalWeb"/>
        <w:kinsoku w:val="0"/>
        <w:overflowPunct w:val="0"/>
        <w:spacing w:before="0" w:beforeAutospacing="0" w:after="0" w:afterAutospacing="0"/>
        <w:jc w:val="both"/>
        <w:textAlignment w:val="baseline"/>
        <w:rPr>
          <w:rFonts w:ascii="Verdana" w:hAnsi="Verdana" w:cs="Arial"/>
          <w:b/>
          <w:sz w:val="22"/>
          <w:szCs w:val="22"/>
        </w:rPr>
      </w:pPr>
      <w:r w:rsidRPr="00834BFA">
        <w:rPr>
          <w:rFonts w:ascii="Verdana" w:hAnsi="Verdana" w:cs="Arial"/>
          <w:b/>
          <w:sz w:val="22"/>
          <w:szCs w:val="22"/>
        </w:rPr>
        <w:t>Introducción</w:t>
      </w:r>
    </w:p>
    <w:p w:rsidR="00834BFA" w:rsidRPr="00834BFA" w:rsidRDefault="00834BFA" w:rsidP="00834BFA">
      <w:pPr>
        <w:pStyle w:val="NormalWeb"/>
        <w:kinsoku w:val="0"/>
        <w:overflowPunct w:val="0"/>
        <w:spacing w:before="0" w:beforeAutospacing="0" w:after="0" w:afterAutospacing="0"/>
        <w:jc w:val="both"/>
        <w:textAlignment w:val="baseline"/>
        <w:rPr>
          <w:rFonts w:ascii="Verdana" w:hAnsi="Verdana" w:cs="Arial"/>
          <w:sz w:val="22"/>
          <w:szCs w:val="22"/>
        </w:rPr>
      </w:pPr>
    </w:p>
    <w:p w:rsidR="00834BFA" w:rsidRPr="00834BFA" w:rsidRDefault="00834BFA" w:rsidP="00834BFA">
      <w:pPr>
        <w:spacing w:after="0"/>
        <w:jc w:val="both"/>
        <w:rPr>
          <w:rFonts w:ascii="Verdana" w:hAnsi="Verdana" w:cs="Arial"/>
          <w:lang w:val="es-MX"/>
        </w:rPr>
      </w:pPr>
      <w:r w:rsidRPr="00834BFA">
        <w:rPr>
          <w:rFonts w:ascii="Verdana" w:hAnsi="Verdana" w:cs="Arial"/>
          <w:lang w:val="es-MX"/>
        </w:rPr>
        <w:t xml:space="preserve">La enfermedad del hígado graso no alcohólico (EHGNA) ha ido en ascenso a nivel mundial, constituye la enfermedad hepática más diagnosticada, que afecta del 20 al 30% de la población general </w:t>
      </w:r>
      <w:r w:rsidRPr="00834BFA">
        <w:rPr>
          <w:rFonts w:ascii="Verdana" w:hAnsi="Verdana" w:cs="Arial"/>
          <w:vertAlign w:val="superscript"/>
          <w:lang w:val="es-MX"/>
        </w:rPr>
        <w:t>(1)</w:t>
      </w:r>
      <w:r w:rsidRPr="00834BFA">
        <w:rPr>
          <w:rFonts w:ascii="Verdana" w:hAnsi="Verdana" w:cs="Arial"/>
          <w:lang w:val="es-MX"/>
        </w:rPr>
        <w:t xml:space="preserve"> y es una de las principales causas de </w:t>
      </w:r>
      <w:r w:rsidRPr="00834BFA">
        <w:rPr>
          <w:rFonts w:ascii="Verdana" w:hAnsi="Verdana" w:cs="Arial"/>
          <w:lang w:val="es-MX"/>
        </w:rPr>
        <w:lastRenderedPageBreak/>
        <w:t xml:space="preserve">enfermedad crónica del hígado en muchas regiones del mundo, por lo que constituye un problema de salud mundial, propiciado por el creciente aumento de la obesidad, la diabetes, y el síndrome metabólico. </w:t>
      </w:r>
      <w:r w:rsidRPr="00834BFA">
        <w:rPr>
          <w:rFonts w:ascii="Verdana" w:hAnsi="Verdana" w:cs="Arial"/>
          <w:vertAlign w:val="superscript"/>
          <w:lang w:val="es-MX"/>
        </w:rPr>
        <w:t>(2,3,4)</w:t>
      </w:r>
      <w:r w:rsidRPr="00834BFA">
        <w:rPr>
          <w:rFonts w:ascii="Verdana" w:hAnsi="Verdana" w:cs="Arial"/>
          <w:lang w:val="es-MX"/>
        </w:rPr>
        <w:t xml:space="preserve">  </w:t>
      </w:r>
    </w:p>
    <w:p w:rsidR="00834BFA" w:rsidRPr="00834BFA" w:rsidRDefault="00834BFA" w:rsidP="00834BFA">
      <w:pPr>
        <w:spacing w:after="0"/>
        <w:rPr>
          <w:rFonts w:ascii="Verdana" w:hAnsi="Verdana" w:cs="Arial"/>
          <w:lang w:val="es-MX"/>
        </w:rPr>
      </w:pPr>
    </w:p>
    <w:p w:rsidR="00834BFA" w:rsidRPr="00834BFA" w:rsidRDefault="00834BFA" w:rsidP="00834BFA">
      <w:pPr>
        <w:spacing w:after="0"/>
        <w:jc w:val="both"/>
        <w:rPr>
          <w:rFonts w:ascii="Verdana" w:hAnsi="Verdana" w:cs="Arial"/>
          <w:vertAlign w:val="superscript"/>
          <w:lang w:val="es-VE"/>
        </w:rPr>
      </w:pPr>
      <w:r w:rsidRPr="00834BFA">
        <w:rPr>
          <w:rFonts w:ascii="Verdana" w:hAnsi="Verdana" w:cs="Arial"/>
          <w:lang w:val="es-VE"/>
        </w:rPr>
        <w:t xml:space="preserve">La enfermedad por hígado graso no alcohólico es un trastorno metabólico que se caracteriza por la acumulación de grasa en más del 5% de los hepatocitos de individuos sin consumo significativo de alcohol, de medicamentos hepatotóxicos, formas genéticas raras, ni otras causas conocidas de esteatosis secundaria. </w:t>
      </w:r>
      <w:r w:rsidRPr="00834BFA">
        <w:rPr>
          <w:rFonts w:ascii="Verdana" w:hAnsi="Verdana" w:cs="Arial"/>
          <w:vertAlign w:val="superscript"/>
          <w:lang w:val="es-VE"/>
        </w:rPr>
        <w:t xml:space="preserve">(5,6)  </w:t>
      </w:r>
    </w:p>
    <w:p w:rsidR="00834BFA" w:rsidRPr="00834BFA" w:rsidRDefault="00834BFA" w:rsidP="00834BFA">
      <w:pPr>
        <w:spacing w:after="0"/>
        <w:rPr>
          <w:rFonts w:ascii="Verdana" w:hAnsi="Verdana" w:cs="Arial"/>
          <w:vertAlign w:val="superscript"/>
          <w:lang w:val="es-VE"/>
        </w:rPr>
      </w:pPr>
    </w:p>
    <w:p w:rsidR="00834BFA" w:rsidRPr="00834BFA" w:rsidRDefault="00834BFA" w:rsidP="00834BFA">
      <w:pPr>
        <w:spacing w:after="0"/>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Abarca un grupo de cambios histológicos que van desde una esteatosis simple hasta la presencia de una esteatohepatitis con presencia de inflamación(EHNA), daño hepatocelular y fibrosis con gran posibilidad de progresar a la cirrosis hepática, el carcinoma hepatocelular y el fallo hepático. </w:t>
      </w:r>
      <w:r w:rsidRPr="00834BFA">
        <w:rPr>
          <w:rFonts w:ascii="Verdana" w:hAnsi="Verdana" w:cs="Arial"/>
          <w:vertAlign w:val="superscript"/>
          <w:lang w:val="es-VE"/>
        </w:rPr>
        <w:t>(6,7)</w:t>
      </w:r>
      <w:r w:rsidRPr="00834BFA">
        <w:rPr>
          <w:rFonts w:ascii="Verdana" w:hAnsi="Verdana" w:cs="Arial"/>
          <w:lang w:val="es-VE"/>
        </w:rPr>
        <w:t xml:space="preserve">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Es una enfermedad emergente con un elevado impacto social e implicación clínica y constituye hoy día el principal motivo de consulta en hepatología.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En general, tiene un curso asintomático y se considera reversible si se logra corregir el estilo de vida que la genera motivo por el cual necesita focalización temprana en la comunidad donde puede estar infradiagnosticada, de ahí la importancia de prevenirla.</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La prevalencia global es de 25,24% la mayor en Oriente Medio y Sudamérica y la más baja en África, aumenta en paralelo al Síndrome Metabólico y sus componentes, en especial la obesidad y diabetes mellitus tipo 2 (DMT-2). </w:t>
      </w:r>
      <w:r w:rsidRPr="00834BFA">
        <w:rPr>
          <w:rFonts w:ascii="Verdana" w:hAnsi="Verdana" w:cs="Arial"/>
          <w:vertAlign w:val="superscript"/>
          <w:lang w:val="es-VE"/>
        </w:rPr>
        <w:t>(1,8)</w:t>
      </w:r>
      <w:r w:rsidRPr="00834BFA">
        <w:rPr>
          <w:rFonts w:ascii="Verdana" w:hAnsi="Verdana" w:cs="Arial"/>
          <w:lang w:val="es-VE"/>
        </w:rPr>
        <w:t xml:space="preserve">     </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La prevalencia en Cuba de la EHGNA, no se conoce y los datos publicados proceden de estudios post mortem o de investigaciones realizadas por medio de procederes diagnósticos no invasivos. </w:t>
      </w:r>
      <w:r w:rsidRPr="00834BFA">
        <w:rPr>
          <w:rFonts w:ascii="Verdana" w:hAnsi="Verdana" w:cs="Arial"/>
          <w:vertAlign w:val="superscript"/>
          <w:lang w:val="es-VE"/>
        </w:rPr>
        <w:t>(9)</w:t>
      </w:r>
    </w:p>
    <w:p w:rsidR="00834BFA" w:rsidRPr="00834BFA" w:rsidRDefault="00834BFA" w:rsidP="00834BFA">
      <w:pPr>
        <w:spacing w:after="0"/>
        <w:jc w:val="both"/>
        <w:rPr>
          <w:rFonts w:ascii="Verdana" w:hAnsi="Verdana" w:cs="Arial"/>
          <w:b/>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En los pacientes con DMT-2, la prevalencia es muy elevada, que puede alcanzar cifras en torno al 60%-70%, </w:t>
      </w:r>
      <w:r w:rsidRPr="00834BFA">
        <w:rPr>
          <w:rFonts w:ascii="Verdana" w:hAnsi="Verdana" w:cs="Arial"/>
          <w:vertAlign w:val="superscript"/>
          <w:lang w:val="es-VE"/>
        </w:rPr>
        <w:t>(10,11)</w:t>
      </w:r>
      <w:r w:rsidRPr="00834BFA">
        <w:rPr>
          <w:rFonts w:ascii="Verdana" w:hAnsi="Verdana" w:cs="Arial"/>
          <w:lang w:val="es-VE"/>
        </w:rPr>
        <w:t xml:space="preserve"> además, ambos procesos se potencian mutuamente, de manera la diabetes favorece la progresión de las lesiones en el hígado graso y los pacientes con esta entidad, especialmente los obesos, están más predispuestos a desarrollar una diabetes tipo 2. </w:t>
      </w:r>
      <w:r w:rsidRPr="00834BFA">
        <w:rPr>
          <w:rFonts w:ascii="Verdana" w:hAnsi="Verdana" w:cs="Arial"/>
          <w:vertAlign w:val="superscript"/>
          <w:lang w:val="es-VE"/>
        </w:rPr>
        <w:t xml:space="preserve">(12) </w:t>
      </w:r>
      <w:r w:rsidRPr="00834BFA">
        <w:rPr>
          <w:rFonts w:ascii="Verdana" w:hAnsi="Verdana" w:cs="Arial"/>
          <w:lang w:val="es-VE"/>
        </w:rPr>
        <w:t xml:space="preserve">En la población adulta con obesidad, la prevalencia se sitúa en el 50-70%. </w:t>
      </w:r>
      <w:r w:rsidRPr="00834BFA">
        <w:rPr>
          <w:rFonts w:ascii="Verdana" w:hAnsi="Verdana" w:cs="Arial"/>
          <w:vertAlign w:val="superscript"/>
          <w:lang w:val="es-VE"/>
        </w:rPr>
        <w:t>(13)</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La incidencia de esteatohepatitis no alcohólica, cirrosis descompensada, y el carcinoma hepatocelular se esperan aumenten en 2030, así como el número de muertes relacionadas con formas graves de la enfermedad y se estima que esta sea la principal indicación para el trasplante de hígado en un futuro cercano. </w:t>
      </w:r>
      <w:r w:rsidRPr="00834BFA">
        <w:rPr>
          <w:rFonts w:ascii="Verdana" w:hAnsi="Verdana" w:cs="Arial"/>
          <w:vertAlign w:val="superscript"/>
          <w:lang w:val="es-VE"/>
        </w:rPr>
        <w:t>(14,15)</w:t>
      </w:r>
      <w:r w:rsidRPr="00834BFA">
        <w:rPr>
          <w:rFonts w:ascii="Verdana" w:hAnsi="Verdana" w:cs="Arial"/>
          <w:lang w:val="es-VE"/>
        </w:rPr>
        <w:t xml:space="preserve">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En este sentido, las personas con DMT-2, al tener un mayor riesgo presentar hígado graso, tienden a progresar a esteatohepatitis y fibrosis severa,</w:t>
      </w:r>
      <w:r w:rsidRPr="00834BFA">
        <w:rPr>
          <w:rFonts w:ascii="Verdana" w:hAnsi="Verdana" w:cs="Arial"/>
          <w:vertAlign w:val="superscript"/>
          <w:lang w:val="es-VE"/>
        </w:rPr>
        <w:t xml:space="preserve"> (13)</w:t>
      </w:r>
      <w:r w:rsidRPr="00834BFA">
        <w:rPr>
          <w:rFonts w:ascii="Verdana" w:hAnsi="Verdana" w:cs="Arial"/>
          <w:lang w:val="es-VE"/>
        </w:rPr>
        <w:t xml:space="preserve"> así como al carcinoma hepatocelular y a hospitalizaciones y muertes relacionadas </w:t>
      </w:r>
      <w:r w:rsidRPr="00834BFA">
        <w:rPr>
          <w:rFonts w:ascii="Verdana" w:hAnsi="Verdana" w:cs="Arial"/>
          <w:lang w:val="es-VE"/>
        </w:rPr>
        <w:lastRenderedPageBreak/>
        <w:t xml:space="preserve">con el hígado, aumentando aún más el riesgo eventos cardiovasculares, enfermedades cerebrovasculares y enfermedad renal crónica. </w:t>
      </w:r>
      <w:r w:rsidRPr="00834BFA">
        <w:rPr>
          <w:rFonts w:ascii="Verdana" w:hAnsi="Verdana" w:cs="Arial"/>
          <w:vertAlign w:val="superscript"/>
          <w:lang w:val="es-VE"/>
        </w:rPr>
        <w:t>(10,16)</w:t>
      </w:r>
    </w:p>
    <w:p w:rsidR="00834BFA" w:rsidRPr="00834BFA" w:rsidRDefault="00834BFA" w:rsidP="00834BFA">
      <w:pPr>
        <w:spacing w:after="0"/>
        <w:jc w:val="both"/>
        <w:rPr>
          <w:rFonts w:ascii="Verdana" w:hAnsi="Verdana" w:cs="Arial"/>
          <w:vertAlign w:val="superscript"/>
          <w:lang w:val="es-VE"/>
        </w:rPr>
      </w:pPr>
      <w:r w:rsidRPr="00834BFA">
        <w:rPr>
          <w:rFonts w:ascii="Verdana" w:hAnsi="Verdana" w:cs="Arial"/>
          <w:lang w:val="es-VE"/>
        </w:rPr>
        <w:t xml:space="preserve">Debido a la interacción demostrada entre la EHGNA y la DM2 en el año 2015, la </w:t>
      </w:r>
      <w:r w:rsidRPr="00834BFA">
        <w:rPr>
          <w:rFonts w:ascii="Verdana" w:hAnsi="Verdana" w:cs="Arial"/>
          <w:i/>
          <w:lang w:val="es-VE"/>
        </w:rPr>
        <w:t xml:space="preserve">American Diabetes </w:t>
      </w:r>
      <w:proofErr w:type="spellStart"/>
      <w:r w:rsidRPr="00834BFA">
        <w:rPr>
          <w:rFonts w:ascii="Verdana" w:hAnsi="Verdana" w:cs="Arial"/>
          <w:i/>
          <w:lang w:val="es-VE"/>
        </w:rPr>
        <w:t>Association</w:t>
      </w:r>
      <w:proofErr w:type="spellEnd"/>
      <w:r w:rsidRPr="00834BFA">
        <w:rPr>
          <w:rFonts w:ascii="Verdana" w:hAnsi="Verdana" w:cs="Arial"/>
          <w:i/>
          <w:lang w:val="es-VE"/>
        </w:rPr>
        <w:t xml:space="preserve"> </w:t>
      </w:r>
      <w:r w:rsidRPr="00834BFA">
        <w:rPr>
          <w:rFonts w:ascii="Verdana" w:hAnsi="Verdana" w:cs="Arial"/>
          <w:lang w:val="es-VE"/>
        </w:rPr>
        <w:t xml:space="preserve">considera e esta enfermedad como una comorbilidad de la diabetes. </w:t>
      </w:r>
      <w:r w:rsidRPr="00834BFA">
        <w:rPr>
          <w:rFonts w:ascii="Verdana" w:hAnsi="Verdana" w:cs="Arial"/>
          <w:vertAlign w:val="superscript"/>
          <w:lang w:val="es-VE"/>
        </w:rPr>
        <w:t>(17)</w:t>
      </w:r>
    </w:p>
    <w:p w:rsidR="00834BFA" w:rsidRPr="00834BFA" w:rsidRDefault="00834BFA" w:rsidP="00834BFA">
      <w:pPr>
        <w:spacing w:after="0"/>
        <w:jc w:val="both"/>
        <w:rPr>
          <w:rFonts w:ascii="Verdana" w:hAnsi="Verdana" w:cs="Arial"/>
          <w:vertAlign w:val="superscript"/>
          <w:lang w:val="es-VE"/>
        </w:rPr>
      </w:pPr>
      <w:r w:rsidRPr="00834BFA">
        <w:rPr>
          <w:rFonts w:ascii="Verdana" w:hAnsi="Verdana" w:cs="Arial"/>
          <w:lang w:val="es-VE"/>
        </w:rPr>
        <w:t xml:space="preserve">En cuanto al síndrome metabólico, la EHGNA se considera por algunos autores como un componente más del síndrome por su asociación con la obesidad, la resistencia a la insulina, la hipertensión y dislipidemia. </w:t>
      </w:r>
      <w:r w:rsidRPr="00834BFA">
        <w:rPr>
          <w:rFonts w:ascii="Verdana" w:hAnsi="Verdana" w:cs="Arial"/>
          <w:vertAlign w:val="superscript"/>
          <w:lang w:val="es-VE"/>
        </w:rPr>
        <w:t>(1,5)</w:t>
      </w:r>
      <w:r w:rsidRPr="00834BFA">
        <w:rPr>
          <w:rFonts w:ascii="Verdana" w:hAnsi="Verdana" w:cs="Arial"/>
          <w:lang w:val="es-VE"/>
        </w:rPr>
        <w:t xml:space="preserve">. La Asociación Europea para el estudio del Hígado considera a la obesidad, la DMT-2 y la resistencia a la insulina como los principales factores de riesgo metabólicos para el desarrollo de la enfermedad hepática grasa no alcohólica. </w:t>
      </w:r>
      <w:r w:rsidRPr="00834BFA">
        <w:rPr>
          <w:rFonts w:ascii="Verdana" w:hAnsi="Verdana" w:cs="Arial"/>
          <w:vertAlign w:val="superscript"/>
          <w:lang w:val="es-VE"/>
        </w:rPr>
        <w:t>(5)</w:t>
      </w:r>
    </w:p>
    <w:p w:rsidR="00834BFA" w:rsidRPr="00834BFA" w:rsidRDefault="00834BFA" w:rsidP="00834BFA">
      <w:pPr>
        <w:spacing w:after="0"/>
        <w:jc w:val="both"/>
        <w:rPr>
          <w:rFonts w:ascii="Verdana" w:hAnsi="Verdana" w:cs="Arial"/>
          <w:vertAlign w:val="superscript"/>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La enfermedad por depósito graso puede ser reversible, si se logra modificar el estilo de vida que la genera. La obesidad, el sedentarismo y las dietas ricas en grasas saturadas o fructosa favorecen el desarrollo tanto de la DM2 como de hígado graso no alcohólico por lo cual el tratamiento de estas enfermedades junto a la pérdida de peso y una dieta baja en grasa son recomendadas.</w:t>
      </w:r>
    </w:p>
    <w:p w:rsidR="00834BFA" w:rsidRPr="00834BFA" w:rsidRDefault="00834BFA" w:rsidP="00834BFA">
      <w:pPr>
        <w:spacing w:after="0"/>
        <w:jc w:val="both"/>
        <w:rPr>
          <w:rFonts w:ascii="Verdana" w:hAnsi="Verdana" w:cs="Arial"/>
          <w:lang w:val="es-VE"/>
        </w:rPr>
      </w:pPr>
    </w:p>
    <w:p w:rsidR="00834BFA" w:rsidRDefault="00834BFA" w:rsidP="00834BFA">
      <w:pPr>
        <w:spacing w:after="0"/>
        <w:jc w:val="both"/>
        <w:rPr>
          <w:rFonts w:ascii="Verdana" w:hAnsi="Verdana" w:cs="Arial"/>
          <w:lang w:val="es-VE"/>
        </w:rPr>
      </w:pPr>
      <w:r w:rsidRPr="00834BFA">
        <w:rPr>
          <w:rFonts w:ascii="Verdana" w:hAnsi="Verdana" w:cs="Arial"/>
          <w:lang w:val="es-VE"/>
        </w:rPr>
        <w:t xml:space="preserve">El aumento de pacientes con EHGNA es una señal de alarma en poblaciones con alta prevalencia de diabetes mellitus tipo 2, sobrepeso y obesidad como ocurre en Cuba. Este círculo vicioso, además de las implicaciones sanitarias, los costos directos e indirectos ocasionados por las alteraciones metabólicas, convierten a la obesidad y a la EHGNA en un problema prioritario que demanda investigaciones específicas para determinar los factores y las intervenciones más eficaces de prevención. </w:t>
      </w:r>
    </w:p>
    <w:p w:rsidR="00834BFA" w:rsidRDefault="00834BFA" w:rsidP="00834BFA">
      <w:pPr>
        <w:spacing w:after="0"/>
        <w:jc w:val="both"/>
        <w:rPr>
          <w:rFonts w:ascii="Verdana" w:hAnsi="Verdana" w:cs="Arial"/>
          <w:lang w:val="es-VE"/>
        </w:rPr>
      </w:pPr>
    </w:p>
    <w:p w:rsidR="00834BFA" w:rsidRDefault="00834BFA" w:rsidP="00834BFA">
      <w:pPr>
        <w:spacing w:after="0"/>
        <w:jc w:val="both"/>
        <w:rPr>
          <w:rFonts w:ascii="Verdana" w:hAnsi="Verdana" w:cs="Arial"/>
          <w:b/>
          <w:lang w:val="es-VE"/>
        </w:rPr>
      </w:pPr>
      <w:r w:rsidRPr="00834BFA">
        <w:rPr>
          <w:rFonts w:ascii="Verdana" w:hAnsi="Verdana" w:cs="Arial"/>
          <w:b/>
          <w:lang w:val="es-VE"/>
        </w:rPr>
        <w:t xml:space="preserve">Objetivo </w:t>
      </w:r>
    </w:p>
    <w:p w:rsidR="00834BFA" w:rsidRPr="00834BFA" w:rsidRDefault="00834BFA" w:rsidP="00834BFA">
      <w:pPr>
        <w:spacing w:after="0"/>
        <w:jc w:val="both"/>
        <w:rPr>
          <w:rFonts w:ascii="Verdana" w:hAnsi="Verdana" w:cs="Arial"/>
          <w:b/>
          <w:lang w:val="es-VE"/>
        </w:rPr>
      </w:pPr>
    </w:p>
    <w:p w:rsidR="00834BFA" w:rsidRPr="00834BFA" w:rsidRDefault="00834BFA" w:rsidP="00834BFA">
      <w:pPr>
        <w:spacing w:after="0"/>
        <w:jc w:val="both"/>
        <w:rPr>
          <w:rFonts w:ascii="Verdana" w:hAnsi="Verdana" w:cs="Arial"/>
          <w:lang w:val="es-VE"/>
        </w:rPr>
      </w:pPr>
      <w:r>
        <w:rPr>
          <w:rFonts w:ascii="Verdana" w:hAnsi="Verdana" w:cs="Arial"/>
          <w:lang w:val="es-VE"/>
        </w:rPr>
        <w:t>I</w:t>
      </w:r>
      <w:r w:rsidRPr="00834BFA">
        <w:rPr>
          <w:rFonts w:ascii="Verdana" w:hAnsi="Verdana" w:cs="Arial"/>
          <w:lang w:val="es-VE"/>
        </w:rPr>
        <w:t>dentificar la asociación entre la presencia de hígado graso no alcohólico y la obesidad en pacientes con diabetes mellitus tipo 2 atendidos en</w:t>
      </w:r>
      <w:r w:rsidRPr="00834BFA">
        <w:rPr>
          <w:rFonts w:ascii="Verdana" w:hAnsi="Verdana" w:cs="Arial"/>
        </w:rPr>
        <w:t xml:space="preserve"> </w:t>
      </w:r>
      <w:r w:rsidRPr="00834BFA">
        <w:rPr>
          <w:rFonts w:ascii="Verdana" w:hAnsi="Verdana" w:cs="Arial"/>
          <w:lang w:val="es-VE"/>
        </w:rPr>
        <w:t>el Hospital Provincial General Docente “Dr. Antonio Luaces Iraola” de Ciego de Ávila.</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b/>
          <w:lang w:val="es-VE"/>
        </w:rPr>
      </w:pPr>
      <w:r>
        <w:rPr>
          <w:rFonts w:ascii="Verdana" w:hAnsi="Verdana"/>
          <w:b/>
        </w:rPr>
        <w:t>Material</w:t>
      </w:r>
      <w:r w:rsidRPr="00834BFA">
        <w:rPr>
          <w:rFonts w:ascii="Verdana" w:hAnsi="Verdana"/>
          <w:b/>
        </w:rPr>
        <w:t xml:space="preserve"> y </w:t>
      </w:r>
      <w:r w:rsidRPr="00834BFA">
        <w:rPr>
          <w:rFonts w:ascii="Verdana" w:hAnsi="Verdana" w:cs="Arial"/>
          <w:b/>
          <w:lang w:val="es-VE"/>
        </w:rPr>
        <w:t>Método</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Se realizó un estudio transversal analítico para identificar la asociación del peso corporal y la presencia de EHGNA en los pacientes diabéticos tipo 2 que acudieron a la Consulta integradora de Endocrinología y Gastroenterología del Hospital Provincial General Docente “Dr. Antonio Luaces Iraola”, en el período comprendido entre septiembre 2019 y marzo 2021.</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El universo estuvo constituido por 97 pacientes con diagnóstico de DMT2.y la muestra quedó conformada por 85 pacientes que cumplieron los siguientes criterios:</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Criterios de inclusión:</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lastRenderedPageBreak/>
        <w:t>-Adultos edad ≥ 19 años.</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-Aceptación escrita de participación en el estudio por parte del paciente a través de un consentimiento informado.</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Criterios de exclusión:</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1-Embarazadas y lactantes</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2-Pacientes con ingesta excesiva de alcohol. (30 gramos de alcohol diarios para el hombre y 20 gramos de alcohol para la mujer). </w:t>
      </w:r>
      <w:r w:rsidRPr="00834BFA">
        <w:rPr>
          <w:rFonts w:ascii="Verdana" w:hAnsi="Verdana" w:cs="Arial"/>
          <w:vertAlign w:val="superscript"/>
          <w:lang w:val="es-VE"/>
        </w:rPr>
        <w:t>(18)</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3-Enfermedad hepática crónica conocida (hepatitis B y C, hepatitis autoinmune, colangitis biliar primaria, enfermedad de Wilson, etc.)</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4-Ingestión de fármacos reconocidos que ocasionan esteatosis (esteroides, </w:t>
      </w:r>
      <w:proofErr w:type="spellStart"/>
      <w:r w:rsidRPr="00834BFA">
        <w:rPr>
          <w:rFonts w:ascii="Verdana" w:hAnsi="Verdana" w:cs="Arial"/>
          <w:lang w:val="es-VE"/>
        </w:rPr>
        <w:t>metotrexato</w:t>
      </w:r>
      <w:proofErr w:type="spellEnd"/>
      <w:r w:rsidRPr="00834BFA">
        <w:rPr>
          <w:rFonts w:ascii="Verdana" w:hAnsi="Verdana" w:cs="Arial"/>
          <w:lang w:val="es-VE"/>
        </w:rPr>
        <w:t xml:space="preserve">, tetraciclina, </w:t>
      </w:r>
      <w:proofErr w:type="spellStart"/>
      <w:r w:rsidRPr="00834BFA">
        <w:rPr>
          <w:rFonts w:ascii="Verdana" w:hAnsi="Verdana" w:cs="Arial"/>
          <w:lang w:val="es-VE"/>
        </w:rPr>
        <w:t>amiodarona</w:t>
      </w:r>
      <w:proofErr w:type="spellEnd"/>
      <w:r w:rsidRPr="00834BFA">
        <w:rPr>
          <w:rFonts w:ascii="Verdana" w:hAnsi="Verdana" w:cs="Arial"/>
          <w:lang w:val="es-VE"/>
        </w:rPr>
        <w:t xml:space="preserve">, </w:t>
      </w:r>
      <w:proofErr w:type="spellStart"/>
      <w:r w:rsidRPr="00834BFA">
        <w:rPr>
          <w:rFonts w:ascii="Verdana" w:hAnsi="Verdana" w:cs="Arial"/>
          <w:lang w:val="es-VE"/>
        </w:rPr>
        <w:t>diltiazem</w:t>
      </w:r>
      <w:proofErr w:type="spellEnd"/>
      <w:r w:rsidRPr="00834BFA">
        <w:rPr>
          <w:rFonts w:ascii="Verdana" w:hAnsi="Verdana" w:cs="Arial"/>
          <w:lang w:val="es-VE"/>
        </w:rPr>
        <w:t xml:space="preserve">, </w:t>
      </w:r>
      <w:proofErr w:type="spellStart"/>
      <w:r w:rsidRPr="00834BFA">
        <w:rPr>
          <w:rFonts w:ascii="Verdana" w:hAnsi="Verdana" w:cs="Arial"/>
          <w:lang w:val="es-VE"/>
        </w:rPr>
        <w:t>tamoxifeno</w:t>
      </w:r>
      <w:proofErr w:type="spellEnd"/>
      <w:r w:rsidRPr="00834BFA">
        <w:rPr>
          <w:rFonts w:ascii="Verdana" w:hAnsi="Verdana" w:cs="Arial"/>
          <w:lang w:val="es-VE"/>
        </w:rPr>
        <w:t>).</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En este estudio se identificó la asociación entre la ganancia de peso y la presencia de esteatosis por US y por el FLI, este último ha demostrado ser una herramienta útil para el diagnóstico de esteatosis en estudios poblacionales como refieren en sus investigaciones algunos autores. </w:t>
      </w:r>
      <w:r w:rsidRPr="00834BFA">
        <w:rPr>
          <w:rFonts w:ascii="Verdana" w:hAnsi="Verdana" w:cs="Arial"/>
          <w:vertAlign w:val="superscript"/>
          <w:lang w:val="es-VE"/>
        </w:rPr>
        <w:t>(19,20)</w:t>
      </w:r>
    </w:p>
    <w:p w:rsidR="00834BFA" w:rsidRPr="00834BFA" w:rsidRDefault="00834BFA" w:rsidP="00834BFA">
      <w:pPr>
        <w:spacing w:after="0"/>
        <w:jc w:val="both"/>
        <w:rPr>
          <w:rFonts w:ascii="Verdana" w:hAnsi="Verdana" w:cs="Arial"/>
          <w:lang w:val="es-MX"/>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Para el diagnóstico de la EHGNA se realizó una ecografía abdominal con equipo marc</w:t>
      </w:r>
      <w:r w:rsidRPr="0062002A">
        <w:rPr>
          <w:rFonts w:ascii="Verdana" w:hAnsi="Verdana" w:cs="Arial"/>
          <w:lang w:val="es-VE"/>
        </w:rPr>
        <w:t xml:space="preserve">a </w:t>
      </w:r>
      <w:r w:rsidRPr="00834BFA">
        <w:rPr>
          <w:rFonts w:ascii="Verdana" w:hAnsi="Verdana" w:cs="Arial"/>
          <w:lang w:val="es-VE"/>
        </w:rPr>
        <w:t>Toshiba, con transductor de 3.5 MHz, solicitando al paciente la inspiración profunda mantenida con cortes transversales y longitudinales con el paciente en ayuno de al menos ocho horas.</w:t>
      </w:r>
    </w:p>
    <w:p w:rsidR="00834BFA" w:rsidRPr="00834BFA" w:rsidRDefault="00834BFA" w:rsidP="00834BFA">
      <w:pPr>
        <w:spacing w:after="0"/>
        <w:jc w:val="both"/>
        <w:rPr>
          <w:rFonts w:ascii="Verdana" w:hAnsi="Verdana" w:cs="Arial"/>
          <w:lang w:val="es-VE"/>
        </w:rPr>
      </w:pPr>
    </w:p>
    <w:p w:rsidR="00834BFA" w:rsidRDefault="00834BFA" w:rsidP="00834BFA">
      <w:pPr>
        <w:spacing w:after="0"/>
        <w:jc w:val="both"/>
        <w:rPr>
          <w:rFonts w:ascii="Verdana" w:hAnsi="Verdana" w:cs="Arial"/>
          <w:lang w:val="es-VE"/>
        </w:rPr>
      </w:pPr>
      <w:r w:rsidRPr="00834BFA">
        <w:rPr>
          <w:rFonts w:ascii="Verdana" w:hAnsi="Verdana" w:cs="Arial"/>
          <w:lang w:val="es-VE"/>
        </w:rPr>
        <w:t>Se consideraron tres categorías:</w:t>
      </w:r>
    </w:p>
    <w:p w:rsidR="00173357" w:rsidRPr="00834BFA" w:rsidRDefault="00173357" w:rsidP="00834BFA">
      <w:pPr>
        <w:spacing w:after="0"/>
        <w:jc w:val="both"/>
        <w:rPr>
          <w:rFonts w:ascii="Verdana" w:hAnsi="Verdana" w:cs="Arial"/>
          <w:lang w:val="es-VE"/>
        </w:rPr>
      </w:pPr>
    </w:p>
    <w:p w:rsidR="00834BFA" w:rsidRDefault="00834BFA" w:rsidP="00834BFA">
      <w:pPr>
        <w:spacing w:after="0"/>
        <w:jc w:val="both"/>
        <w:rPr>
          <w:rFonts w:ascii="Verdana" w:hAnsi="Verdana" w:cs="Arial"/>
          <w:lang w:val="es-VE"/>
        </w:rPr>
      </w:pPr>
      <w:r w:rsidRPr="00834BFA">
        <w:rPr>
          <w:rFonts w:ascii="Verdana" w:hAnsi="Verdana" w:cs="Arial"/>
          <w:lang w:val="es-VE"/>
        </w:rPr>
        <w:t>Normal. Hígado normal</w:t>
      </w:r>
    </w:p>
    <w:p w:rsidR="00173357" w:rsidRPr="00834BFA" w:rsidRDefault="00173357"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Leve. Discreto aumento difuso de la ecogenicidad, con normal valoración del diafragma y de los bordes de los vasos </w:t>
      </w:r>
      <w:proofErr w:type="spellStart"/>
      <w:r w:rsidRPr="00834BFA">
        <w:rPr>
          <w:rFonts w:ascii="Verdana" w:hAnsi="Verdana" w:cs="Arial"/>
          <w:lang w:val="es-VE"/>
        </w:rPr>
        <w:t>intrahepáticos</w:t>
      </w:r>
      <w:proofErr w:type="spellEnd"/>
      <w:r w:rsidRPr="00834BFA">
        <w:rPr>
          <w:rFonts w:ascii="Verdana" w:hAnsi="Verdana" w:cs="Arial"/>
          <w:lang w:val="es-VE"/>
        </w:rPr>
        <w:t>. No hay atenuación del sonido.</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Moderada. Moderado aumento difuso de la ecogenicidad, con dificultad para la valoración del diafragma y vasos </w:t>
      </w:r>
      <w:proofErr w:type="spellStart"/>
      <w:r w:rsidRPr="00834BFA">
        <w:rPr>
          <w:rFonts w:ascii="Verdana" w:hAnsi="Verdana" w:cs="Arial"/>
          <w:lang w:val="es-VE"/>
        </w:rPr>
        <w:t>intrahepático</w:t>
      </w:r>
      <w:proofErr w:type="spellEnd"/>
      <w:r w:rsidRPr="00834BFA">
        <w:rPr>
          <w:rFonts w:ascii="Verdana" w:hAnsi="Verdana" w:cs="Arial"/>
          <w:lang w:val="es-VE"/>
        </w:rPr>
        <w:t>. Hay atenuación del sonido.</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Severo. Marcado aumento de la ecogenicidad, con escasa o nula visualización de las paredes de los vasos intrahepática, del diafragma y de la porción posterior del LHD. Hay atenuación del sonido.</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Se determinaron los datos antropométricos: peso, talla, obesidad abdominal e índice de masa corporal.</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La evaluación ponderal se realizó a partir del índice de masa corporal (IMC) a partir de la medición del peso y la talla   por medio de la formula IMC= peso (kg)/ [talla (m)]2, donde un IMC &lt; 18,5 se corresponde con bajo peso; de 18,5-24,9   con normopeso; 25-29,9 con sobrepeso y ≥30 con obesidad.       </w:t>
      </w:r>
    </w:p>
    <w:p w:rsidR="00834BFA" w:rsidRPr="00834BFA" w:rsidRDefault="00834BFA" w:rsidP="00834BFA">
      <w:pPr>
        <w:spacing w:after="0"/>
        <w:jc w:val="both"/>
        <w:rPr>
          <w:rFonts w:ascii="Verdana" w:hAnsi="Verdana" w:cs="Arial"/>
          <w:lang w:val="es-VE"/>
        </w:rPr>
      </w:pPr>
    </w:p>
    <w:p w:rsidR="0062002A" w:rsidRDefault="0062002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Determinaciones analíticas:</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Se determinaron los marcadores no invasivos para diagnosticar esteatosis y fibrosis en la EHGNA.</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Marcador no invasivo de diagnóstico de EHGNA:</w:t>
      </w:r>
    </w:p>
    <w:p w:rsidR="00834BFA" w:rsidRPr="00834BFA" w:rsidRDefault="00834BFA" w:rsidP="00834BFA">
      <w:pPr>
        <w:spacing w:after="0"/>
        <w:jc w:val="both"/>
        <w:rPr>
          <w:rFonts w:ascii="Verdana" w:hAnsi="Verdana" w:cs="Arial"/>
          <w:lang w:val="es-VE"/>
        </w:rPr>
      </w:pPr>
      <w:proofErr w:type="spellStart"/>
      <w:r w:rsidRPr="00834BFA">
        <w:rPr>
          <w:rFonts w:ascii="Verdana" w:hAnsi="Verdana" w:cs="Arial"/>
          <w:lang w:val="es-VE"/>
        </w:rPr>
        <w:t>Fatty</w:t>
      </w:r>
      <w:proofErr w:type="spellEnd"/>
      <w:r w:rsidRPr="00834BFA">
        <w:rPr>
          <w:rFonts w:ascii="Verdana" w:hAnsi="Verdana" w:cs="Arial"/>
          <w:lang w:val="es-VE"/>
        </w:rPr>
        <w:t xml:space="preserve"> </w:t>
      </w:r>
      <w:proofErr w:type="spellStart"/>
      <w:r w:rsidRPr="00834BFA">
        <w:rPr>
          <w:rFonts w:ascii="Verdana" w:hAnsi="Verdana" w:cs="Arial"/>
          <w:lang w:val="es-VE"/>
        </w:rPr>
        <w:t>Liver</w:t>
      </w:r>
      <w:proofErr w:type="spellEnd"/>
      <w:r w:rsidRPr="00834BFA">
        <w:rPr>
          <w:rFonts w:ascii="Verdana" w:hAnsi="Verdana" w:cs="Arial"/>
          <w:lang w:val="es-VE"/>
        </w:rPr>
        <w:t xml:space="preserve"> </w:t>
      </w:r>
      <w:proofErr w:type="spellStart"/>
      <w:r w:rsidRPr="00834BFA">
        <w:rPr>
          <w:rFonts w:ascii="Verdana" w:hAnsi="Verdana" w:cs="Arial"/>
          <w:lang w:val="es-VE"/>
        </w:rPr>
        <w:t>Index</w:t>
      </w:r>
      <w:proofErr w:type="spellEnd"/>
      <w:r w:rsidRPr="00834BFA">
        <w:rPr>
          <w:rFonts w:ascii="Verdana" w:hAnsi="Verdana" w:cs="Arial"/>
          <w:lang w:val="es-VE"/>
        </w:rPr>
        <w:t xml:space="preserve"> (FLI): es un marcador serológico que incluye las variables, índice de masa corporal (IMC), perímetro abdominal, triglicéridos, gamma-</w:t>
      </w:r>
      <w:proofErr w:type="spellStart"/>
      <w:r w:rsidRPr="00834BFA">
        <w:rPr>
          <w:rFonts w:ascii="Verdana" w:hAnsi="Verdana" w:cs="Arial"/>
          <w:lang w:val="es-VE"/>
        </w:rPr>
        <w:t>glutamil</w:t>
      </w:r>
      <w:proofErr w:type="spellEnd"/>
      <w:r w:rsidRPr="00834BFA">
        <w:rPr>
          <w:rFonts w:ascii="Verdana" w:hAnsi="Verdana" w:cs="Arial"/>
          <w:lang w:val="es-VE"/>
        </w:rPr>
        <w:t>-</w:t>
      </w:r>
      <w:proofErr w:type="spellStart"/>
      <w:r w:rsidRPr="00834BFA">
        <w:rPr>
          <w:rFonts w:ascii="Verdana" w:hAnsi="Verdana" w:cs="Arial"/>
          <w:lang w:val="es-VE"/>
        </w:rPr>
        <w:t>transpeptidasa</w:t>
      </w:r>
      <w:proofErr w:type="spellEnd"/>
      <w:r w:rsidRPr="00834BFA">
        <w:rPr>
          <w:rFonts w:ascii="Verdana" w:hAnsi="Verdana" w:cs="Arial"/>
          <w:lang w:val="es-VE"/>
        </w:rPr>
        <w:t xml:space="preserve"> (GGT) y se calcula a partir de la siguiente fórmula:</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FLI= (e0,953*</w:t>
      </w:r>
      <w:proofErr w:type="spellStart"/>
      <w:r w:rsidRPr="00834BFA">
        <w:rPr>
          <w:rFonts w:ascii="Verdana" w:hAnsi="Verdana" w:cs="Arial"/>
          <w:lang w:val="es-VE"/>
        </w:rPr>
        <w:t>loge</w:t>
      </w:r>
      <w:proofErr w:type="spellEnd"/>
      <w:r w:rsidRPr="00834BFA">
        <w:rPr>
          <w:rFonts w:ascii="Verdana" w:hAnsi="Verdana" w:cs="Arial"/>
          <w:lang w:val="es-VE"/>
        </w:rPr>
        <w:t xml:space="preserve"> (triglicéridos)+0,139*IMC+0,718*</w:t>
      </w:r>
      <w:proofErr w:type="spellStart"/>
      <w:r w:rsidRPr="00834BFA">
        <w:rPr>
          <w:rFonts w:ascii="Verdana" w:hAnsi="Verdana" w:cs="Arial"/>
          <w:lang w:val="es-VE"/>
        </w:rPr>
        <w:t>loge</w:t>
      </w:r>
      <w:proofErr w:type="spellEnd"/>
      <w:r w:rsidRPr="00834BFA">
        <w:rPr>
          <w:rFonts w:ascii="Verdana" w:hAnsi="Verdana" w:cs="Arial"/>
          <w:lang w:val="es-VE"/>
        </w:rPr>
        <w:t>(GGT)+0,053*perímetro</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abdominal−15745) </w:t>
      </w:r>
      <w:proofErr w:type="gramStart"/>
      <w:r w:rsidRPr="00834BFA">
        <w:rPr>
          <w:rFonts w:ascii="Verdana" w:hAnsi="Verdana" w:cs="Arial"/>
          <w:lang w:val="es-VE"/>
        </w:rPr>
        <w:t>/(</w:t>
      </w:r>
      <w:proofErr w:type="gramEnd"/>
      <w:r w:rsidRPr="00834BFA">
        <w:rPr>
          <w:rFonts w:ascii="Verdana" w:hAnsi="Verdana" w:cs="Arial"/>
          <w:lang w:val="es-VE"/>
        </w:rPr>
        <w:t>1 +e0,953*</w:t>
      </w:r>
      <w:proofErr w:type="spellStart"/>
      <w:r w:rsidRPr="00834BFA">
        <w:rPr>
          <w:rFonts w:ascii="Verdana" w:hAnsi="Verdana" w:cs="Arial"/>
          <w:lang w:val="es-VE"/>
        </w:rPr>
        <w:t>loge</w:t>
      </w:r>
      <w:proofErr w:type="spellEnd"/>
      <w:r w:rsidRPr="00834BFA">
        <w:rPr>
          <w:rFonts w:ascii="Verdana" w:hAnsi="Verdana" w:cs="Arial"/>
          <w:lang w:val="es-VE"/>
        </w:rPr>
        <w:t xml:space="preserve"> (triglicéridos)+0,139*IMC+0,718*</w:t>
      </w:r>
      <w:proofErr w:type="spellStart"/>
      <w:r w:rsidRPr="00834BFA">
        <w:rPr>
          <w:rFonts w:ascii="Verdana" w:hAnsi="Verdana" w:cs="Arial"/>
          <w:lang w:val="es-VE"/>
        </w:rPr>
        <w:t>loge</w:t>
      </w:r>
      <w:proofErr w:type="spellEnd"/>
      <w:r w:rsidRPr="00834BFA">
        <w:rPr>
          <w:rFonts w:ascii="Verdana" w:hAnsi="Verdana" w:cs="Arial"/>
          <w:lang w:val="es-VE"/>
        </w:rPr>
        <w:t>(GGT)</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+ 0,053*perímetroabdominal−15.745) *100.</w:t>
      </w:r>
    </w:p>
    <w:p w:rsidR="00834BFA" w:rsidRPr="00834BFA" w:rsidRDefault="00C13CB4" w:rsidP="00834BFA">
      <w:pPr>
        <w:spacing w:after="0"/>
        <w:jc w:val="both"/>
        <w:rPr>
          <w:rFonts w:ascii="Verdana" w:hAnsi="Verdana" w:cs="Arial"/>
          <w:lang w:val="es-VE"/>
        </w:rPr>
      </w:pPr>
      <w:hyperlink r:id="rId6" w:history="1">
        <w:r w:rsidR="00834BFA" w:rsidRPr="00834BFA">
          <w:rPr>
            <w:rStyle w:val="Hipervnculo"/>
            <w:rFonts w:ascii="Verdana" w:hAnsi="Verdana" w:cs="Arial"/>
            <w:lang w:val="es-VE"/>
          </w:rPr>
          <w:t>https://www.mdcalc.com/fatty-liver-index</w:t>
        </w:r>
      </w:hyperlink>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La puntuación BARD es un sistema o score de puntaje no invasivo para evaluar el grado de fibrosis en la EHGNA y se calculó asignando puntos a los siguientes parámetros: IMC, Relación AST / ALT, DMT2.</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 Interpretación</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AST/ALT ≥ 0,8:   2 puntos </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AST/ALT &lt;0,8 = 0 puntos                                              &lt; 2: excluye F. AVANZADA</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IMC ≥ 28 Kg/m2: 1 punto</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IMC &lt;28 kg / m2 = 0 punto                                             ≥ 2: predice FA</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DMt2 recién reconocido o preexistente: 1 punto</w:t>
      </w:r>
    </w:p>
    <w:p w:rsidR="00834BFA" w:rsidRPr="00834BFA" w:rsidRDefault="00C13CB4" w:rsidP="00834BFA">
      <w:pPr>
        <w:spacing w:after="0"/>
        <w:jc w:val="both"/>
        <w:rPr>
          <w:rFonts w:ascii="Verdana" w:hAnsi="Verdana" w:cs="Arial"/>
          <w:lang w:val="es-VE"/>
        </w:rPr>
      </w:pPr>
      <w:hyperlink r:id="rId7" w:history="1">
        <w:r w:rsidR="00834BFA" w:rsidRPr="00834BFA">
          <w:rPr>
            <w:rStyle w:val="Hipervnculo"/>
            <w:rFonts w:ascii="Verdana" w:hAnsi="Verdana" w:cs="Arial"/>
            <w:lang w:val="es-VE"/>
          </w:rPr>
          <w:t>https://www.mdcalc.com/bard-score-nafld-fibrosis</w:t>
        </w:r>
      </w:hyperlink>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Los pacientes incluidos en la investigación fueron remitidos de la consulta de endocrinología con el diagnóstico de diabetes mellitus tipo 2, previo consentimiento informado, fueron recogidos mediante el interrogatorio los datos sociodemográficos, se realizó una ecografía abdominal para definir la presencia o no de hígado graso la cual fue realizada por un mismo observador y se determinó la evaluación ponderal según el índice de masa corporal. Se confeccionó una base de datos para cada paciente, dejando constancia de los datos demográficos, ecográficos y evaluación ponderal.</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Procesamiento de la información y métodos estadísticos.</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Se confeccionó una base de datos para cada paciente con la utilización del programa Microsoft Excel.</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Los resultados obtenidos se procesaron mediante el programa SPSS versión 21.0.</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lastRenderedPageBreak/>
        <w:t xml:space="preserve">Se utilizó la prueba de independencia con estadígrafo </w:t>
      </w:r>
      <w:proofErr w:type="spellStart"/>
      <w:r w:rsidRPr="00834BFA">
        <w:rPr>
          <w:rFonts w:ascii="Verdana" w:hAnsi="Verdana" w:cs="Arial"/>
          <w:lang w:val="es-VE"/>
        </w:rPr>
        <w:t>chi</w:t>
      </w:r>
      <w:proofErr w:type="spellEnd"/>
      <w:r w:rsidRPr="00834BFA">
        <w:rPr>
          <w:rFonts w:ascii="Verdana" w:hAnsi="Verdana" w:cs="Arial"/>
          <w:lang w:val="es-VE"/>
        </w:rPr>
        <w:t xml:space="preserve"> cuadrado de Pearson para evaluar relación entre variables nominales y su corrección por continuidad de Yates para tablas 2x2, y el estadístico exacto de Fisher para datos que no cumplen con los supuestos de las frecuencias esperadas, fijando un nivel de significación de 0,05 y por tanto una confiabilidad del 95%.</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Se utilizó además la prueba de </w:t>
      </w:r>
      <w:proofErr w:type="spellStart"/>
      <w:r w:rsidRPr="00834BFA">
        <w:rPr>
          <w:rFonts w:ascii="Verdana" w:hAnsi="Verdana" w:cs="Arial"/>
          <w:lang w:val="es-VE"/>
        </w:rPr>
        <w:t>Kruskal</w:t>
      </w:r>
      <w:proofErr w:type="spellEnd"/>
      <w:r w:rsidRPr="00834BFA">
        <w:rPr>
          <w:rFonts w:ascii="Verdana" w:hAnsi="Verdana" w:cs="Arial"/>
          <w:lang w:val="es-VE"/>
        </w:rPr>
        <w:t>-Wallis para evaluar relación entre variables ordinales en más de 2 muestras independientes.</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En la investigación se siguieron las directrices sobre buenas prácticas clínicas considerados en la Declaración de Helsinki </w:t>
      </w:r>
      <w:proofErr w:type="spellStart"/>
      <w:r w:rsidRPr="00834BFA">
        <w:rPr>
          <w:rFonts w:ascii="Verdana" w:hAnsi="Verdana" w:cs="Arial"/>
          <w:lang w:val="es-VE"/>
        </w:rPr>
        <w:t>World</w:t>
      </w:r>
      <w:proofErr w:type="spellEnd"/>
      <w:r w:rsidRPr="00834BFA">
        <w:rPr>
          <w:rFonts w:ascii="Verdana" w:hAnsi="Verdana" w:cs="Arial"/>
          <w:lang w:val="es-VE"/>
        </w:rPr>
        <w:t xml:space="preserve"> Medical </w:t>
      </w:r>
      <w:proofErr w:type="spellStart"/>
      <w:r w:rsidRPr="00834BFA">
        <w:rPr>
          <w:rFonts w:ascii="Verdana" w:hAnsi="Verdana" w:cs="Arial"/>
          <w:lang w:val="es-VE"/>
        </w:rPr>
        <w:t>Association</w:t>
      </w:r>
      <w:proofErr w:type="spellEnd"/>
      <w:r w:rsidRPr="00834BFA">
        <w:rPr>
          <w:rFonts w:ascii="Verdana" w:hAnsi="Verdana" w:cs="Arial"/>
          <w:lang w:val="es-VE"/>
        </w:rPr>
        <w:t xml:space="preserve"> y bajo los preceptos de autonomía, beneficencia, no-maleficencia y justicia contemplados en el Código Internacional de Ética Médica. Los pacientes incluidos firmaron voluntariamente el consentimiento informado después de informarles las características del estudio y sus beneficios respetando la confidencialidad en cuanto a su identidad.</w:t>
      </w:r>
    </w:p>
    <w:p w:rsidR="00834BFA" w:rsidRPr="00834BFA" w:rsidRDefault="00834BFA" w:rsidP="00834BFA">
      <w:pPr>
        <w:spacing w:after="0"/>
        <w:jc w:val="both"/>
        <w:rPr>
          <w:rFonts w:ascii="Verdana" w:hAnsi="Verdana" w:cs="Arial"/>
          <w:lang w:val="es-VE"/>
        </w:rPr>
      </w:pPr>
      <w:r w:rsidRPr="00834BFA">
        <w:rPr>
          <w:rFonts w:ascii="Verdana" w:hAnsi="Verdana" w:cs="Arial"/>
          <w:lang w:val="es-VE"/>
        </w:rPr>
        <w:t>Esta investigación fue evaluada y aprobada por el Consejo Científico y el Comité de Ética del Hospital Provincial Docente Dr. Antonio Luaces Iraola, de Ciego de Ávila.</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b/>
          <w:lang w:val="es-VE"/>
        </w:rPr>
      </w:pPr>
      <w:r w:rsidRPr="00834BFA">
        <w:rPr>
          <w:rFonts w:ascii="Verdana" w:hAnsi="Verdana" w:cs="Arial"/>
          <w:b/>
          <w:lang w:val="es-VE"/>
        </w:rPr>
        <w:t>Resultados</w:t>
      </w:r>
      <w:r w:rsidR="0062002A">
        <w:rPr>
          <w:rFonts w:ascii="Verdana" w:hAnsi="Verdana" w:cs="Arial"/>
          <w:b/>
          <w:lang w:val="es-VE"/>
        </w:rPr>
        <w:t xml:space="preserve"> y discusión </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En el estudio participaron un total de 85 pacientes, de ellos 56 presentaron criterios ecográficos para el diagnóstico de hígado graso representando el 65,8 %.</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En la siguiente tabla se observa un predominio en el sexo femenino con 32 casos que representa el 57,1%; el grupo etario más afectado fue el de 49 a 58 años con 22 pacientes, seguido del grupo de 39-48 con 13, mientras que el de 18 a 28 fue el que aportó el menor número de casos.</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Tabla 1. Distribución de los pacientes con diabetes tipo 2 e hígado graso no alcohólico según sexo y grupos de edades.</w:t>
      </w:r>
    </w:p>
    <w:p w:rsidR="00834BFA" w:rsidRPr="00834BFA" w:rsidRDefault="00834BFA" w:rsidP="00834BFA">
      <w:pPr>
        <w:spacing w:after="0"/>
        <w:jc w:val="both"/>
        <w:rPr>
          <w:rFonts w:ascii="Verdana" w:hAnsi="Verdana" w:cs="Arial"/>
          <w:lang w:val="es-VE"/>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078"/>
        <w:gridCol w:w="1077"/>
        <w:gridCol w:w="1077"/>
        <w:gridCol w:w="1077"/>
        <w:gridCol w:w="1078"/>
        <w:gridCol w:w="1077"/>
        <w:gridCol w:w="1077"/>
      </w:tblGrid>
      <w:tr w:rsidR="00834BFA" w:rsidRPr="00834BFA" w:rsidTr="009E74EC">
        <w:trPr>
          <w:trHeight w:val="432"/>
          <w:jc w:val="center"/>
        </w:trPr>
        <w:tc>
          <w:tcPr>
            <w:tcW w:w="1354" w:type="dxa"/>
            <w:vMerge w:val="restart"/>
            <w:shd w:val="clear" w:color="auto" w:fill="auto"/>
          </w:tcPr>
          <w:p w:rsidR="00834BFA" w:rsidRPr="00834BFA" w:rsidRDefault="00834BFA" w:rsidP="009E74EC">
            <w:pPr>
              <w:jc w:val="both"/>
              <w:rPr>
                <w:rFonts w:ascii="Verdana" w:hAnsi="Verdana" w:cs="Arial"/>
              </w:rPr>
            </w:pPr>
          </w:p>
          <w:p w:rsidR="00834BFA" w:rsidRPr="00834BFA" w:rsidRDefault="00834BFA" w:rsidP="009E74EC">
            <w:pPr>
              <w:jc w:val="both"/>
              <w:rPr>
                <w:rFonts w:ascii="Verdana" w:hAnsi="Verdana" w:cs="Arial"/>
              </w:rPr>
            </w:pPr>
            <w:r w:rsidRPr="00834BFA">
              <w:rPr>
                <w:rFonts w:ascii="Verdana" w:hAnsi="Verdana" w:cs="Arial"/>
              </w:rPr>
              <w:t xml:space="preserve">SEXO </w:t>
            </w:r>
          </w:p>
          <w:p w:rsidR="00834BFA" w:rsidRPr="00834BFA" w:rsidRDefault="00834BFA" w:rsidP="009E74EC">
            <w:pPr>
              <w:jc w:val="both"/>
              <w:rPr>
                <w:rFonts w:ascii="Verdana" w:hAnsi="Verdana" w:cs="Arial"/>
              </w:rPr>
            </w:pPr>
          </w:p>
        </w:tc>
        <w:tc>
          <w:tcPr>
            <w:tcW w:w="5387" w:type="dxa"/>
            <w:gridSpan w:val="5"/>
            <w:shd w:val="clear" w:color="auto" w:fill="auto"/>
          </w:tcPr>
          <w:p w:rsidR="00834BFA" w:rsidRPr="00834BFA" w:rsidRDefault="00834BFA" w:rsidP="009E74EC">
            <w:pPr>
              <w:jc w:val="both"/>
              <w:rPr>
                <w:rFonts w:ascii="Verdana" w:hAnsi="Verdana" w:cs="Arial"/>
              </w:rPr>
            </w:pPr>
            <w:r w:rsidRPr="00834BFA">
              <w:rPr>
                <w:rFonts w:ascii="Verdana" w:hAnsi="Verdana" w:cs="Arial"/>
              </w:rPr>
              <w:t>GRUPOS DE EDAD  (AÑOS)</w:t>
            </w:r>
          </w:p>
        </w:tc>
        <w:tc>
          <w:tcPr>
            <w:tcW w:w="1077" w:type="dxa"/>
            <w:vMerge w:val="restart"/>
            <w:shd w:val="clear" w:color="auto" w:fill="auto"/>
          </w:tcPr>
          <w:p w:rsidR="00834BFA" w:rsidRPr="00834BFA" w:rsidRDefault="00834BFA" w:rsidP="009E74EC">
            <w:pPr>
              <w:jc w:val="both"/>
              <w:rPr>
                <w:rFonts w:ascii="Verdana" w:hAnsi="Verdana" w:cs="Arial"/>
              </w:rPr>
            </w:pPr>
            <w:r w:rsidRPr="00834BFA">
              <w:rPr>
                <w:rFonts w:ascii="Verdana" w:hAnsi="Verdana" w:cs="Arial"/>
              </w:rPr>
              <w:t>No</w:t>
            </w:r>
          </w:p>
        </w:tc>
        <w:tc>
          <w:tcPr>
            <w:tcW w:w="1077" w:type="dxa"/>
            <w:vMerge w:val="restart"/>
            <w:shd w:val="clear" w:color="auto" w:fill="auto"/>
          </w:tcPr>
          <w:p w:rsidR="00834BFA" w:rsidRPr="00834BFA" w:rsidRDefault="00834BFA" w:rsidP="009E74EC">
            <w:pPr>
              <w:jc w:val="both"/>
              <w:rPr>
                <w:rFonts w:ascii="Verdana" w:hAnsi="Verdana" w:cs="Arial"/>
              </w:rPr>
            </w:pPr>
            <w:r w:rsidRPr="00834BFA">
              <w:rPr>
                <w:rFonts w:ascii="Verdana" w:hAnsi="Verdana" w:cs="Arial"/>
              </w:rPr>
              <w:t>%</w:t>
            </w:r>
          </w:p>
        </w:tc>
      </w:tr>
      <w:tr w:rsidR="00834BFA" w:rsidRPr="00834BFA" w:rsidTr="009E74EC">
        <w:trPr>
          <w:trHeight w:val="546"/>
          <w:jc w:val="center"/>
        </w:trPr>
        <w:tc>
          <w:tcPr>
            <w:tcW w:w="1354" w:type="dxa"/>
            <w:vMerge/>
            <w:shd w:val="clear" w:color="auto" w:fill="auto"/>
          </w:tcPr>
          <w:p w:rsidR="00834BFA" w:rsidRPr="00834BFA" w:rsidRDefault="00834BFA" w:rsidP="009E74EC">
            <w:pPr>
              <w:jc w:val="both"/>
              <w:rPr>
                <w:rFonts w:ascii="Verdana" w:hAnsi="Verdana" w:cs="Arial"/>
              </w:rPr>
            </w:pP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 xml:space="preserve">18-28 </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 xml:space="preserve">29-38 </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 xml:space="preserve">39-48 </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 xml:space="preserve">49-58 </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 xml:space="preserve">≥59 </w:t>
            </w:r>
          </w:p>
        </w:tc>
        <w:tc>
          <w:tcPr>
            <w:tcW w:w="1077" w:type="dxa"/>
            <w:vMerge/>
            <w:shd w:val="clear" w:color="auto" w:fill="auto"/>
          </w:tcPr>
          <w:p w:rsidR="00834BFA" w:rsidRPr="00834BFA" w:rsidRDefault="00834BFA" w:rsidP="009E74EC">
            <w:pPr>
              <w:jc w:val="both"/>
              <w:rPr>
                <w:rFonts w:ascii="Verdana" w:hAnsi="Verdana" w:cs="Arial"/>
              </w:rPr>
            </w:pPr>
          </w:p>
        </w:tc>
        <w:tc>
          <w:tcPr>
            <w:tcW w:w="1077" w:type="dxa"/>
            <w:vMerge/>
            <w:shd w:val="clear" w:color="auto" w:fill="auto"/>
          </w:tcPr>
          <w:p w:rsidR="00834BFA" w:rsidRPr="00834BFA" w:rsidRDefault="00834BFA" w:rsidP="009E74EC">
            <w:pPr>
              <w:jc w:val="both"/>
              <w:rPr>
                <w:rFonts w:ascii="Verdana" w:hAnsi="Verdana" w:cs="Arial"/>
              </w:rPr>
            </w:pPr>
          </w:p>
        </w:tc>
      </w:tr>
      <w:tr w:rsidR="00834BFA" w:rsidRPr="00834BFA" w:rsidTr="009E74EC">
        <w:trPr>
          <w:trHeight w:val="432"/>
          <w:jc w:val="center"/>
        </w:trPr>
        <w:tc>
          <w:tcPr>
            <w:tcW w:w="1354" w:type="dxa"/>
            <w:shd w:val="clear" w:color="auto" w:fill="auto"/>
          </w:tcPr>
          <w:p w:rsidR="00834BFA" w:rsidRPr="00834BFA" w:rsidRDefault="00834BFA" w:rsidP="009E74EC">
            <w:pPr>
              <w:jc w:val="both"/>
              <w:rPr>
                <w:rFonts w:ascii="Verdana" w:hAnsi="Verdana" w:cs="Arial"/>
              </w:rPr>
            </w:pPr>
            <w:r w:rsidRPr="00834BFA">
              <w:rPr>
                <w:rFonts w:ascii="Verdana" w:hAnsi="Verdana" w:cs="Arial"/>
              </w:rPr>
              <w:t xml:space="preserve">Femenino </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3</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6</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8</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10</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5</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32</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57,1</w:t>
            </w:r>
          </w:p>
        </w:tc>
      </w:tr>
      <w:tr w:rsidR="00834BFA" w:rsidRPr="00834BFA" w:rsidTr="009E74EC">
        <w:trPr>
          <w:trHeight w:val="432"/>
          <w:jc w:val="center"/>
        </w:trPr>
        <w:tc>
          <w:tcPr>
            <w:tcW w:w="1354" w:type="dxa"/>
            <w:shd w:val="clear" w:color="auto" w:fill="auto"/>
          </w:tcPr>
          <w:p w:rsidR="00834BFA" w:rsidRPr="00834BFA" w:rsidRDefault="00834BFA" w:rsidP="009E74EC">
            <w:pPr>
              <w:jc w:val="both"/>
              <w:rPr>
                <w:rFonts w:ascii="Verdana" w:hAnsi="Verdana" w:cs="Arial"/>
              </w:rPr>
            </w:pPr>
            <w:r w:rsidRPr="00834BFA">
              <w:rPr>
                <w:rFonts w:ascii="Verdana" w:hAnsi="Verdana" w:cs="Arial"/>
              </w:rPr>
              <w:t>Masculino</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0</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3</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5</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12</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4</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24</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42,9</w:t>
            </w:r>
          </w:p>
        </w:tc>
      </w:tr>
      <w:tr w:rsidR="00834BFA" w:rsidRPr="00834BFA" w:rsidTr="009E74EC">
        <w:trPr>
          <w:trHeight w:val="361"/>
          <w:jc w:val="center"/>
        </w:trPr>
        <w:tc>
          <w:tcPr>
            <w:tcW w:w="1354" w:type="dxa"/>
            <w:shd w:val="clear" w:color="auto" w:fill="auto"/>
          </w:tcPr>
          <w:p w:rsidR="00834BFA" w:rsidRPr="00834BFA" w:rsidRDefault="00834BFA" w:rsidP="009E74EC">
            <w:pPr>
              <w:jc w:val="both"/>
              <w:rPr>
                <w:rFonts w:ascii="Verdana" w:hAnsi="Verdana" w:cs="Arial"/>
              </w:rPr>
            </w:pPr>
            <w:r w:rsidRPr="00834BFA">
              <w:rPr>
                <w:rFonts w:ascii="Verdana" w:hAnsi="Verdana" w:cs="Arial"/>
              </w:rPr>
              <w:t>Total</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3</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9</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13</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22</w:t>
            </w:r>
          </w:p>
        </w:tc>
        <w:tc>
          <w:tcPr>
            <w:tcW w:w="1078" w:type="dxa"/>
            <w:shd w:val="clear" w:color="auto" w:fill="auto"/>
          </w:tcPr>
          <w:p w:rsidR="00834BFA" w:rsidRPr="00834BFA" w:rsidRDefault="00834BFA" w:rsidP="009E74EC">
            <w:pPr>
              <w:jc w:val="both"/>
              <w:rPr>
                <w:rFonts w:ascii="Verdana" w:hAnsi="Verdana" w:cs="Arial"/>
              </w:rPr>
            </w:pPr>
            <w:r w:rsidRPr="00834BFA">
              <w:rPr>
                <w:rFonts w:ascii="Verdana" w:hAnsi="Verdana" w:cs="Arial"/>
              </w:rPr>
              <w:t>9</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56</w:t>
            </w:r>
          </w:p>
        </w:tc>
        <w:tc>
          <w:tcPr>
            <w:tcW w:w="1077" w:type="dxa"/>
            <w:shd w:val="clear" w:color="auto" w:fill="auto"/>
          </w:tcPr>
          <w:p w:rsidR="00834BFA" w:rsidRPr="00834BFA" w:rsidRDefault="00834BFA" w:rsidP="009E74EC">
            <w:pPr>
              <w:jc w:val="both"/>
              <w:rPr>
                <w:rFonts w:ascii="Verdana" w:hAnsi="Verdana" w:cs="Arial"/>
              </w:rPr>
            </w:pPr>
            <w:r w:rsidRPr="00834BFA">
              <w:rPr>
                <w:rFonts w:ascii="Verdana" w:hAnsi="Verdana" w:cs="Arial"/>
              </w:rPr>
              <w:t>100,0</w:t>
            </w:r>
          </w:p>
        </w:tc>
      </w:tr>
    </w:tbl>
    <w:p w:rsidR="00834BFA" w:rsidRPr="00834BFA" w:rsidRDefault="00834BFA" w:rsidP="00834BFA">
      <w:pPr>
        <w:spacing w:after="0"/>
        <w:jc w:val="both"/>
        <w:rPr>
          <w:rFonts w:ascii="Verdana" w:hAnsi="Verdana" w:cs="Arial"/>
          <w:lang w:val="es-VE"/>
        </w:rPr>
      </w:pPr>
      <w:r w:rsidRPr="00834BFA">
        <w:rPr>
          <w:rFonts w:ascii="Verdana" w:hAnsi="Verdana" w:cs="Arial"/>
          <w:lang w:val="es-VE"/>
        </w:rPr>
        <w:t>Fuente: Historia Clínica</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lastRenderedPageBreak/>
        <w:t>Según la evaluación ponderal se evidenció el mayor número de pacientes en el grupo sobrepeso con 52 casos, que constituyen el 61,2 % de la muestra, mientras que de los 17 que fueron evaluados de normopeso, 11 presentaban hígado graso no alcohólico, datos que se pueden apreciar en la tabla 2.</w:t>
      </w:r>
    </w:p>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Tabla 2. Pacientes con diabetes tipo 2 según evaluación ponderal y la presencia de hígado graso por ultrasonido (USD).</w:t>
      </w:r>
    </w:p>
    <w:p w:rsidR="00834BFA" w:rsidRPr="00834BFA" w:rsidRDefault="00834BFA" w:rsidP="00834BFA">
      <w:pPr>
        <w:spacing w:after="0"/>
        <w:jc w:val="both"/>
        <w:rPr>
          <w:rFonts w:ascii="Verdana" w:hAnsi="Verdana" w:cs="Arial"/>
          <w:lang w:val="es-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172"/>
        <w:gridCol w:w="1200"/>
        <w:gridCol w:w="1171"/>
        <w:gridCol w:w="1203"/>
        <w:gridCol w:w="1171"/>
        <w:gridCol w:w="1237"/>
      </w:tblGrid>
      <w:tr w:rsidR="00834BFA" w:rsidRPr="00834BFA" w:rsidTr="009E74EC">
        <w:trPr>
          <w:trHeight w:val="334"/>
        </w:trPr>
        <w:tc>
          <w:tcPr>
            <w:tcW w:w="1636" w:type="dxa"/>
            <w:vMerge w:val="restart"/>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EVALUACIÓN PONDERAL</w:t>
            </w:r>
          </w:p>
        </w:tc>
        <w:tc>
          <w:tcPr>
            <w:tcW w:w="4772" w:type="dxa"/>
            <w:gridSpan w:val="4"/>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HGNA</w:t>
            </w:r>
          </w:p>
        </w:tc>
        <w:tc>
          <w:tcPr>
            <w:tcW w:w="2420" w:type="dxa"/>
            <w:gridSpan w:val="2"/>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TOTAL</w:t>
            </w:r>
          </w:p>
        </w:tc>
      </w:tr>
      <w:tr w:rsidR="00834BFA" w:rsidRPr="00834BFA" w:rsidTr="009E74EC">
        <w:trPr>
          <w:trHeight w:val="356"/>
        </w:trPr>
        <w:tc>
          <w:tcPr>
            <w:tcW w:w="1636" w:type="dxa"/>
            <w:vMerge/>
            <w:shd w:val="clear" w:color="auto" w:fill="auto"/>
          </w:tcPr>
          <w:p w:rsidR="00834BFA" w:rsidRPr="00834BFA" w:rsidRDefault="00834BFA" w:rsidP="009E74EC">
            <w:pPr>
              <w:spacing w:after="0"/>
              <w:jc w:val="both"/>
              <w:rPr>
                <w:rFonts w:ascii="Verdana" w:hAnsi="Verdana" w:cs="Arial"/>
                <w:lang w:val="es-MX"/>
              </w:rPr>
            </w:pPr>
          </w:p>
        </w:tc>
        <w:tc>
          <w:tcPr>
            <w:tcW w:w="2385" w:type="dxa"/>
            <w:gridSpan w:val="2"/>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Presente</w:t>
            </w:r>
          </w:p>
        </w:tc>
        <w:tc>
          <w:tcPr>
            <w:tcW w:w="2387" w:type="dxa"/>
            <w:gridSpan w:val="2"/>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Ausente</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No.</w:t>
            </w:r>
          </w:p>
        </w:tc>
        <w:tc>
          <w:tcPr>
            <w:tcW w:w="1242"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w:t>
            </w:r>
          </w:p>
        </w:tc>
      </w:tr>
      <w:tr w:rsidR="00834BFA" w:rsidRPr="00834BFA" w:rsidTr="009E74EC">
        <w:trPr>
          <w:trHeight w:val="356"/>
        </w:trPr>
        <w:tc>
          <w:tcPr>
            <w:tcW w:w="1636" w:type="dxa"/>
            <w:vMerge/>
            <w:shd w:val="clear" w:color="auto" w:fill="auto"/>
          </w:tcPr>
          <w:p w:rsidR="00834BFA" w:rsidRPr="00834BFA" w:rsidRDefault="00834BFA" w:rsidP="009E74EC">
            <w:pPr>
              <w:spacing w:after="0"/>
              <w:jc w:val="both"/>
              <w:rPr>
                <w:rFonts w:ascii="Verdana" w:hAnsi="Verdana" w:cs="Arial"/>
                <w:lang w:val="es-MX"/>
              </w:rPr>
            </w:pPr>
          </w:p>
        </w:tc>
        <w:tc>
          <w:tcPr>
            <w:tcW w:w="117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No.</w:t>
            </w:r>
          </w:p>
        </w:tc>
        <w:tc>
          <w:tcPr>
            <w:tcW w:w="120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No.</w:t>
            </w:r>
          </w:p>
        </w:tc>
        <w:tc>
          <w:tcPr>
            <w:tcW w:w="120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w:t>
            </w:r>
          </w:p>
        </w:tc>
        <w:tc>
          <w:tcPr>
            <w:tcW w:w="1178" w:type="dxa"/>
            <w:shd w:val="clear" w:color="auto" w:fill="auto"/>
          </w:tcPr>
          <w:p w:rsidR="00834BFA" w:rsidRPr="00834BFA" w:rsidRDefault="00834BFA" w:rsidP="009E74EC">
            <w:pPr>
              <w:spacing w:after="0"/>
              <w:jc w:val="both"/>
              <w:rPr>
                <w:rFonts w:ascii="Verdana" w:hAnsi="Verdana" w:cs="Arial"/>
                <w:lang w:val="es-MX"/>
              </w:rPr>
            </w:pPr>
          </w:p>
        </w:tc>
        <w:tc>
          <w:tcPr>
            <w:tcW w:w="1242" w:type="dxa"/>
            <w:shd w:val="clear" w:color="auto" w:fill="auto"/>
          </w:tcPr>
          <w:p w:rsidR="00834BFA" w:rsidRPr="00834BFA" w:rsidRDefault="00834BFA" w:rsidP="009E74EC">
            <w:pPr>
              <w:spacing w:after="0"/>
              <w:jc w:val="both"/>
              <w:rPr>
                <w:rFonts w:ascii="Verdana" w:hAnsi="Verdana" w:cs="Arial"/>
                <w:lang w:val="es-MX"/>
              </w:rPr>
            </w:pPr>
          </w:p>
        </w:tc>
      </w:tr>
      <w:tr w:rsidR="00834BFA" w:rsidRPr="00834BFA" w:rsidTr="009E74EC">
        <w:trPr>
          <w:trHeight w:val="334"/>
        </w:trPr>
        <w:tc>
          <w:tcPr>
            <w:tcW w:w="163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Bajo Peso</w:t>
            </w:r>
          </w:p>
        </w:tc>
        <w:tc>
          <w:tcPr>
            <w:tcW w:w="117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0</w:t>
            </w:r>
          </w:p>
        </w:tc>
        <w:tc>
          <w:tcPr>
            <w:tcW w:w="120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0,0</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4</w:t>
            </w:r>
          </w:p>
        </w:tc>
        <w:tc>
          <w:tcPr>
            <w:tcW w:w="120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13,8</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4</w:t>
            </w:r>
          </w:p>
        </w:tc>
        <w:tc>
          <w:tcPr>
            <w:tcW w:w="1242"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4,7</w:t>
            </w:r>
          </w:p>
        </w:tc>
      </w:tr>
      <w:tr w:rsidR="00834BFA" w:rsidRPr="00834BFA" w:rsidTr="009E74EC">
        <w:trPr>
          <w:trHeight w:val="334"/>
        </w:trPr>
        <w:tc>
          <w:tcPr>
            <w:tcW w:w="163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Normopeso</w:t>
            </w:r>
          </w:p>
        </w:tc>
        <w:tc>
          <w:tcPr>
            <w:tcW w:w="117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11</w:t>
            </w:r>
          </w:p>
        </w:tc>
        <w:tc>
          <w:tcPr>
            <w:tcW w:w="120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19,6</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6</w:t>
            </w:r>
          </w:p>
        </w:tc>
        <w:tc>
          <w:tcPr>
            <w:tcW w:w="120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20,7</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17</w:t>
            </w:r>
          </w:p>
        </w:tc>
        <w:tc>
          <w:tcPr>
            <w:tcW w:w="1242"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20,0</w:t>
            </w:r>
          </w:p>
        </w:tc>
      </w:tr>
      <w:tr w:rsidR="00834BFA" w:rsidRPr="00834BFA" w:rsidTr="009E74EC">
        <w:trPr>
          <w:trHeight w:val="334"/>
        </w:trPr>
        <w:tc>
          <w:tcPr>
            <w:tcW w:w="163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Sobrepeso</w:t>
            </w:r>
          </w:p>
        </w:tc>
        <w:tc>
          <w:tcPr>
            <w:tcW w:w="117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33</w:t>
            </w:r>
          </w:p>
        </w:tc>
        <w:tc>
          <w:tcPr>
            <w:tcW w:w="120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58,9</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19</w:t>
            </w:r>
          </w:p>
        </w:tc>
        <w:tc>
          <w:tcPr>
            <w:tcW w:w="120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65,5</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52</w:t>
            </w:r>
          </w:p>
        </w:tc>
        <w:tc>
          <w:tcPr>
            <w:tcW w:w="1242"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61,2</w:t>
            </w:r>
          </w:p>
        </w:tc>
      </w:tr>
      <w:tr w:rsidR="00834BFA" w:rsidRPr="00834BFA" w:rsidTr="009E74EC">
        <w:trPr>
          <w:trHeight w:val="334"/>
        </w:trPr>
        <w:tc>
          <w:tcPr>
            <w:tcW w:w="163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Obeso</w:t>
            </w:r>
          </w:p>
        </w:tc>
        <w:tc>
          <w:tcPr>
            <w:tcW w:w="117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12</w:t>
            </w:r>
          </w:p>
        </w:tc>
        <w:tc>
          <w:tcPr>
            <w:tcW w:w="1206"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21,4</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0</w:t>
            </w:r>
          </w:p>
        </w:tc>
        <w:tc>
          <w:tcPr>
            <w:tcW w:w="1209"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0,0</w:t>
            </w: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12</w:t>
            </w:r>
          </w:p>
        </w:tc>
        <w:tc>
          <w:tcPr>
            <w:tcW w:w="1242"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14,1</w:t>
            </w:r>
          </w:p>
        </w:tc>
      </w:tr>
      <w:tr w:rsidR="00834BFA" w:rsidRPr="00834BFA" w:rsidTr="009E74EC">
        <w:trPr>
          <w:trHeight w:val="334"/>
        </w:trPr>
        <w:tc>
          <w:tcPr>
            <w:tcW w:w="1636" w:type="dxa"/>
            <w:shd w:val="clear" w:color="auto" w:fill="auto"/>
          </w:tcPr>
          <w:p w:rsidR="00834BFA" w:rsidRPr="00834BFA" w:rsidRDefault="00834BFA" w:rsidP="009E74EC">
            <w:pPr>
              <w:spacing w:after="0"/>
              <w:jc w:val="both"/>
              <w:rPr>
                <w:rFonts w:ascii="Verdana" w:hAnsi="Verdana" w:cs="Arial"/>
                <w:lang w:val="es-MX"/>
              </w:rPr>
            </w:pPr>
          </w:p>
        </w:tc>
        <w:tc>
          <w:tcPr>
            <w:tcW w:w="1179" w:type="dxa"/>
            <w:shd w:val="clear" w:color="auto" w:fill="auto"/>
          </w:tcPr>
          <w:p w:rsidR="00834BFA" w:rsidRPr="00834BFA" w:rsidRDefault="00834BFA" w:rsidP="009E74EC">
            <w:pPr>
              <w:spacing w:after="0"/>
              <w:jc w:val="both"/>
              <w:rPr>
                <w:rFonts w:ascii="Verdana" w:hAnsi="Verdana" w:cs="Arial"/>
                <w:lang w:val="es-MX"/>
              </w:rPr>
            </w:pPr>
          </w:p>
        </w:tc>
        <w:tc>
          <w:tcPr>
            <w:tcW w:w="1206" w:type="dxa"/>
            <w:shd w:val="clear" w:color="auto" w:fill="auto"/>
          </w:tcPr>
          <w:p w:rsidR="00834BFA" w:rsidRPr="00834BFA" w:rsidRDefault="00834BFA" w:rsidP="009E74EC">
            <w:pPr>
              <w:spacing w:after="0"/>
              <w:jc w:val="both"/>
              <w:rPr>
                <w:rFonts w:ascii="Verdana" w:hAnsi="Verdana" w:cs="Arial"/>
                <w:lang w:val="es-MX"/>
              </w:rPr>
            </w:pPr>
          </w:p>
        </w:tc>
        <w:tc>
          <w:tcPr>
            <w:tcW w:w="1178" w:type="dxa"/>
            <w:shd w:val="clear" w:color="auto" w:fill="auto"/>
          </w:tcPr>
          <w:p w:rsidR="00834BFA" w:rsidRPr="00834BFA" w:rsidRDefault="00834BFA" w:rsidP="009E74EC">
            <w:pPr>
              <w:spacing w:after="0"/>
              <w:jc w:val="both"/>
              <w:rPr>
                <w:rFonts w:ascii="Verdana" w:hAnsi="Verdana" w:cs="Arial"/>
                <w:lang w:val="es-MX"/>
              </w:rPr>
            </w:pPr>
          </w:p>
        </w:tc>
        <w:tc>
          <w:tcPr>
            <w:tcW w:w="1209" w:type="dxa"/>
            <w:shd w:val="clear" w:color="auto" w:fill="auto"/>
          </w:tcPr>
          <w:p w:rsidR="00834BFA" w:rsidRPr="00834BFA" w:rsidRDefault="00834BFA" w:rsidP="009E74EC">
            <w:pPr>
              <w:spacing w:after="0"/>
              <w:jc w:val="both"/>
              <w:rPr>
                <w:rFonts w:ascii="Verdana" w:hAnsi="Verdana" w:cs="Arial"/>
                <w:lang w:val="es-MX"/>
              </w:rPr>
            </w:pPr>
          </w:p>
        </w:tc>
        <w:tc>
          <w:tcPr>
            <w:tcW w:w="1178"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85</w:t>
            </w:r>
          </w:p>
        </w:tc>
        <w:tc>
          <w:tcPr>
            <w:tcW w:w="1242" w:type="dxa"/>
            <w:shd w:val="clear" w:color="auto" w:fill="auto"/>
          </w:tcPr>
          <w:p w:rsidR="00834BFA" w:rsidRPr="00834BFA" w:rsidRDefault="00834BFA" w:rsidP="009E74EC">
            <w:pPr>
              <w:spacing w:after="0"/>
              <w:jc w:val="both"/>
              <w:rPr>
                <w:rFonts w:ascii="Verdana" w:hAnsi="Verdana" w:cs="Arial"/>
                <w:lang w:val="es-MX"/>
              </w:rPr>
            </w:pPr>
            <w:r w:rsidRPr="00834BFA">
              <w:rPr>
                <w:rFonts w:ascii="Verdana" w:hAnsi="Verdana" w:cs="Arial"/>
                <w:lang w:val="es-MX"/>
              </w:rPr>
              <w:t>100,0</w:t>
            </w:r>
          </w:p>
        </w:tc>
      </w:tr>
    </w:tbl>
    <w:p w:rsidR="00834BFA" w:rsidRPr="00834BFA" w:rsidRDefault="00834BFA" w:rsidP="00834BFA">
      <w:pPr>
        <w:spacing w:after="0"/>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La siguiente tabla muestra un predominio del esteatosis moderada, donde 26 de los 56 pacientes con hígado graso según ecografía, presentaban esta condición observando el mayor número de casos en el grupo sobrepeso (60,6%), también es válido señalar que la mayoría de los obesos presentaban un grado severo de esteatosis. Se observó una relación entre evaluación ponderal y el grado de esteatosis con un aumento significativo de la severidad en la esteatosis en la medida que aumentó la evaluación ponderal.</w:t>
      </w:r>
    </w:p>
    <w:p w:rsidR="00834BFA" w:rsidRPr="00834BFA" w:rsidRDefault="00834BFA" w:rsidP="00834BFA">
      <w:pPr>
        <w:spacing w:after="0"/>
        <w:jc w:val="both"/>
        <w:rPr>
          <w:rFonts w:ascii="Verdana" w:hAnsi="Verdana" w:cs="Arial"/>
          <w:lang w:val="es-ES"/>
        </w:rPr>
      </w:pPr>
    </w:p>
    <w:p w:rsidR="00834BFA" w:rsidRPr="00834BFA" w:rsidRDefault="00834BFA" w:rsidP="00834BFA">
      <w:pPr>
        <w:spacing w:after="0"/>
        <w:jc w:val="both"/>
        <w:rPr>
          <w:rFonts w:ascii="Verdana" w:hAnsi="Verdana" w:cs="Arial"/>
          <w:lang w:val="es-ES"/>
        </w:rPr>
      </w:pPr>
      <w:r w:rsidRPr="00834BFA">
        <w:rPr>
          <w:rFonts w:ascii="Verdana" w:hAnsi="Verdana" w:cs="Arial"/>
          <w:lang w:val="es-ES"/>
        </w:rPr>
        <w:t>Tabla 3. Pacientes con diabetes tipo 2 según la evaluación ponderal y el grado de esteatosis por ecografía.</w:t>
      </w:r>
    </w:p>
    <w:p w:rsidR="00834BFA" w:rsidRPr="00834BFA" w:rsidRDefault="00834BFA" w:rsidP="00834BFA">
      <w:pPr>
        <w:spacing w:after="0"/>
        <w:jc w:val="both"/>
        <w:rPr>
          <w:rFonts w:ascii="Verdana" w:hAnsi="Verdana" w:cs="Arial"/>
          <w:lang w:val="es-ES"/>
        </w:rPr>
      </w:pPr>
    </w:p>
    <w:tbl>
      <w:tblPr>
        <w:tblW w:w="8839" w:type="dxa"/>
        <w:jc w:val="center"/>
        <w:tblCellMar>
          <w:left w:w="70" w:type="dxa"/>
          <w:right w:w="70" w:type="dxa"/>
        </w:tblCellMar>
        <w:tblLook w:val="04A0" w:firstRow="1" w:lastRow="0" w:firstColumn="1" w:lastColumn="0" w:noHBand="0" w:noVBand="1"/>
      </w:tblPr>
      <w:tblGrid>
        <w:gridCol w:w="1557"/>
        <w:gridCol w:w="738"/>
        <w:gridCol w:w="863"/>
        <w:gridCol w:w="862"/>
        <w:gridCol w:w="780"/>
        <w:gridCol w:w="861"/>
        <w:gridCol w:w="822"/>
        <w:gridCol w:w="820"/>
        <w:gridCol w:w="822"/>
        <w:gridCol w:w="780"/>
      </w:tblGrid>
      <w:tr w:rsidR="0062002A" w:rsidRPr="00834BFA" w:rsidTr="0062002A">
        <w:trPr>
          <w:trHeight w:val="330"/>
          <w:jc w:val="center"/>
        </w:trPr>
        <w:tc>
          <w:tcPr>
            <w:tcW w:w="15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GRADO ESTEATOSIS (USD)</w:t>
            </w:r>
          </w:p>
        </w:tc>
        <w:tc>
          <w:tcPr>
            <w:tcW w:w="4911" w:type="dxa"/>
            <w:gridSpan w:val="6"/>
            <w:tcBorders>
              <w:top w:val="single" w:sz="4" w:space="0" w:color="auto"/>
              <w:left w:val="nil"/>
              <w:bottom w:val="single" w:sz="4" w:space="0" w:color="auto"/>
              <w:right w:val="single" w:sz="4" w:space="0" w:color="000000"/>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EVALUACIÓN PONDERAL</w:t>
            </w:r>
          </w:p>
        </w:tc>
        <w:tc>
          <w:tcPr>
            <w:tcW w:w="16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TOTAL</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p*</w:t>
            </w:r>
          </w:p>
          <w:p w:rsidR="00834BFA" w:rsidRPr="0062002A" w:rsidRDefault="00834BFA" w:rsidP="009E74EC">
            <w:pPr>
              <w:jc w:val="both"/>
              <w:rPr>
                <w:rFonts w:ascii="Verdana" w:hAnsi="Verdana" w:cs="Arial"/>
              </w:rPr>
            </w:pPr>
          </w:p>
        </w:tc>
      </w:tr>
      <w:tr w:rsidR="0062002A" w:rsidRPr="00834BFA" w:rsidTr="0062002A">
        <w:trPr>
          <w:trHeight w:val="330"/>
          <w:jc w:val="center"/>
        </w:trPr>
        <w:tc>
          <w:tcPr>
            <w:tcW w:w="15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4BFA" w:rsidRPr="0062002A" w:rsidRDefault="00834BFA" w:rsidP="009E74EC">
            <w:pPr>
              <w:jc w:val="both"/>
              <w:rPr>
                <w:rFonts w:ascii="Verdana" w:hAnsi="Verdana" w:cs="Arial"/>
              </w:rPr>
            </w:pPr>
          </w:p>
        </w:tc>
        <w:tc>
          <w:tcPr>
            <w:tcW w:w="160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Normopeso</w:t>
            </w:r>
          </w:p>
        </w:tc>
        <w:tc>
          <w:tcPr>
            <w:tcW w:w="162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Sobrepeso</w:t>
            </w:r>
          </w:p>
        </w:tc>
        <w:tc>
          <w:tcPr>
            <w:tcW w:w="168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Obeso</w:t>
            </w:r>
          </w:p>
        </w:tc>
        <w:tc>
          <w:tcPr>
            <w:tcW w:w="1642" w:type="dxa"/>
            <w:gridSpan w:val="2"/>
            <w:vMerge/>
            <w:tcBorders>
              <w:top w:val="single" w:sz="4" w:space="0" w:color="auto"/>
              <w:left w:val="single" w:sz="4" w:space="0" w:color="auto"/>
              <w:bottom w:val="single" w:sz="4" w:space="0" w:color="auto"/>
              <w:right w:val="single" w:sz="4" w:space="0" w:color="auto"/>
            </w:tcBorders>
            <w:vAlign w:val="center"/>
            <w:hideMark/>
          </w:tcPr>
          <w:p w:rsidR="00834BFA" w:rsidRPr="0062002A" w:rsidRDefault="00834BFA" w:rsidP="009E74EC">
            <w:pPr>
              <w:jc w:val="both"/>
              <w:rPr>
                <w:rFonts w:ascii="Verdana" w:hAnsi="Verdana" w:cs="Arial"/>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834BFA" w:rsidRPr="0062002A" w:rsidRDefault="00834BFA" w:rsidP="009E74EC">
            <w:pPr>
              <w:jc w:val="both"/>
              <w:rPr>
                <w:rFonts w:ascii="Verdana" w:hAnsi="Verdana" w:cs="Arial"/>
              </w:rPr>
            </w:pPr>
          </w:p>
        </w:tc>
      </w:tr>
      <w:tr w:rsidR="0062002A" w:rsidRPr="00834BFA" w:rsidTr="0062002A">
        <w:trPr>
          <w:trHeight w:val="330"/>
          <w:jc w:val="center"/>
        </w:trPr>
        <w:tc>
          <w:tcPr>
            <w:tcW w:w="15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4BFA" w:rsidRPr="0062002A" w:rsidRDefault="00834BFA" w:rsidP="009E74EC">
            <w:pPr>
              <w:jc w:val="both"/>
              <w:rPr>
                <w:rFonts w:ascii="Verdana" w:hAnsi="Verdana" w:cs="Arial"/>
              </w:rPr>
            </w:pPr>
          </w:p>
        </w:tc>
        <w:tc>
          <w:tcPr>
            <w:tcW w:w="738"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No.</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No.</w:t>
            </w:r>
          </w:p>
        </w:tc>
        <w:tc>
          <w:tcPr>
            <w:tcW w:w="763"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w:t>
            </w:r>
          </w:p>
        </w:tc>
        <w:tc>
          <w:tcPr>
            <w:tcW w:w="861"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No.</w:t>
            </w:r>
          </w:p>
        </w:tc>
        <w:tc>
          <w:tcPr>
            <w:tcW w:w="822"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w:t>
            </w:r>
          </w:p>
        </w:tc>
        <w:tc>
          <w:tcPr>
            <w:tcW w:w="820"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No.</w:t>
            </w:r>
          </w:p>
        </w:tc>
        <w:tc>
          <w:tcPr>
            <w:tcW w:w="821"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834BFA" w:rsidRPr="0062002A" w:rsidRDefault="00834BFA" w:rsidP="009E74EC">
            <w:pPr>
              <w:jc w:val="both"/>
              <w:rPr>
                <w:rFonts w:ascii="Verdana" w:hAnsi="Verdana" w:cs="Arial"/>
              </w:rPr>
            </w:pPr>
          </w:p>
        </w:tc>
      </w:tr>
      <w:tr w:rsidR="0062002A" w:rsidRPr="00834BFA" w:rsidTr="0062002A">
        <w:trPr>
          <w:trHeight w:val="330"/>
          <w:jc w:val="center"/>
        </w:trPr>
        <w:tc>
          <w:tcPr>
            <w:tcW w:w="1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34BFA" w:rsidRPr="0062002A" w:rsidRDefault="00834BFA" w:rsidP="009E74EC">
            <w:pPr>
              <w:jc w:val="both"/>
              <w:rPr>
                <w:rFonts w:ascii="Verdana" w:hAnsi="Verdana" w:cs="Arial"/>
              </w:rPr>
            </w:pPr>
            <w:r w:rsidRPr="0062002A">
              <w:rPr>
                <w:rFonts w:ascii="Verdana" w:hAnsi="Verdana" w:cs="Arial"/>
              </w:rPr>
              <w:t>Leve</w:t>
            </w:r>
          </w:p>
        </w:tc>
        <w:tc>
          <w:tcPr>
            <w:tcW w:w="738"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9</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81.8</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8</w:t>
            </w:r>
          </w:p>
        </w:tc>
        <w:tc>
          <w:tcPr>
            <w:tcW w:w="763"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24.2</w:t>
            </w:r>
          </w:p>
        </w:tc>
        <w:tc>
          <w:tcPr>
            <w:tcW w:w="861"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1</w:t>
            </w:r>
          </w:p>
        </w:tc>
        <w:tc>
          <w:tcPr>
            <w:tcW w:w="822"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8.3</w:t>
            </w:r>
          </w:p>
        </w:tc>
        <w:tc>
          <w:tcPr>
            <w:tcW w:w="820"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18</w:t>
            </w:r>
          </w:p>
        </w:tc>
        <w:tc>
          <w:tcPr>
            <w:tcW w:w="821" w:type="dxa"/>
            <w:tcBorders>
              <w:top w:val="nil"/>
              <w:left w:val="nil"/>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32.1</w:t>
            </w: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BFA" w:rsidRPr="0062002A" w:rsidRDefault="00834BFA" w:rsidP="009E74EC">
            <w:pPr>
              <w:jc w:val="both"/>
              <w:rPr>
                <w:rFonts w:ascii="Verdana" w:hAnsi="Verdana" w:cs="Arial"/>
              </w:rPr>
            </w:pPr>
            <w:r w:rsidRPr="0062002A">
              <w:rPr>
                <w:rFonts w:ascii="Verdana" w:hAnsi="Verdana" w:cs="Arial"/>
              </w:rPr>
              <w:t>0.000</w:t>
            </w:r>
          </w:p>
        </w:tc>
      </w:tr>
      <w:tr w:rsidR="0062002A" w:rsidRPr="00834BFA" w:rsidTr="0062002A">
        <w:trPr>
          <w:trHeight w:val="330"/>
          <w:jc w:val="center"/>
        </w:trPr>
        <w:tc>
          <w:tcPr>
            <w:tcW w:w="1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34BFA" w:rsidRPr="00834BFA" w:rsidRDefault="00834BFA" w:rsidP="009E74EC">
            <w:pPr>
              <w:jc w:val="both"/>
              <w:rPr>
                <w:rFonts w:ascii="Verdana" w:hAnsi="Verdana" w:cs="Arial"/>
              </w:rPr>
            </w:pPr>
            <w:r w:rsidRPr="00834BFA">
              <w:rPr>
                <w:rFonts w:ascii="Verdana" w:hAnsi="Verdana" w:cs="Arial"/>
              </w:rPr>
              <w:t>Moderado</w:t>
            </w:r>
          </w:p>
        </w:tc>
        <w:tc>
          <w:tcPr>
            <w:tcW w:w="738"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2</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18.2</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20</w:t>
            </w:r>
          </w:p>
        </w:tc>
        <w:tc>
          <w:tcPr>
            <w:tcW w:w="763"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60.6</w:t>
            </w:r>
          </w:p>
        </w:tc>
        <w:tc>
          <w:tcPr>
            <w:tcW w:w="861"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4</w:t>
            </w:r>
          </w:p>
        </w:tc>
        <w:tc>
          <w:tcPr>
            <w:tcW w:w="82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33.3</w:t>
            </w:r>
          </w:p>
        </w:tc>
        <w:tc>
          <w:tcPr>
            <w:tcW w:w="820"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26</w:t>
            </w:r>
          </w:p>
        </w:tc>
        <w:tc>
          <w:tcPr>
            <w:tcW w:w="821"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46.4</w:t>
            </w:r>
          </w:p>
        </w:tc>
        <w:tc>
          <w:tcPr>
            <w:tcW w:w="763" w:type="dxa"/>
            <w:vMerge/>
            <w:tcBorders>
              <w:top w:val="nil"/>
              <w:left w:val="single" w:sz="4" w:space="0" w:color="auto"/>
              <w:bottom w:val="single" w:sz="4" w:space="0" w:color="auto"/>
              <w:right w:val="single" w:sz="4" w:space="0" w:color="auto"/>
            </w:tcBorders>
            <w:vAlign w:val="center"/>
            <w:hideMark/>
          </w:tcPr>
          <w:p w:rsidR="00834BFA" w:rsidRPr="00834BFA" w:rsidRDefault="00834BFA" w:rsidP="009E74EC">
            <w:pPr>
              <w:jc w:val="both"/>
              <w:rPr>
                <w:rFonts w:ascii="Verdana" w:hAnsi="Verdana" w:cs="Arial"/>
              </w:rPr>
            </w:pPr>
          </w:p>
        </w:tc>
      </w:tr>
      <w:tr w:rsidR="0062002A" w:rsidRPr="00834BFA" w:rsidTr="0062002A">
        <w:trPr>
          <w:trHeight w:val="330"/>
          <w:jc w:val="center"/>
        </w:trPr>
        <w:tc>
          <w:tcPr>
            <w:tcW w:w="1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34BFA" w:rsidRPr="00834BFA" w:rsidRDefault="00834BFA" w:rsidP="009E74EC">
            <w:pPr>
              <w:jc w:val="both"/>
              <w:rPr>
                <w:rFonts w:ascii="Verdana" w:hAnsi="Verdana" w:cs="Arial"/>
              </w:rPr>
            </w:pPr>
            <w:r w:rsidRPr="00834BFA">
              <w:rPr>
                <w:rFonts w:ascii="Verdana" w:hAnsi="Verdana" w:cs="Arial"/>
              </w:rPr>
              <w:t>Severo</w:t>
            </w:r>
          </w:p>
        </w:tc>
        <w:tc>
          <w:tcPr>
            <w:tcW w:w="738"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0.0</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5</w:t>
            </w:r>
          </w:p>
        </w:tc>
        <w:tc>
          <w:tcPr>
            <w:tcW w:w="763"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15.2</w:t>
            </w:r>
          </w:p>
        </w:tc>
        <w:tc>
          <w:tcPr>
            <w:tcW w:w="861"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7</w:t>
            </w:r>
          </w:p>
        </w:tc>
        <w:tc>
          <w:tcPr>
            <w:tcW w:w="82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58.3</w:t>
            </w:r>
          </w:p>
        </w:tc>
        <w:tc>
          <w:tcPr>
            <w:tcW w:w="820"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12</w:t>
            </w:r>
          </w:p>
        </w:tc>
        <w:tc>
          <w:tcPr>
            <w:tcW w:w="821"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21.4</w:t>
            </w:r>
          </w:p>
        </w:tc>
        <w:tc>
          <w:tcPr>
            <w:tcW w:w="763" w:type="dxa"/>
            <w:vMerge/>
            <w:tcBorders>
              <w:top w:val="nil"/>
              <w:left w:val="single" w:sz="4" w:space="0" w:color="auto"/>
              <w:bottom w:val="single" w:sz="4" w:space="0" w:color="auto"/>
              <w:right w:val="single" w:sz="4" w:space="0" w:color="auto"/>
            </w:tcBorders>
            <w:vAlign w:val="center"/>
            <w:hideMark/>
          </w:tcPr>
          <w:p w:rsidR="00834BFA" w:rsidRPr="00834BFA" w:rsidRDefault="00834BFA" w:rsidP="009E74EC">
            <w:pPr>
              <w:jc w:val="both"/>
              <w:rPr>
                <w:rFonts w:ascii="Verdana" w:hAnsi="Verdana" w:cs="Arial"/>
              </w:rPr>
            </w:pPr>
          </w:p>
        </w:tc>
      </w:tr>
      <w:tr w:rsidR="0062002A" w:rsidRPr="00834BFA" w:rsidTr="0062002A">
        <w:trPr>
          <w:trHeight w:val="330"/>
          <w:jc w:val="center"/>
        </w:trPr>
        <w:tc>
          <w:tcPr>
            <w:tcW w:w="1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34BFA" w:rsidRPr="00834BFA" w:rsidRDefault="00834BFA" w:rsidP="009E74EC">
            <w:pPr>
              <w:jc w:val="both"/>
              <w:rPr>
                <w:rFonts w:ascii="Verdana" w:hAnsi="Verdana" w:cs="Arial"/>
              </w:rPr>
            </w:pPr>
            <w:r w:rsidRPr="00834BFA">
              <w:rPr>
                <w:rFonts w:ascii="Verdana" w:hAnsi="Verdana" w:cs="Arial"/>
              </w:rPr>
              <w:t>Total</w:t>
            </w:r>
          </w:p>
        </w:tc>
        <w:tc>
          <w:tcPr>
            <w:tcW w:w="738"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11</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100.0</w:t>
            </w:r>
          </w:p>
        </w:tc>
        <w:tc>
          <w:tcPr>
            <w:tcW w:w="86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33</w:t>
            </w:r>
          </w:p>
        </w:tc>
        <w:tc>
          <w:tcPr>
            <w:tcW w:w="763"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100.0</w:t>
            </w:r>
          </w:p>
        </w:tc>
        <w:tc>
          <w:tcPr>
            <w:tcW w:w="861"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12</w:t>
            </w:r>
          </w:p>
        </w:tc>
        <w:tc>
          <w:tcPr>
            <w:tcW w:w="822"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100.0</w:t>
            </w:r>
          </w:p>
        </w:tc>
        <w:tc>
          <w:tcPr>
            <w:tcW w:w="820"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56</w:t>
            </w:r>
          </w:p>
        </w:tc>
        <w:tc>
          <w:tcPr>
            <w:tcW w:w="821"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rPr>
            </w:pPr>
            <w:r w:rsidRPr="00834BFA">
              <w:rPr>
                <w:rFonts w:ascii="Verdana" w:hAnsi="Verdana" w:cs="Arial"/>
              </w:rPr>
              <w:t>100.0</w:t>
            </w:r>
          </w:p>
        </w:tc>
        <w:tc>
          <w:tcPr>
            <w:tcW w:w="763" w:type="dxa"/>
            <w:vMerge/>
            <w:tcBorders>
              <w:top w:val="nil"/>
              <w:left w:val="single" w:sz="4" w:space="0" w:color="auto"/>
              <w:bottom w:val="single" w:sz="4" w:space="0" w:color="auto"/>
              <w:right w:val="single" w:sz="4" w:space="0" w:color="auto"/>
            </w:tcBorders>
            <w:vAlign w:val="center"/>
            <w:hideMark/>
          </w:tcPr>
          <w:p w:rsidR="00834BFA" w:rsidRPr="00834BFA" w:rsidRDefault="00834BFA" w:rsidP="009E74EC">
            <w:pPr>
              <w:jc w:val="both"/>
              <w:rPr>
                <w:rFonts w:ascii="Verdana" w:hAnsi="Verdana" w:cs="Arial"/>
              </w:rPr>
            </w:pPr>
          </w:p>
        </w:tc>
      </w:tr>
    </w:tbl>
    <w:p w:rsidR="00834BFA" w:rsidRPr="00834BFA" w:rsidRDefault="00834BFA" w:rsidP="00834BFA">
      <w:pPr>
        <w:spacing w:after="0"/>
        <w:ind w:left="-284"/>
        <w:jc w:val="both"/>
        <w:rPr>
          <w:rFonts w:ascii="Verdana" w:hAnsi="Verdana" w:cs="Arial"/>
          <w:lang w:val="es-VE"/>
        </w:rPr>
      </w:pPr>
      <w:r w:rsidRPr="00834BFA">
        <w:rPr>
          <w:rFonts w:ascii="Verdana" w:hAnsi="Verdana" w:cs="Arial"/>
          <w:lang w:val="es-VE"/>
        </w:rPr>
        <w:t xml:space="preserve">* Prueba de </w:t>
      </w:r>
      <w:proofErr w:type="spellStart"/>
      <w:r w:rsidRPr="00834BFA">
        <w:rPr>
          <w:rFonts w:ascii="Verdana" w:hAnsi="Verdana" w:cs="Arial"/>
          <w:lang w:val="es-VE"/>
        </w:rPr>
        <w:t>Kruskal</w:t>
      </w:r>
      <w:proofErr w:type="spellEnd"/>
      <w:r w:rsidRPr="00834BFA">
        <w:rPr>
          <w:rFonts w:ascii="Verdana" w:hAnsi="Verdana" w:cs="Arial"/>
          <w:lang w:val="es-VE"/>
        </w:rPr>
        <w:t>-Wallis</w:t>
      </w:r>
    </w:p>
    <w:p w:rsidR="00834BFA" w:rsidRPr="00834BFA" w:rsidRDefault="00834BFA" w:rsidP="00834BFA">
      <w:pPr>
        <w:spacing w:after="0"/>
        <w:ind w:left="-709"/>
        <w:jc w:val="both"/>
        <w:rPr>
          <w:rFonts w:ascii="Verdana" w:hAnsi="Verdana" w:cs="Arial"/>
          <w:lang w:val="es-VE"/>
        </w:rPr>
      </w:pPr>
    </w:p>
    <w:p w:rsidR="00834BFA" w:rsidRPr="00834BFA" w:rsidRDefault="00834BFA" w:rsidP="00834BFA">
      <w:pPr>
        <w:spacing w:after="0"/>
        <w:ind w:left="-709"/>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lastRenderedPageBreak/>
        <w:t xml:space="preserve">Existe una significación estadística entre la obesidad y la presencia de hígado graso, pudiendo observar que la totalidad de pacientes obesos de esta investigación (12) presentaron enfermedad hepática por depósito graso, tanto por ecografía como por </w:t>
      </w:r>
      <w:proofErr w:type="spellStart"/>
      <w:r w:rsidRPr="00834BFA">
        <w:rPr>
          <w:rFonts w:ascii="Verdana" w:hAnsi="Verdana" w:cs="Arial"/>
          <w:lang w:val="es-VE"/>
        </w:rPr>
        <w:t>Fatty</w:t>
      </w:r>
      <w:proofErr w:type="spellEnd"/>
      <w:r w:rsidRPr="00834BFA">
        <w:rPr>
          <w:rFonts w:ascii="Verdana" w:hAnsi="Verdana" w:cs="Arial"/>
          <w:lang w:val="es-VE"/>
        </w:rPr>
        <w:t xml:space="preserve"> </w:t>
      </w:r>
      <w:proofErr w:type="spellStart"/>
      <w:r w:rsidRPr="00834BFA">
        <w:rPr>
          <w:rFonts w:ascii="Verdana" w:hAnsi="Verdana" w:cs="Arial"/>
          <w:lang w:val="es-VE"/>
        </w:rPr>
        <w:t>Liver</w:t>
      </w:r>
      <w:proofErr w:type="spellEnd"/>
      <w:r w:rsidRPr="00834BFA">
        <w:rPr>
          <w:rFonts w:ascii="Verdana" w:hAnsi="Verdana" w:cs="Arial"/>
          <w:lang w:val="es-VE"/>
        </w:rPr>
        <w:t xml:space="preserve"> </w:t>
      </w:r>
      <w:proofErr w:type="spellStart"/>
      <w:r w:rsidRPr="00834BFA">
        <w:rPr>
          <w:rFonts w:ascii="Verdana" w:hAnsi="Verdana" w:cs="Arial"/>
          <w:lang w:val="es-VE"/>
        </w:rPr>
        <w:t>Index</w:t>
      </w:r>
      <w:proofErr w:type="spellEnd"/>
      <w:r w:rsidRPr="00834BFA">
        <w:rPr>
          <w:rFonts w:ascii="Verdana" w:hAnsi="Verdana" w:cs="Arial"/>
          <w:lang w:val="es-VE"/>
        </w:rPr>
        <w:t>.</w:t>
      </w:r>
      <w:r w:rsidRPr="00834BFA">
        <w:rPr>
          <w:rFonts w:ascii="Verdana" w:hAnsi="Verdana" w:cs="Arial"/>
        </w:rPr>
        <w:t xml:space="preserve"> </w:t>
      </w:r>
      <w:r w:rsidRPr="00834BFA">
        <w:rPr>
          <w:rFonts w:ascii="Verdana" w:hAnsi="Verdana" w:cs="Arial"/>
          <w:lang w:val="es-VE"/>
        </w:rPr>
        <w:t>Datos que se evidencian en la tabla 4.</w:t>
      </w:r>
    </w:p>
    <w:p w:rsidR="00834BFA" w:rsidRPr="00834BFA" w:rsidRDefault="00834BFA" w:rsidP="00834BFA">
      <w:pPr>
        <w:spacing w:after="0"/>
        <w:ind w:left="-709"/>
        <w:jc w:val="both"/>
        <w:rPr>
          <w:rFonts w:ascii="Verdana" w:hAnsi="Verdana" w:cs="Arial"/>
          <w:lang w:val="es-VE"/>
        </w:rPr>
      </w:pPr>
    </w:p>
    <w:p w:rsidR="00834BFA" w:rsidRPr="00834BFA" w:rsidRDefault="00834BFA" w:rsidP="00834BFA">
      <w:pPr>
        <w:spacing w:after="0"/>
        <w:jc w:val="both"/>
        <w:rPr>
          <w:rFonts w:ascii="Verdana" w:hAnsi="Verdana" w:cs="Arial"/>
          <w:lang w:val="es-VE"/>
        </w:rPr>
      </w:pPr>
      <w:r w:rsidRPr="00834BFA">
        <w:rPr>
          <w:rFonts w:ascii="Verdana" w:hAnsi="Verdana" w:cs="Arial"/>
          <w:lang w:val="es-VE"/>
        </w:rPr>
        <w:t xml:space="preserve"> Tabla   4. Pacientes obesos y diagnóstico de hígado graso por ecografía y </w:t>
      </w:r>
      <w:proofErr w:type="spellStart"/>
      <w:r w:rsidRPr="00834BFA">
        <w:rPr>
          <w:rFonts w:ascii="Verdana" w:hAnsi="Verdana" w:cs="Arial"/>
          <w:lang w:val="es-VE"/>
        </w:rPr>
        <w:t>Fatty</w:t>
      </w:r>
      <w:proofErr w:type="spellEnd"/>
      <w:r w:rsidRPr="00834BFA">
        <w:rPr>
          <w:rFonts w:ascii="Verdana" w:hAnsi="Verdana" w:cs="Arial"/>
          <w:lang w:val="es-VE"/>
        </w:rPr>
        <w:t xml:space="preserve"> </w:t>
      </w:r>
      <w:proofErr w:type="spellStart"/>
      <w:r w:rsidRPr="00834BFA">
        <w:rPr>
          <w:rFonts w:ascii="Verdana" w:hAnsi="Verdana" w:cs="Arial"/>
          <w:lang w:val="es-VE"/>
        </w:rPr>
        <w:t>Liver</w:t>
      </w:r>
      <w:proofErr w:type="spellEnd"/>
      <w:r w:rsidRPr="00834BFA">
        <w:rPr>
          <w:rFonts w:ascii="Verdana" w:hAnsi="Verdana" w:cs="Arial"/>
          <w:lang w:val="es-VE"/>
        </w:rPr>
        <w:t xml:space="preserve"> </w:t>
      </w:r>
      <w:proofErr w:type="spellStart"/>
      <w:r w:rsidRPr="00834BFA">
        <w:rPr>
          <w:rFonts w:ascii="Verdana" w:hAnsi="Verdana" w:cs="Arial"/>
          <w:lang w:val="es-VE"/>
        </w:rPr>
        <w:t>Index</w:t>
      </w:r>
      <w:proofErr w:type="spellEnd"/>
      <w:r w:rsidRPr="00834BFA">
        <w:rPr>
          <w:rFonts w:ascii="Verdana" w:hAnsi="Verdana" w:cs="Arial"/>
          <w:lang w:val="es-VE"/>
        </w:rPr>
        <w:t>.</w:t>
      </w:r>
    </w:p>
    <w:p w:rsidR="00834BFA" w:rsidRPr="00834BFA" w:rsidRDefault="00834BFA" w:rsidP="00834BFA">
      <w:pPr>
        <w:spacing w:after="0"/>
        <w:ind w:left="-709"/>
        <w:jc w:val="both"/>
        <w:rPr>
          <w:rFonts w:ascii="Verdana" w:hAnsi="Verdana" w:cs="Arial"/>
          <w:lang w:val="es-VE"/>
        </w:rPr>
      </w:pPr>
    </w:p>
    <w:tbl>
      <w:tblPr>
        <w:tblW w:w="8648" w:type="dxa"/>
        <w:jc w:val="center"/>
        <w:tblCellMar>
          <w:left w:w="70" w:type="dxa"/>
          <w:right w:w="70" w:type="dxa"/>
        </w:tblCellMar>
        <w:tblLook w:val="04A0" w:firstRow="1" w:lastRow="0" w:firstColumn="1" w:lastColumn="0" w:noHBand="0" w:noVBand="1"/>
      </w:tblPr>
      <w:tblGrid>
        <w:gridCol w:w="4071"/>
        <w:gridCol w:w="2309"/>
        <w:gridCol w:w="1093"/>
        <w:gridCol w:w="1175"/>
      </w:tblGrid>
      <w:tr w:rsidR="00834BFA" w:rsidRPr="00834BFA" w:rsidTr="009E74EC">
        <w:trPr>
          <w:trHeight w:val="349"/>
          <w:jc w:val="center"/>
        </w:trPr>
        <w:tc>
          <w:tcPr>
            <w:tcW w:w="6380" w:type="dxa"/>
            <w:gridSpan w:val="2"/>
            <w:vMerge w:val="restart"/>
            <w:tcBorders>
              <w:top w:val="nil"/>
              <w:left w:val="nil"/>
              <w:bottom w:val="single" w:sz="4" w:space="0" w:color="000000"/>
              <w:right w:val="single" w:sz="4" w:space="0" w:color="000000"/>
            </w:tcBorders>
            <w:vAlign w:val="center"/>
            <w:hideMark/>
          </w:tcPr>
          <w:p w:rsidR="00834BFA" w:rsidRPr="00834BFA" w:rsidRDefault="00834BFA" w:rsidP="009E74EC">
            <w:pPr>
              <w:jc w:val="both"/>
              <w:rPr>
                <w:rFonts w:ascii="Verdana" w:hAnsi="Verdana" w:cs="Arial"/>
                <w:lang w:val="es-ES"/>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Obesidad  (n=12)</w:t>
            </w:r>
          </w:p>
        </w:tc>
      </w:tr>
      <w:tr w:rsidR="00834BFA" w:rsidRPr="00834BFA" w:rsidTr="009E74EC">
        <w:trPr>
          <w:trHeight w:val="349"/>
          <w:jc w:val="center"/>
        </w:trPr>
        <w:tc>
          <w:tcPr>
            <w:tcW w:w="6380" w:type="dxa"/>
            <w:gridSpan w:val="2"/>
            <w:vMerge/>
            <w:tcBorders>
              <w:top w:val="nil"/>
              <w:left w:val="nil"/>
              <w:bottom w:val="single" w:sz="4" w:space="0" w:color="000000"/>
              <w:right w:val="single" w:sz="4" w:space="0" w:color="auto"/>
            </w:tcBorders>
            <w:vAlign w:val="center"/>
            <w:hideMark/>
          </w:tcPr>
          <w:p w:rsidR="00834BFA" w:rsidRPr="00834BFA" w:rsidRDefault="00834BFA" w:rsidP="009E74EC">
            <w:pPr>
              <w:jc w:val="both"/>
              <w:rPr>
                <w:rFonts w:ascii="Verdana" w:hAnsi="Verdana" w:cs="Arial"/>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No.</w:t>
            </w:r>
          </w:p>
        </w:tc>
        <w:tc>
          <w:tcPr>
            <w:tcW w:w="1175"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w:t>
            </w:r>
          </w:p>
        </w:tc>
      </w:tr>
      <w:tr w:rsidR="00834BFA" w:rsidRPr="00834BFA" w:rsidTr="009E74EC">
        <w:trPr>
          <w:trHeight w:val="349"/>
          <w:jc w:val="center"/>
        </w:trPr>
        <w:tc>
          <w:tcPr>
            <w:tcW w:w="4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ESTEATOSIS (USD)</w:t>
            </w:r>
          </w:p>
        </w:tc>
        <w:tc>
          <w:tcPr>
            <w:tcW w:w="2309"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 xml:space="preserve">Presente </w:t>
            </w:r>
            <w:r w:rsidRPr="00834BFA">
              <w:rPr>
                <w:rFonts w:ascii="Verdana" w:hAnsi="Verdana" w:cs="Arial"/>
              </w:rPr>
              <w:t>(n=56)</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12</w:t>
            </w:r>
          </w:p>
        </w:tc>
        <w:tc>
          <w:tcPr>
            <w:tcW w:w="1175"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100,0</w:t>
            </w:r>
          </w:p>
        </w:tc>
      </w:tr>
      <w:tr w:rsidR="00834BFA" w:rsidRPr="00834BFA" w:rsidTr="009E74EC">
        <w:trPr>
          <w:trHeight w:val="349"/>
          <w:jc w:val="center"/>
        </w:trPr>
        <w:tc>
          <w:tcPr>
            <w:tcW w:w="4071" w:type="dxa"/>
            <w:vMerge/>
            <w:tcBorders>
              <w:top w:val="nil"/>
              <w:left w:val="single" w:sz="4" w:space="0" w:color="auto"/>
              <w:bottom w:val="single" w:sz="4" w:space="0" w:color="auto"/>
              <w:right w:val="single" w:sz="4" w:space="0" w:color="auto"/>
            </w:tcBorders>
            <w:vAlign w:val="center"/>
            <w:hideMark/>
          </w:tcPr>
          <w:p w:rsidR="00834BFA" w:rsidRPr="00834BFA" w:rsidRDefault="00834BFA" w:rsidP="009E74EC">
            <w:pPr>
              <w:jc w:val="both"/>
              <w:rPr>
                <w:rFonts w:ascii="Verdana" w:hAnsi="Verdana" w:cs="Arial"/>
                <w:lang w:val="es-ES"/>
              </w:rPr>
            </w:pPr>
          </w:p>
        </w:tc>
        <w:tc>
          <w:tcPr>
            <w:tcW w:w="2309"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Ausente (n=29)</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0</w:t>
            </w:r>
          </w:p>
        </w:tc>
        <w:tc>
          <w:tcPr>
            <w:tcW w:w="1175"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0,0</w:t>
            </w:r>
          </w:p>
        </w:tc>
      </w:tr>
      <w:tr w:rsidR="00834BFA" w:rsidRPr="00834BFA" w:rsidTr="009E74EC">
        <w:trPr>
          <w:trHeight w:val="349"/>
          <w:jc w:val="center"/>
        </w:trPr>
        <w:tc>
          <w:tcPr>
            <w:tcW w:w="6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p</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0,007*</w:t>
            </w:r>
          </w:p>
        </w:tc>
      </w:tr>
      <w:tr w:rsidR="00834BFA" w:rsidRPr="00834BFA" w:rsidTr="009E74EC">
        <w:trPr>
          <w:trHeight w:val="349"/>
          <w:jc w:val="center"/>
        </w:trPr>
        <w:tc>
          <w:tcPr>
            <w:tcW w:w="4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ESTEATOSIS</w:t>
            </w:r>
          </w:p>
          <w:p w:rsidR="00834BFA" w:rsidRPr="00834BFA" w:rsidRDefault="00834BFA" w:rsidP="009E74EC">
            <w:pPr>
              <w:jc w:val="both"/>
              <w:rPr>
                <w:rFonts w:ascii="Verdana" w:hAnsi="Verdana" w:cs="Arial"/>
                <w:lang w:val="es-ES"/>
              </w:rPr>
            </w:pPr>
            <w:r w:rsidRPr="00834BFA">
              <w:rPr>
                <w:rFonts w:ascii="Verdana" w:hAnsi="Verdana" w:cs="Arial"/>
                <w:lang w:val="es-ES"/>
              </w:rPr>
              <w:t xml:space="preserve"> (FLI)</w:t>
            </w:r>
          </w:p>
        </w:tc>
        <w:tc>
          <w:tcPr>
            <w:tcW w:w="2309" w:type="dxa"/>
            <w:tcBorders>
              <w:top w:val="nil"/>
              <w:left w:val="nil"/>
              <w:bottom w:val="single" w:sz="4" w:space="0" w:color="auto"/>
              <w:right w:val="single" w:sz="4" w:space="0" w:color="auto"/>
            </w:tcBorders>
            <w:shd w:val="clear" w:color="auto" w:fill="auto"/>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Esteatosis (n=43)</w:t>
            </w:r>
          </w:p>
        </w:tc>
        <w:tc>
          <w:tcPr>
            <w:tcW w:w="1093"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12</w:t>
            </w:r>
          </w:p>
        </w:tc>
        <w:tc>
          <w:tcPr>
            <w:tcW w:w="1175"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100,0</w:t>
            </w:r>
          </w:p>
        </w:tc>
      </w:tr>
      <w:tr w:rsidR="00834BFA" w:rsidRPr="00834BFA" w:rsidTr="009E74EC">
        <w:trPr>
          <w:trHeight w:val="349"/>
          <w:jc w:val="center"/>
        </w:trPr>
        <w:tc>
          <w:tcPr>
            <w:tcW w:w="4071" w:type="dxa"/>
            <w:vMerge/>
            <w:tcBorders>
              <w:top w:val="nil"/>
              <w:left w:val="single" w:sz="4" w:space="0" w:color="auto"/>
              <w:bottom w:val="single" w:sz="4" w:space="0" w:color="auto"/>
              <w:right w:val="single" w:sz="4" w:space="0" w:color="auto"/>
            </w:tcBorders>
            <w:vAlign w:val="center"/>
            <w:hideMark/>
          </w:tcPr>
          <w:p w:rsidR="00834BFA" w:rsidRPr="00834BFA" w:rsidRDefault="00834BFA" w:rsidP="009E74EC">
            <w:pPr>
              <w:jc w:val="both"/>
              <w:rPr>
                <w:rFonts w:ascii="Verdana" w:hAnsi="Verdana" w:cs="Arial"/>
                <w:lang w:val="es-ES"/>
              </w:rPr>
            </w:pPr>
          </w:p>
        </w:tc>
        <w:tc>
          <w:tcPr>
            <w:tcW w:w="2309" w:type="dxa"/>
            <w:tcBorders>
              <w:top w:val="nil"/>
              <w:left w:val="nil"/>
              <w:bottom w:val="single" w:sz="4" w:space="0" w:color="auto"/>
              <w:right w:val="single" w:sz="4" w:space="0" w:color="auto"/>
            </w:tcBorders>
            <w:shd w:val="clear" w:color="auto" w:fill="auto"/>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Sin esteatosis (n=42)</w:t>
            </w:r>
          </w:p>
        </w:tc>
        <w:tc>
          <w:tcPr>
            <w:tcW w:w="1093"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0</w:t>
            </w:r>
          </w:p>
        </w:tc>
        <w:tc>
          <w:tcPr>
            <w:tcW w:w="1175" w:type="dxa"/>
            <w:tcBorders>
              <w:top w:val="nil"/>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0,0</w:t>
            </w:r>
          </w:p>
        </w:tc>
      </w:tr>
      <w:tr w:rsidR="00834BFA" w:rsidRPr="00834BFA" w:rsidTr="009E74EC">
        <w:trPr>
          <w:trHeight w:val="349"/>
          <w:jc w:val="center"/>
        </w:trPr>
        <w:tc>
          <w:tcPr>
            <w:tcW w:w="6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p</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BFA" w:rsidRPr="00834BFA" w:rsidRDefault="00834BFA" w:rsidP="009E74EC">
            <w:pPr>
              <w:jc w:val="both"/>
              <w:rPr>
                <w:rFonts w:ascii="Verdana" w:hAnsi="Verdana" w:cs="Arial"/>
                <w:lang w:val="es-ES"/>
              </w:rPr>
            </w:pPr>
            <w:r w:rsidRPr="00834BFA">
              <w:rPr>
                <w:rFonts w:ascii="Verdana" w:hAnsi="Verdana" w:cs="Arial"/>
                <w:lang w:val="es-ES"/>
              </w:rPr>
              <w:t>0,001**</w:t>
            </w:r>
          </w:p>
        </w:tc>
      </w:tr>
    </w:tbl>
    <w:p w:rsidR="00834BFA" w:rsidRPr="00834BFA" w:rsidRDefault="00834BFA" w:rsidP="00834BFA">
      <w:pPr>
        <w:spacing w:after="0"/>
        <w:ind w:left="567"/>
        <w:jc w:val="both"/>
        <w:rPr>
          <w:rFonts w:ascii="Verdana" w:hAnsi="Verdana" w:cs="Arial"/>
          <w:lang w:val="es-ES"/>
        </w:rPr>
      </w:pPr>
      <w:r w:rsidRPr="00834BFA">
        <w:rPr>
          <w:rFonts w:ascii="Verdana" w:hAnsi="Verdana" w:cs="Arial"/>
          <w:lang w:val="es-ES"/>
        </w:rPr>
        <w:t>*Estadístico exacto de Fisher   **Chi cuadrado de Pearson</w:t>
      </w:r>
    </w:p>
    <w:p w:rsidR="00834BFA" w:rsidRPr="00834BFA" w:rsidRDefault="00834BFA" w:rsidP="00834BFA">
      <w:pPr>
        <w:spacing w:after="0"/>
        <w:ind w:left="709"/>
        <w:jc w:val="both"/>
        <w:rPr>
          <w:rFonts w:ascii="Verdana" w:hAnsi="Verdana" w:cs="Arial"/>
          <w:lang w:val="es-ES"/>
        </w:rPr>
      </w:pPr>
    </w:p>
    <w:p w:rsidR="00834BFA" w:rsidRPr="00834BFA" w:rsidRDefault="00834BFA" w:rsidP="00834BFA">
      <w:pPr>
        <w:spacing w:after="0"/>
        <w:jc w:val="both"/>
        <w:rPr>
          <w:rFonts w:ascii="Verdana" w:hAnsi="Verdana" w:cs="Arial"/>
          <w:lang w:val="es-ES"/>
        </w:rPr>
      </w:pPr>
      <w:r w:rsidRPr="00834BFA">
        <w:rPr>
          <w:rFonts w:ascii="Verdana" w:hAnsi="Verdana" w:cs="Arial"/>
          <w:lang w:val="es-ES"/>
        </w:rPr>
        <w:t>Al relacionar el índice de fibrosis y la evaluación ponderal se pudo percibir que la totalidad de los obesos tenían fibrosis, por lo que en los pacientes con hígado graso según ecografía</w:t>
      </w:r>
      <w:r w:rsidRPr="00834BFA">
        <w:rPr>
          <w:rFonts w:ascii="Verdana" w:hAnsi="Verdana" w:cs="Arial"/>
          <w:color w:val="FF0000"/>
          <w:lang w:val="es-ES"/>
        </w:rPr>
        <w:t xml:space="preserve"> </w:t>
      </w:r>
      <w:r w:rsidRPr="00834BFA">
        <w:rPr>
          <w:rFonts w:ascii="Verdana" w:hAnsi="Verdana" w:cs="Arial"/>
          <w:lang w:val="es-ES"/>
        </w:rPr>
        <w:t>la obesidad se asocia a la presencia de fibrosis y por lo tanto a una mayor gravedad lo cual se aprecia en la tabla 5.</w:t>
      </w:r>
    </w:p>
    <w:p w:rsidR="00834BFA" w:rsidRPr="00834BFA" w:rsidRDefault="00834BFA" w:rsidP="00834BFA">
      <w:pPr>
        <w:spacing w:after="0"/>
        <w:jc w:val="both"/>
        <w:rPr>
          <w:rFonts w:ascii="Verdana" w:hAnsi="Verdana" w:cs="Arial"/>
          <w:lang w:val="es-ES"/>
        </w:rPr>
      </w:pPr>
    </w:p>
    <w:p w:rsidR="00834BFA" w:rsidRPr="00834BFA" w:rsidRDefault="00834BFA" w:rsidP="00834BFA">
      <w:pPr>
        <w:spacing w:after="0"/>
        <w:jc w:val="both"/>
        <w:rPr>
          <w:rFonts w:ascii="Verdana" w:hAnsi="Verdana" w:cs="Arial"/>
          <w:lang w:val="es-ES"/>
        </w:rPr>
      </w:pPr>
      <w:r w:rsidRPr="00834BFA">
        <w:rPr>
          <w:rFonts w:ascii="Verdana" w:hAnsi="Verdana" w:cs="Arial"/>
          <w:lang w:val="es-ES"/>
        </w:rPr>
        <w:t>Tabla 5. Pacientes obesos con hígado graso por ecografía según la presencia de fibrosis.</w:t>
      </w:r>
    </w:p>
    <w:p w:rsidR="00834BFA" w:rsidRPr="00834BFA" w:rsidRDefault="00834BFA" w:rsidP="00834BFA">
      <w:pPr>
        <w:spacing w:after="0"/>
        <w:jc w:val="both"/>
        <w:rPr>
          <w:rFonts w:ascii="Verdana" w:hAnsi="Verdana" w:cs="Arial"/>
          <w:lang w:val="es-ES"/>
        </w:rPr>
      </w:pPr>
    </w:p>
    <w:tbl>
      <w:tblPr>
        <w:tblW w:w="8932" w:type="dxa"/>
        <w:jc w:val="center"/>
        <w:tblCellMar>
          <w:left w:w="0" w:type="dxa"/>
          <w:right w:w="0" w:type="dxa"/>
        </w:tblCellMar>
        <w:tblLook w:val="04A0" w:firstRow="1" w:lastRow="0" w:firstColumn="1" w:lastColumn="0" w:noHBand="0" w:noVBand="1"/>
      </w:tblPr>
      <w:tblGrid>
        <w:gridCol w:w="1536"/>
        <w:gridCol w:w="1036"/>
        <w:gridCol w:w="1043"/>
        <w:gridCol w:w="1037"/>
        <w:gridCol w:w="1039"/>
        <w:gridCol w:w="1035"/>
        <w:gridCol w:w="1040"/>
        <w:gridCol w:w="1166"/>
      </w:tblGrid>
      <w:tr w:rsidR="00834BFA" w:rsidRPr="00834BFA" w:rsidTr="009E74EC">
        <w:trPr>
          <w:trHeight w:val="956"/>
          <w:jc w:val="center"/>
        </w:trPr>
        <w:tc>
          <w:tcPr>
            <w:tcW w:w="14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 xml:space="preserve">EVALUACIÓN PONDERAL </w:t>
            </w:r>
          </w:p>
        </w:tc>
        <w:tc>
          <w:tcPr>
            <w:tcW w:w="2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Fibrosis (n=27)</w:t>
            </w:r>
          </w:p>
        </w:tc>
        <w:tc>
          <w:tcPr>
            <w:tcW w:w="2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Sin fibrosis (n=29)</w:t>
            </w:r>
          </w:p>
        </w:tc>
        <w:tc>
          <w:tcPr>
            <w:tcW w:w="210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TOTAL (n=56)</w:t>
            </w:r>
          </w:p>
        </w:tc>
        <w:tc>
          <w:tcPr>
            <w:tcW w:w="11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p*</w:t>
            </w:r>
          </w:p>
        </w:tc>
      </w:tr>
      <w:tr w:rsidR="00834BFA" w:rsidRPr="00834BFA" w:rsidTr="009E74EC">
        <w:trPr>
          <w:trHeight w:val="544"/>
          <w:jc w:val="center"/>
        </w:trPr>
        <w:tc>
          <w:tcPr>
            <w:tcW w:w="142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4BFA" w:rsidRPr="00834BFA" w:rsidRDefault="00834BFA" w:rsidP="009E74EC">
            <w:pPr>
              <w:jc w:val="both"/>
              <w:rPr>
                <w:rFonts w:ascii="Verdana" w:hAnsi="Verdana" w:cs="Arial"/>
              </w:rPr>
            </w:pP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No.</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No.</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4BFA" w:rsidRPr="00834BFA" w:rsidRDefault="00834BFA" w:rsidP="009E74EC">
            <w:pPr>
              <w:jc w:val="both"/>
              <w:rPr>
                <w:rFonts w:ascii="Verdana" w:hAnsi="Verdana" w:cs="Arial"/>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4BFA" w:rsidRPr="00834BFA" w:rsidRDefault="00834BFA" w:rsidP="009E74EC">
            <w:pPr>
              <w:jc w:val="both"/>
              <w:rPr>
                <w:rFonts w:ascii="Verdana" w:hAnsi="Verdana" w:cs="Arial"/>
              </w:rPr>
            </w:pPr>
          </w:p>
        </w:tc>
      </w:tr>
      <w:tr w:rsidR="00834BFA" w:rsidRPr="00834BFA" w:rsidTr="009E74EC">
        <w:trPr>
          <w:trHeight w:val="477"/>
          <w:jc w:val="center"/>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Obesidad</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12</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44,4</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0,0</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12</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2,4</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834BFA" w:rsidRPr="00834BFA" w:rsidRDefault="00834BFA" w:rsidP="009E74EC">
            <w:pPr>
              <w:jc w:val="both"/>
              <w:rPr>
                <w:rFonts w:ascii="Verdana" w:hAnsi="Verdana" w:cs="Arial"/>
              </w:rPr>
            </w:pPr>
            <w:r w:rsidRPr="00834BFA">
              <w:rPr>
                <w:rFonts w:ascii="Verdana" w:hAnsi="Verdana" w:cs="Arial"/>
              </w:rPr>
              <w:t>0,000</w:t>
            </w:r>
          </w:p>
        </w:tc>
      </w:tr>
    </w:tbl>
    <w:p w:rsidR="0062002A" w:rsidRPr="00173357" w:rsidRDefault="00834BFA" w:rsidP="00173357">
      <w:pPr>
        <w:spacing w:after="0"/>
        <w:ind w:left="-284"/>
        <w:jc w:val="both"/>
        <w:rPr>
          <w:rFonts w:ascii="Verdana" w:hAnsi="Verdana" w:cs="Arial"/>
          <w:lang w:val="es-ES"/>
        </w:rPr>
      </w:pPr>
      <w:r w:rsidRPr="00834BFA">
        <w:rPr>
          <w:rFonts w:ascii="Verdana" w:hAnsi="Verdana" w:cs="Arial"/>
          <w:lang w:val="es-ES"/>
        </w:rPr>
        <w:t xml:space="preserve">    *Chi cuadrado de Pearson</w:t>
      </w:r>
    </w:p>
    <w:p w:rsidR="0062002A" w:rsidRDefault="0062002A" w:rsidP="00834BFA">
      <w:pPr>
        <w:spacing w:after="0"/>
        <w:jc w:val="both"/>
        <w:rPr>
          <w:rFonts w:ascii="Verdana" w:hAnsi="Verdana" w:cs="Arial"/>
          <w:b/>
          <w:lang w:val="es-ES"/>
        </w:rPr>
      </w:pPr>
    </w:p>
    <w:p w:rsidR="00834BFA" w:rsidRPr="0062002A" w:rsidRDefault="00834BFA" w:rsidP="00834BFA">
      <w:pPr>
        <w:spacing w:after="0"/>
        <w:jc w:val="both"/>
        <w:rPr>
          <w:rFonts w:ascii="Verdana" w:hAnsi="Verdana" w:cs="Arial"/>
          <w:b/>
          <w:lang w:val="es-ES"/>
        </w:rPr>
      </w:pPr>
      <w:r w:rsidRPr="0062002A">
        <w:rPr>
          <w:rFonts w:ascii="Verdana" w:hAnsi="Verdana" w:cs="Arial"/>
          <w:b/>
          <w:lang w:val="es-ES"/>
        </w:rPr>
        <w:t>Conclusiones</w:t>
      </w:r>
    </w:p>
    <w:p w:rsidR="00834BFA" w:rsidRPr="00834BFA" w:rsidRDefault="00834BFA" w:rsidP="00834BFA">
      <w:pPr>
        <w:spacing w:after="0"/>
        <w:jc w:val="both"/>
        <w:rPr>
          <w:rFonts w:ascii="Verdana" w:hAnsi="Verdana" w:cs="Arial"/>
          <w:lang w:val="es-ES"/>
        </w:rPr>
      </w:pPr>
    </w:p>
    <w:p w:rsidR="00834BFA" w:rsidRPr="00834BFA" w:rsidRDefault="00834BFA" w:rsidP="00834BFA">
      <w:pPr>
        <w:spacing w:after="0"/>
        <w:jc w:val="both"/>
        <w:rPr>
          <w:rFonts w:ascii="Verdana" w:hAnsi="Verdana" w:cs="Arial"/>
          <w:lang w:val="es-ES"/>
        </w:rPr>
      </w:pPr>
      <w:r w:rsidRPr="00834BFA">
        <w:rPr>
          <w:rFonts w:ascii="Verdana" w:hAnsi="Verdana" w:cs="Arial"/>
          <w:lang w:val="es-ES"/>
        </w:rPr>
        <w:t xml:space="preserve">Predominó el sexo femenino y el grupo etario de 49 a 58 años. La mayoría de los pacientes con diagnóstico de diabetes mellitus tipo 2 presentaban grasa en </w:t>
      </w:r>
      <w:r w:rsidRPr="00834BFA">
        <w:rPr>
          <w:rFonts w:ascii="Verdana" w:hAnsi="Verdana" w:cs="Arial"/>
          <w:lang w:val="es-ES"/>
        </w:rPr>
        <w:lastRenderedPageBreak/>
        <w:t>el hígado, siendo la esteatosis moderada</w:t>
      </w:r>
      <w:r w:rsidRPr="00834BFA">
        <w:rPr>
          <w:rFonts w:ascii="Verdana" w:hAnsi="Verdana" w:cs="Arial"/>
        </w:rPr>
        <w:t xml:space="preserve"> </w:t>
      </w:r>
      <w:r w:rsidRPr="00834BFA">
        <w:rPr>
          <w:rFonts w:ascii="Verdana" w:hAnsi="Verdana" w:cs="Arial"/>
          <w:lang w:val="es-ES"/>
        </w:rPr>
        <w:t>la que se encontró con mayor frecuencia en estos pacientes.</w:t>
      </w:r>
      <w:r w:rsidRPr="00834BFA">
        <w:rPr>
          <w:rFonts w:ascii="Verdana" w:hAnsi="Verdana" w:cs="Arial"/>
        </w:rPr>
        <w:t xml:space="preserve"> </w:t>
      </w:r>
      <w:r w:rsidRPr="00834BFA">
        <w:rPr>
          <w:rFonts w:ascii="Verdana" w:hAnsi="Verdana" w:cs="Arial"/>
          <w:lang w:val="es-ES"/>
        </w:rPr>
        <w:t>El mayor por ciento de los pacientes que presentaban diabetes mellitus tipo 2 y enfermedad por hígado graso no alcohólico fueron evaluados con sobrepeso, aunque también se pueden apreciar en pacientes normopeso, condición que exhorta a prestar especial atención en esta población.</w:t>
      </w:r>
      <w:r w:rsidRPr="00834BFA">
        <w:rPr>
          <w:rFonts w:ascii="Verdana" w:hAnsi="Verdana" w:cs="Arial"/>
        </w:rPr>
        <w:t xml:space="preserve"> </w:t>
      </w:r>
      <w:r w:rsidRPr="00834BFA">
        <w:rPr>
          <w:rFonts w:ascii="Verdana" w:hAnsi="Verdana" w:cs="Arial"/>
          <w:lang w:val="es-ES"/>
        </w:rPr>
        <w:t>Entre la obesidad y la presencia de hígado graso no alcohólico se encontró estrecha relación. Al evaluar la fibrosis se determinó que esta se encuentra asociada a la obesidad.</w:t>
      </w:r>
    </w:p>
    <w:p w:rsidR="00834BFA" w:rsidRPr="00834BFA" w:rsidRDefault="00834BFA" w:rsidP="00834BFA">
      <w:pPr>
        <w:spacing w:after="0"/>
        <w:jc w:val="both"/>
        <w:rPr>
          <w:rFonts w:ascii="Verdana" w:hAnsi="Verdana" w:cs="Arial"/>
          <w:lang w:val="es-ES"/>
        </w:rPr>
      </w:pPr>
    </w:p>
    <w:p w:rsidR="00834BFA" w:rsidRPr="0062002A" w:rsidRDefault="0062002A" w:rsidP="00834BFA">
      <w:pPr>
        <w:spacing w:after="0"/>
        <w:jc w:val="both"/>
        <w:rPr>
          <w:rFonts w:ascii="Verdana" w:hAnsi="Verdana" w:cs="Arial"/>
          <w:b/>
          <w:lang w:val="es-ES"/>
        </w:rPr>
      </w:pPr>
      <w:r w:rsidRPr="0062002A">
        <w:rPr>
          <w:rFonts w:ascii="Verdana" w:hAnsi="Verdana" w:cs="Arial"/>
          <w:b/>
          <w:lang w:val="es-ES"/>
        </w:rPr>
        <w:t xml:space="preserve">Bibliografía </w:t>
      </w:r>
    </w:p>
    <w:p w:rsidR="00834BFA" w:rsidRPr="00834BFA" w:rsidRDefault="00834BFA" w:rsidP="00834BFA">
      <w:pPr>
        <w:spacing w:after="0"/>
        <w:jc w:val="both"/>
        <w:rPr>
          <w:rFonts w:ascii="Verdana" w:hAnsi="Verdana" w:cs="Arial"/>
          <w:lang w:val="es-ES"/>
        </w:rPr>
      </w:pPr>
    </w:p>
    <w:p w:rsidR="00834BFA" w:rsidRPr="00834BFA" w:rsidRDefault="00834BFA" w:rsidP="00834BFA">
      <w:pPr>
        <w:pStyle w:val="Prrafodelista"/>
        <w:numPr>
          <w:ilvl w:val="0"/>
          <w:numId w:val="1"/>
        </w:numPr>
        <w:spacing w:after="0" w:line="240" w:lineRule="auto"/>
        <w:jc w:val="both"/>
        <w:rPr>
          <w:rFonts w:ascii="Verdana" w:eastAsia="Calibri" w:hAnsi="Verdana" w:cs="Arial"/>
          <w:color w:val="0563C1"/>
          <w:u w:val="single"/>
          <w:lang w:val="es-MX"/>
        </w:rPr>
      </w:pPr>
      <w:proofErr w:type="spellStart"/>
      <w:r w:rsidRPr="00834BFA">
        <w:rPr>
          <w:rFonts w:ascii="Verdana" w:eastAsia="Batang" w:hAnsi="Verdana" w:cs="Arial"/>
          <w:lang w:val="en-US"/>
        </w:rPr>
        <w:t>Younossi</w:t>
      </w:r>
      <w:proofErr w:type="spellEnd"/>
      <w:r w:rsidRPr="00834BFA">
        <w:rPr>
          <w:rFonts w:ascii="Verdana" w:eastAsia="Batang" w:hAnsi="Verdana" w:cs="Arial"/>
          <w:lang w:val="en-US"/>
        </w:rPr>
        <w:t xml:space="preserve"> Z, </w:t>
      </w:r>
      <w:proofErr w:type="spellStart"/>
      <w:r w:rsidRPr="00834BFA">
        <w:rPr>
          <w:rFonts w:ascii="Verdana" w:eastAsia="Batang" w:hAnsi="Verdana" w:cs="Arial"/>
          <w:lang w:val="en-US"/>
        </w:rPr>
        <w:t>Anstee</w:t>
      </w:r>
      <w:proofErr w:type="spellEnd"/>
      <w:r w:rsidRPr="00834BFA">
        <w:rPr>
          <w:rFonts w:ascii="Verdana" w:eastAsia="Batang" w:hAnsi="Verdana" w:cs="Arial"/>
          <w:lang w:val="en-US"/>
        </w:rPr>
        <w:t xml:space="preserve"> QM, </w:t>
      </w:r>
      <w:proofErr w:type="spellStart"/>
      <w:r w:rsidRPr="00834BFA">
        <w:rPr>
          <w:rFonts w:ascii="Verdana" w:eastAsia="Batang" w:hAnsi="Verdana" w:cs="Arial"/>
          <w:lang w:val="en-US"/>
        </w:rPr>
        <w:t>Marietti</w:t>
      </w:r>
      <w:proofErr w:type="spellEnd"/>
      <w:r w:rsidRPr="00834BFA">
        <w:rPr>
          <w:rFonts w:ascii="Verdana" w:eastAsia="Batang" w:hAnsi="Verdana" w:cs="Arial"/>
          <w:lang w:val="en-US"/>
        </w:rPr>
        <w:t xml:space="preserve"> M, Hardy T, Henry L, </w:t>
      </w:r>
      <w:proofErr w:type="spellStart"/>
      <w:r w:rsidRPr="00834BFA">
        <w:rPr>
          <w:rFonts w:ascii="Verdana" w:eastAsia="Batang" w:hAnsi="Verdana" w:cs="Arial"/>
          <w:lang w:val="en-US"/>
        </w:rPr>
        <w:t>Eslam</w:t>
      </w:r>
      <w:proofErr w:type="spellEnd"/>
      <w:r w:rsidRPr="00834BFA">
        <w:rPr>
          <w:rFonts w:ascii="Verdana" w:eastAsia="Batang" w:hAnsi="Verdana" w:cs="Arial"/>
          <w:lang w:val="en-US"/>
        </w:rPr>
        <w:t xml:space="preserve"> M, et al. Global burden of NAFLD and NASH: trends, predictions, risk factors and prevention. </w:t>
      </w:r>
      <w:proofErr w:type="spellStart"/>
      <w:r w:rsidRPr="00834BFA">
        <w:rPr>
          <w:rFonts w:ascii="Verdana" w:eastAsia="Batang" w:hAnsi="Verdana" w:cs="Arial"/>
          <w:lang w:val="es-MX"/>
        </w:rPr>
        <w:t>Nat</w:t>
      </w:r>
      <w:proofErr w:type="spellEnd"/>
      <w:r w:rsidRPr="00834BFA">
        <w:rPr>
          <w:rFonts w:ascii="Verdana" w:eastAsia="Batang" w:hAnsi="Verdana" w:cs="Arial"/>
          <w:lang w:val="es-MX"/>
        </w:rPr>
        <w:t xml:space="preserve"> </w:t>
      </w:r>
      <w:proofErr w:type="spellStart"/>
      <w:r w:rsidRPr="00834BFA">
        <w:rPr>
          <w:rFonts w:ascii="Verdana" w:eastAsia="Batang" w:hAnsi="Verdana" w:cs="Arial"/>
          <w:lang w:val="es-MX"/>
        </w:rPr>
        <w:t>Rev</w:t>
      </w:r>
      <w:proofErr w:type="spellEnd"/>
      <w:r w:rsidRPr="00834BFA">
        <w:rPr>
          <w:rFonts w:ascii="Verdana" w:eastAsia="Batang" w:hAnsi="Verdana" w:cs="Arial"/>
          <w:lang w:val="es-MX"/>
        </w:rPr>
        <w:t xml:space="preserve"> </w:t>
      </w:r>
      <w:proofErr w:type="spellStart"/>
      <w:r w:rsidRPr="00834BFA">
        <w:rPr>
          <w:rFonts w:ascii="Verdana" w:eastAsia="Batang" w:hAnsi="Verdana" w:cs="Arial"/>
          <w:lang w:val="es-MX"/>
        </w:rPr>
        <w:t>Gastroenterol</w:t>
      </w:r>
      <w:proofErr w:type="spellEnd"/>
      <w:r w:rsidRPr="00834BFA">
        <w:rPr>
          <w:rFonts w:ascii="Verdana" w:eastAsia="Batang" w:hAnsi="Verdana" w:cs="Arial"/>
          <w:lang w:val="es-MX"/>
        </w:rPr>
        <w:t xml:space="preserve"> </w:t>
      </w:r>
      <w:proofErr w:type="spellStart"/>
      <w:r w:rsidRPr="00834BFA">
        <w:rPr>
          <w:rFonts w:ascii="Verdana" w:eastAsia="Batang" w:hAnsi="Verdana" w:cs="Arial"/>
          <w:lang w:val="es-MX"/>
        </w:rPr>
        <w:t>Hepatol</w:t>
      </w:r>
      <w:proofErr w:type="spellEnd"/>
      <w:r w:rsidRPr="00834BFA">
        <w:rPr>
          <w:rFonts w:ascii="Verdana" w:eastAsia="Batang" w:hAnsi="Verdana" w:cs="Arial"/>
          <w:lang w:val="es-MX"/>
        </w:rPr>
        <w:t xml:space="preserve"> [Internet]. </w:t>
      </w:r>
      <w:r w:rsidRPr="00834BFA">
        <w:rPr>
          <w:rFonts w:ascii="Verdana" w:eastAsia="Batang" w:hAnsi="Verdana" w:cs="Arial"/>
          <w:lang w:val="es-ES"/>
        </w:rPr>
        <w:t>2018 [citado 12 Mar 2019] ;15 :11– 20.  Disponible en:</w:t>
      </w:r>
      <w:r w:rsidRPr="00834BFA">
        <w:rPr>
          <w:rFonts w:ascii="Verdana" w:eastAsia="Calibri" w:hAnsi="Verdana" w:cs="Arial"/>
          <w:color w:val="0563C1"/>
          <w:u w:val="single"/>
          <w:lang w:val="es-MX"/>
        </w:rPr>
        <w:t>https://iris.unito.it/retrieve/handle/2318/1659230/565524/Nat%20Rev%20Bugianesi_V2_revised.pdf</w:t>
      </w:r>
    </w:p>
    <w:p w:rsidR="00834BFA" w:rsidRPr="00834BFA" w:rsidRDefault="00834BFA" w:rsidP="00834BFA">
      <w:pPr>
        <w:numPr>
          <w:ilvl w:val="0"/>
          <w:numId w:val="1"/>
        </w:numPr>
        <w:suppressAutoHyphens/>
        <w:spacing w:after="0" w:line="240" w:lineRule="auto"/>
        <w:ind w:left="646" w:hanging="646"/>
        <w:jc w:val="both"/>
        <w:rPr>
          <w:rFonts w:ascii="Verdana" w:eastAsia="Batang" w:hAnsi="Verdana" w:cs="Arial"/>
          <w:lang w:val="es-ES"/>
        </w:rPr>
      </w:pPr>
      <w:r w:rsidRPr="00834BFA">
        <w:rPr>
          <w:rFonts w:ascii="Verdana" w:eastAsia="Batang" w:hAnsi="Verdana" w:cs="Arial"/>
          <w:lang w:val="en-US"/>
        </w:rPr>
        <w:t xml:space="preserve">Iqbal U, </w:t>
      </w:r>
      <w:proofErr w:type="spellStart"/>
      <w:r w:rsidRPr="00834BFA">
        <w:rPr>
          <w:rFonts w:ascii="Verdana" w:eastAsia="Batang" w:hAnsi="Verdana" w:cs="Arial"/>
          <w:lang w:val="en-US"/>
        </w:rPr>
        <w:t>Perumpail</w:t>
      </w:r>
      <w:proofErr w:type="spellEnd"/>
      <w:r w:rsidRPr="00834BFA">
        <w:rPr>
          <w:rFonts w:ascii="Verdana" w:eastAsia="Batang" w:hAnsi="Verdana" w:cs="Arial"/>
          <w:lang w:val="en-US"/>
        </w:rPr>
        <w:t xml:space="preserve"> B. J, Akhtar D, Kim D, Ahmed A. The epidemiology, risk profiling and diagnostic challenges of nonalcoholic fatty liver disease. </w:t>
      </w:r>
      <w:r w:rsidRPr="00834BFA">
        <w:rPr>
          <w:rFonts w:ascii="Verdana" w:eastAsia="Batang" w:hAnsi="Verdana" w:cs="Arial"/>
          <w:lang w:val="es-ES"/>
        </w:rPr>
        <w:t>Medicines [Internet]. 2019. [citado 12 Mar 2019</w:t>
      </w:r>
      <w:proofErr w:type="gramStart"/>
      <w:r w:rsidRPr="00834BFA">
        <w:rPr>
          <w:rFonts w:ascii="Verdana" w:eastAsia="Batang" w:hAnsi="Verdana" w:cs="Arial"/>
          <w:lang w:val="es-ES"/>
        </w:rPr>
        <w:t>] ;</w:t>
      </w:r>
      <w:proofErr w:type="gramEnd"/>
      <w:r w:rsidRPr="00834BFA">
        <w:rPr>
          <w:rFonts w:ascii="Verdana" w:eastAsia="Batang" w:hAnsi="Verdana" w:cs="Arial"/>
          <w:lang w:val="es-ES"/>
        </w:rPr>
        <w:t xml:space="preserve"> 6(1): 41. Disponible en: </w:t>
      </w:r>
      <w:r w:rsidRPr="00834BFA">
        <w:rPr>
          <w:rFonts w:ascii="Verdana" w:eastAsia="Calibri" w:hAnsi="Verdana" w:cs="Arial"/>
          <w:color w:val="0563C1"/>
          <w:u w:val="single"/>
          <w:lang w:val="es-MX"/>
        </w:rPr>
        <w:t>https://www.mdpi.com/2305-6320/6/1/41/pdf</w:t>
      </w:r>
    </w:p>
    <w:p w:rsidR="00834BFA" w:rsidRPr="00834BFA" w:rsidRDefault="00834BFA" w:rsidP="00834BFA">
      <w:pPr>
        <w:numPr>
          <w:ilvl w:val="0"/>
          <w:numId w:val="1"/>
        </w:numPr>
        <w:suppressAutoHyphens/>
        <w:spacing w:after="0" w:line="240" w:lineRule="auto"/>
        <w:ind w:left="646" w:hanging="646"/>
        <w:jc w:val="both"/>
        <w:rPr>
          <w:rFonts w:ascii="Verdana" w:eastAsia="Batang" w:hAnsi="Verdana" w:cs="Arial"/>
          <w:lang w:val="en-US"/>
        </w:rPr>
      </w:pPr>
      <w:r w:rsidRPr="00834BFA">
        <w:rPr>
          <w:rFonts w:ascii="Verdana" w:eastAsia="Batang" w:hAnsi="Verdana" w:cs="Arial"/>
          <w:lang w:val="es-MX" w:eastAsia="ar-SA"/>
        </w:rPr>
        <w:t xml:space="preserve"> </w:t>
      </w:r>
      <w:proofErr w:type="spellStart"/>
      <w:r w:rsidRPr="00834BFA">
        <w:rPr>
          <w:rFonts w:ascii="Verdana" w:eastAsia="Batang" w:hAnsi="Verdana" w:cs="Arial"/>
          <w:lang w:val="en-US"/>
        </w:rPr>
        <w:t>Kwak</w:t>
      </w:r>
      <w:proofErr w:type="spellEnd"/>
      <w:r w:rsidRPr="00834BFA">
        <w:rPr>
          <w:rFonts w:ascii="Verdana" w:eastAsia="Batang" w:hAnsi="Verdana" w:cs="Arial"/>
          <w:lang w:val="en-US"/>
        </w:rPr>
        <w:t xml:space="preserve"> MS, Kim D. Non-alcoholic fatty liver disease and lifestyle modifications, focusing on physical activity. The Korean journal of internal medicine [Internet]. 2018 [</w:t>
      </w:r>
      <w:proofErr w:type="spellStart"/>
      <w:r w:rsidRPr="00834BFA">
        <w:rPr>
          <w:rFonts w:ascii="Verdana" w:eastAsia="Batang" w:hAnsi="Verdana" w:cs="Arial"/>
          <w:lang w:val="en-US"/>
        </w:rPr>
        <w:t>citado</w:t>
      </w:r>
      <w:proofErr w:type="spellEnd"/>
      <w:r w:rsidRPr="00834BFA">
        <w:rPr>
          <w:rFonts w:ascii="Verdana" w:eastAsia="Batang" w:hAnsi="Verdana" w:cs="Arial"/>
          <w:lang w:val="en-US"/>
        </w:rPr>
        <w:t xml:space="preserve"> 12 </w:t>
      </w:r>
      <w:proofErr w:type="spellStart"/>
      <w:r w:rsidRPr="00834BFA">
        <w:rPr>
          <w:rFonts w:ascii="Verdana" w:eastAsia="Batang" w:hAnsi="Verdana" w:cs="Arial"/>
          <w:lang w:val="en-US"/>
        </w:rPr>
        <w:t>Abr</w:t>
      </w:r>
      <w:proofErr w:type="spellEnd"/>
      <w:r w:rsidRPr="00834BFA">
        <w:rPr>
          <w:rFonts w:ascii="Verdana" w:eastAsia="Batang" w:hAnsi="Verdana" w:cs="Arial"/>
          <w:lang w:val="en-US"/>
        </w:rPr>
        <w:t xml:space="preserve"> 2020]; 33(1): 64-74 </w:t>
      </w:r>
      <w:proofErr w:type="spellStart"/>
      <w:r w:rsidRPr="00834BFA">
        <w:rPr>
          <w:rFonts w:ascii="Verdana" w:eastAsia="Batang" w:hAnsi="Verdana" w:cs="Arial"/>
          <w:lang w:val="en-US"/>
        </w:rPr>
        <w:t>Disponible</w:t>
      </w:r>
      <w:proofErr w:type="spellEnd"/>
      <w:r w:rsidRPr="00834BFA">
        <w:rPr>
          <w:rFonts w:ascii="Verdana" w:eastAsia="Batang" w:hAnsi="Verdana" w:cs="Arial"/>
          <w:lang w:val="en-US"/>
        </w:rPr>
        <w:t xml:space="preserve"> en: </w:t>
      </w:r>
      <w:r w:rsidRPr="00834BFA">
        <w:rPr>
          <w:rFonts w:ascii="Verdana" w:eastAsia="Calibri" w:hAnsi="Verdana" w:cs="Arial"/>
          <w:color w:val="0563C1"/>
          <w:u w:val="single"/>
          <w:lang w:val="en-US"/>
        </w:rPr>
        <w:t>https://www.ncbi.nlm.nih.gov/pmc/articles/PMC5768549/</w:t>
      </w:r>
    </w:p>
    <w:p w:rsidR="00834BFA" w:rsidRPr="00834BFA" w:rsidRDefault="00834BFA" w:rsidP="00834BFA">
      <w:pPr>
        <w:numPr>
          <w:ilvl w:val="0"/>
          <w:numId w:val="1"/>
        </w:numPr>
        <w:suppressAutoHyphens/>
        <w:spacing w:before="100" w:beforeAutospacing="1" w:after="100" w:afterAutospacing="1" w:line="240" w:lineRule="auto"/>
        <w:ind w:left="646" w:hanging="646"/>
        <w:jc w:val="both"/>
        <w:rPr>
          <w:rFonts w:ascii="Verdana" w:eastAsia="Batang" w:hAnsi="Verdana" w:cs="Arial"/>
          <w:lang w:val="es-MX" w:eastAsia="de-DE"/>
        </w:rPr>
      </w:pPr>
      <w:proofErr w:type="spellStart"/>
      <w:r w:rsidRPr="00834BFA">
        <w:rPr>
          <w:rFonts w:ascii="Verdana" w:eastAsia="Batang" w:hAnsi="Verdana" w:cs="Arial"/>
          <w:lang w:val="en-US"/>
        </w:rPr>
        <w:t>Ballestri</w:t>
      </w:r>
      <w:proofErr w:type="spellEnd"/>
      <w:r w:rsidRPr="00834BFA">
        <w:rPr>
          <w:rFonts w:ascii="Verdana" w:eastAsia="Batang" w:hAnsi="Verdana" w:cs="Arial"/>
          <w:lang w:val="en-US"/>
        </w:rPr>
        <w:t xml:space="preserve"> S, </w:t>
      </w:r>
      <w:proofErr w:type="spellStart"/>
      <w:r w:rsidRPr="00834BFA">
        <w:rPr>
          <w:rFonts w:ascii="Verdana" w:eastAsia="Batang" w:hAnsi="Verdana" w:cs="Arial"/>
          <w:lang w:val="en-US"/>
        </w:rPr>
        <w:t>Zona</w:t>
      </w:r>
      <w:proofErr w:type="spellEnd"/>
      <w:r w:rsidRPr="00834BFA">
        <w:rPr>
          <w:rFonts w:ascii="Verdana" w:eastAsia="Batang" w:hAnsi="Verdana" w:cs="Arial"/>
          <w:lang w:val="en-US"/>
        </w:rPr>
        <w:t xml:space="preserve"> S, </w:t>
      </w:r>
      <w:proofErr w:type="spellStart"/>
      <w:r w:rsidRPr="00834BFA">
        <w:rPr>
          <w:rFonts w:ascii="Verdana" w:eastAsia="Batang" w:hAnsi="Verdana" w:cs="Arial"/>
          <w:lang w:val="en-US"/>
        </w:rPr>
        <w:t>Targher</w:t>
      </w:r>
      <w:proofErr w:type="spellEnd"/>
      <w:r w:rsidRPr="00834BFA">
        <w:rPr>
          <w:rFonts w:ascii="Verdana" w:eastAsia="Batang" w:hAnsi="Verdana" w:cs="Arial"/>
          <w:lang w:val="en-US"/>
        </w:rPr>
        <w:t xml:space="preserve"> G, </w:t>
      </w:r>
      <w:proofErr w:type="spellStart"/>
      <w:r w:rsidRPr="00834BFA">
        <w:rPr>
          <w:rFonts w:ascii="Verdana" w:eastAsia="Batang" w:hAnsi="Verdana" w:cs="Arial"/>
          <w:lang w:val="en-US"/>
        </w:rPr>
        <w:t>Romagnoli</w:t>
      </w:r>
      <w:proofErr w:type="spellEnd"/>
      <w:r w:rsidRPr="00834BFA">
        <w:rPr>
          <w:rFonts w:ascii="Verdana" w:eastAsia="Batang" w:hAnsi="Verdana" w:cs="Arial"/>
          <w:lang w:val="en-US"/>
        </w:rPr>
        <w:t xml:space="preserve"> D, </w:t>
      </w:r>
      <w:proofErr w:type="spellStart"/>
      <w:r w:rsidRPr="00834BFA">
        <w:rPr>
          <w:rFonts w:ascii="Verdana" w:eastAsia="Batang" w:hAnsi="Verdana" w:cs="Arial"/>
          <w:lang w:val="en-US"/>
        </w:rPr>
        <w:t>Baldelli</w:t>
      </w:r>
      <w:proofErr w:type="spellEnd"/>
      <w:r w:rsidRPr="00834BFA">
        <w:rPr>
          <w:rFonts w:ascii="Verdana" w:eastAsia="Batang" w:hAnsi="Verdana" w:cs="Arial"/>
          <w:lang w:val="en-US"/>
        </w:rPr>
        <w:t xml:space="preserve"> E, </w:t>
      </w:r>
      <w:proofErr w:type="spellStart"/>
      <w:r w:rsidRPr="00834BFA">
        <w:rPr>
          <w:rFonts w:ascii="Verdana" w:eastAsia="Batang" w:hAnsi="Verdana" w:cs="Arial"/>
          <w:lang w:val="en-US"/>
        </w:rPr>
        <w:t>Nascimbeni</w:t>
      </w:r>
      <w:proofErr w:type="spellEnd"/>
      <w:r w:rsidRPr="00834BFA">
        <w:rPr>
          <w:rFonts w:ascii="Verdana" w:eastAsia="Batang" w:hAnsi="Verdana" w:cs="Arial"/>
          <w:lang w:val="en-US"/>
        </w:rPr>
        <w:t xml:space="preserve"> F, et al. Nonalcoholic fatty liver disease is associated with an almost twofold increased risk of incident type 2 diabetes and metabolic syndrome. Evidence from a systematic review and meta</w:t>
      </w:r>
      <w:r w:rsidRPr="00834BFA">
        <w:rPr>
          <w:rFonts w:ascii="Cambria Math" w:eastAsia="Batang" w:hAnsi="Cambria Math" w:cs="Cambria Math"/>
          <w:lang w:val="en-US"/>
        </w:rPr>
        <w:t>‐</w:t>
      </w:r>
      <w:r w:rsidRPr="00834BFA">
        <w:rPr>
          <w:rFonts w:ascii="Verdana" w:eastAsia="Batang" w:hAnsi="Verdana" w:cs="Arial"/>
          <w:lang w:val="en-US"/>
        </w:rPr>
        <w:t xml:space="preserve">analysis. Journal of gastroenterology and </w:t>
      </w:r>
      <w:proofErr w:type="spellStart"/>
      <w:r w:rsidRPr="00834BFA">
        <w:rPr>
          <w:rFonts w:ascii="Verdana" w:eastAsia="Batang" w:hAnsi="Verdana" w:cs="Arial"/>
          <w:lang w:val="en-US"/>
        </w:rPr>
        <w:t>hepatology</w:t>
      </w:r>
      <w:proofErr w:type="spellEnd"/>
      <w:r w:rsidRPr="00834BFA">
        <w:rPr>
          <w:rFonts w:ascii="Verdana" w:eastAsia="Batang" w:hAnsi="Verdana" w:cs="Arial"/>
          <w:lang w:val="en-US" w:eastAsia="de-DE"/>
        </w:rPr>
        <w:t xml:space="preserve"> </w:t>
      </w:r>
      <w:r w:rsidRPr="00834BFA">
        <w:rPr>
          <w:rFonts w:ascii="Verdana" w:eastAsia="Batang" w:hAnsi="Verdana" w:cs="Arial"/>
          <w:lang w:val="en-US"/>
        </w:rPr>
        <w:t xml:space="preserve">[Internet]. </w:t>
      </w:r>
      <w:r w:rsidRPr="00834BFA">
        <w:rPr>
          <w:rFonts w:ascii="Verdana" w:eastAsia="Batang" w:hAnsi="Verdana" w:cs="Arial"/>
          <w:lang w:val="es-MX"/>
        </w:rPr>
        <w:t>2016 [citado 12 Abr 2020]; 31(5): 936-44.</w:t>
      </w:r>
      <w:r w:rsidRPr="00834BFA">
        <w:rPr>
          <w:rFonts w:ascii="Verdana" w:eastAsia="Batang" w:hAnsi="Verdana" w:cs="Arial"/>
          <w:lang w:val="es-MX" w:eastAsia="de-DE"/>
        </w:rPr>
        <w:t xml:space="preserve"> Disponible en:</w:t>
      </w:r>
      <w:r w:rsidRPr="00834BFA">
        <w:rPr>
          <w:rFonts w:ascii="Verdana" w:eastAsia="Calibri" w:hAnsi="Verdana" w:cs="Arial"/>
          <w:lang w:val="es-MX"/>
        </w:rPr>
        <w:t xml:space="preserve"> </w:t>
      </w:r>
      <w:hyperlink r:id="rId8" w:history="1">
        <w:r w:rsidRPr="00834BFA">
          <w:rPr>
            <w:rFonts w:ascii="Verdana" w:eastAsia="Calibri" w:hAnsi="Verdana" w:cs="Arial"/>
            <w:color w:val="0563C1"/>
            <w:u w:val="single"/>
            <w:lang w:val="es-MX"/>
          </w:rPr>
          <w:t>https://onlinelibrary.wiley.com/doi/pdfdirect/10.1111/JGH.13264?casa_token=GgHnky5z6t8AAAAA:Yg6aO1Q0PcA6WdgLe4UFo-SzX2mokDgCQOfuXa5bxRsWZLkNnSPnbPR7Z53xz6ST_oicuaKJRB9Rd4hlxQ</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Batang" w:hAnsi="Verdana" w:cs="Arial"/>
          <w:lang w:val="es-MX"/>
        </w:rPr>
      </w:pPr>
      <w:r w:rsidRPr="00834BFA">
        <w:rPr>
          <w:rFonts w:ascii="Verdana" w:eastAsia="Batang" w:hAnsi="Verdana" w:cs="Arial"/>
          <w:lang w:val="en-US"/>
        </w:rPr>
        <w:t xml:space="preserve">European Association for the Study of the L, European Association for the Study of D, European Association for the Study of O. EASL-EASD-EASO Clinical Practice Guidelines for the management of non-alcoholic fatty liver disease. Journal of </w:t>
      </w:r>
      <w:proofErr w:type="spellStart"/>
      <w:r w:rsidRPr="00834BFA">
        <w:rPr>
          <w:rFonts w:ascii="Verdana" w:eastAsia="Batang" w:hAnsi="Verdana" w:cs="Arial"/>
          <w:lang w:val="en-US"/>
        </w:rPr>
        <w:t>hepatology</w:t>
      </w:r>
      <w:proofErr w:type="spellEnd"/>
      <w:r w:rsidRPr="00834BFA">
        <w:rPr>
          <w:rFonts w:ascii="Verdana" w:eastAsia="Batang" w:hAnsi="Verdana" w:cs="Arial"/>
          <w:lang w:val="en-US"/>
        </w:rPr>
        <w:t xml:space="preserve"> [Internet]. 2016 [</w:t>
      </w:r>
      <w:proofErr w:type="spellStart"/>
      <w:r w:rsidRPr="00834BFA">
        <w:rPr>
          <w:rFonts w:ascii="Verdana" w:eastAsia="Batang" w:hAnsi="Verdana" w:cs="Arial"/>
          <w:lang w:val="en-US"/>
        </w:rPr>
        <w:t>citado</w:t>
      </w:r>
      <w:proofErr w:type="spellEnd"/>
      <w:r w:rsidRPr="00834BFA">
        <w:rPr>
          <w:rFonts w:ascii="Verdana" w:eastAsia="Batang" w:hAnsi="Verdana" w:cs="Arial"/>
          <w:lang w:val="en-US"/>
        </w:rPr>
        <w:t xml:space="preserve"> 18 </w:t>
      </w:r>
      <w:proofErr w:type="spellStart"/>
      <w:r w:rsidRPr="00834BFA">
        <w:rPr>
          <w:rFonts w:ascii="Verdana" w:eastAsia="Batang" w:hAnsi="Verdana" w:cs="Arial"/>
          <w:lang w:val="en-US"/>
        </w:rPr>
        <w:t>Abr</w:t>
      </w:r>
      <w:proofErr w:type="spellEnd"/>
      <w:r w:rsidRPr="00834BFA">
        <w:rPr>
          <w:rFonts w:ascii="Verdana" w:eastAsia="Batang" w:hAnsi="Verdana" w:cs="Arial"/>
          <w:lang w:val="en-US"/>
        </w:rPr>
        <w:t xml:space="preserve"> 2020]; 64(6): 1388-402. </w:t>
      </w:r>
      <w:r w:rsidRPr="00834BFA">
        <w:rPr>
          <w:rFonts w:ascii="Verdana" w:eastAsia="Batang" w:hAnsi="Verdana" w:cs="Arial"/>
          <w:lang w:val="es-MX"/>
        </w:rPr>
        <w:t xml:space="preserve">Disponible en: </w:t>
      </w:r>
      <w:hyperlink r:id="rId9" w:history="1">
        <w:r w:rsidRPr="00834BFA">
          <w:rPr>
            <w:rFonts w:ascii="Verdana" w:eastAsia="Calibri" w:hAnsi="Verdana" w:cs="Arial"/>
            <w:color w:val="0563C1"/>
            <w:u w:val="single"/>
            <w:lang w:val="es-MX"/>
          </w:rPr>
          <w:t>https://www.ncbi.nlm.nih.gov/pmc/articles/PMC6092580/</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Batang" w:hAnsi="Verdana" w:cs="Arial"/>
          <w:lang w:val="es-ES"/>
        </w:rPr>
      </w:pPr>
      <w:proofErr w:type="spellStart"/>
      <w:r w:rsidRPr="00834BFA">
        <w:rPr>
          <w:rFonts w:ascii="Verdana" w:eastAsia="Batang" w:hAnsi="Verdana" w:cs="Arial"/>
          <w:lang w:val="es-ES"/>
        </w:rPr>
        <w:t>Chalasani</w:t>
      </w:r>
      <w:proofErr w:type="spellEnd"/>
      <w:r w:rsidRPr="00834BFA">
        <w:rPr>
          <w:rFonts w:ascii="Verdana" w:eastAsia="Batang" w:hAnsi="Verdana" w:cs="Arial"/>
          <w:lang w:val="es-ES"/>
        </w:rPr>
        <w:t xml:space="preserve"> N, </w:t>
      </w:r>
      <w:proofErr w:type="spellStart"/>
      <w:r w:rsidRPr="00834BFA">
        <w:rPr>
          <w:rFonts w:ascii="Verdana" w:eastAsia="Batang" w:hAnsi="Verdana" w:cs="Arial"/>
          <w:lang w:val="es-ES"/>
        </w:rPr>
        <w:t>Younossi</w:t>
      </w:r>
      <w:proofErr w:type="spellEnd"/>
      <w:r w:rsidRPr="00834BFA">
        <w:rPr>
          <w:rFonts w:ascii="Verdana" w:eastAsia="Batang" w:hAnsi="Verdana" w:cs="Arial"/>
          <w:lang w:val="es-ES"/>
        </w:rPr>
        <w:t xml:space="preserve"> Z, </w:t>
      </w:r>
      <w:proofErr w:type="spellStart"/>
      <w:r w:rsidRPr="00834BFA">
        <w:rPr>
          <w:rFonts w:ascii="Verdana" w:eastAsia="Batang" w:hAnsi="Verdana" w:cs="Arial"/>
          <w:lang w:val="es-ES"/>
        </w:rPr>
        <w:t>Lavine</w:t>
      </w:r>
      <w:proofErr w:type="spellEnd"/>
      <w:r w:rsidRPr="00834BFA">
        <w:rPr>
          <w:rFonts w:ascii="Verdana" w:eastAsia="Batang" w:hAnsi="Verdana" w:cs="Arial"/>
          <w:lang w:val="es-ES"/>
        </w:rPr>
        <w:t xml:space="preserve"> JE, Charlton M, Cusi K, </w:t>
      </w:r>
      <w:proofErr w:type="spellStart"/>
      <w:r w:rsidRPr="00834BFA">
        <w:rPr>
          <w:rFonts w:ascii="Verdana" w:eastAsia="Batang" w:hAnsi="Verdana" w:cs="Arial"/>
          <w:lang w:val="es-ES"/>
        </w:rPr>
        <w:t>Rinella</w:t>
      </w:r>
      <w:proofErr w:type="spellEnd"/>
      <w:r w:rsidRPr="00834BFA">
        <w:rPr>
          <w:rFonts w:ascii="Verdana" w:eastAsia="Batang" w:hAnsi="Verdana" w:cs="Arial"/>
          <w:lang w:val="es-ES"/>
        </w:rPr>
        <w:t xml:space="preserve"> M, et al. </w:t>
      </w:r>
      <w:r w:rsidRPr="00834BFA">
        <w:rPr>
          <w:rFonts w:ascii="Verdana" w:eastAsia="Batang" w:hAnsi="Verdana" w:cs="Arial"/>
          <w:lang w:val="en-US"/>
        </w:rPr>
        <w:t xml:space="preserve">The diagnosis and management of nonalcoholic fatty liver disease: Practice guidance from the American Association for the Study of Liver Diseases. </w:t>
      </w:r>
      <w:proofErr w:type="spellStart"/>
      <w:r w:rsidRPr="00834BFA">
        <w:rPr>
          <w:rFonts w:ascii="Verdana" w:eastAsia="Batang" w:hAnsi="Verdana" w:cs="Arial"/>
          <w:lang w:val="es-ES"/>
        </w:rPr>
        <w:t>Hepatology</w:t>
      </w:r>
      <w:proofErr w:type="spellEnd"/>
      <w:r w:rsidRPr="00834BFA">
        <w:rPr>
          <w:rFonts w:ascii="Verdana" w:eastAsia="Batang" w:hAnsi="Verdana" w:cs="Arial"/>
          <w:lang w:val="es-ES"/>
        </w:rPr>
        <w:t xml:space="preserve"> [Internet]. 2018 </w:t>
      </w:r>
      <w:proofErr w:type="spellStart"/>
      <w:r w:rsidRPr="00834BFA">
        <w:rPr>
          <w:rFonts w:ascii="Verdana" w:eastAsia="Batang" w:hAnsi="Verdana" w:cs="Arial"/>
          <w:lang w:val="es-ES"/>
        </w:rPr>
        <w:t>Jan</w:t>
      </w:r>
      <w:proofErr w:type="spellEnd"/>
      <w:r w:rsidRPr="00834BFA">
        <w:rPr>
          <w:rFonts w:ascii="Verdana" w:eastAsia="Batang" w:hAnsi="Verdana" w:cs="Arial"/>
          <w:lang w:val="es-ES"/>
        </w:rPr>
        <w:t xml:space="preserve"> [citado feb 2019]; 67(1):328–57. Disponible en: </w:t>
      </w:r>
      <w:hyperlink r:id="rId10" w:history="1">
        <w:r w:rsidRPr="00834BFA">
          <w:rPr>
            <w:rFonts w:ascii="Verdana" w:eastAsia="Calibri" w:hAnsi="Verdana" w:cs="Arial"/>
            <w:color w:val="0563C1"/>
            <w:u w:val="single"/>
            <w:lang w:val="es-MX"/>
          </w:rPr>
          <w:t>https://aasldpubs.onlinelibrary.wiley.com/doi/pdf/10.1002/hep.29367</w:t>
        </w:r>
      </w:hyperlink>
    </w:p>
    <w:p w:rsidR="00834BFA" w:rsidRPr="00834BFA" w:rsidRDefault="00834BFA" w:rsidP="00834BFA">
      <w:pPr>
        <w:numPr>
          <w:ilvl w:val="0"/>
          <w:numId w:val="1"/>
        </w:numPr>
        <w:suppressAutoHyphens/>
        <w:spacing w:before="100" w:beforeAutospacing="1" w:after="100" w:afterAutospacing="1" w:line="240" w:lineRule="auto"/>
        <w:ind w:left="646" w:hanging="646"/>
        <w:jc w:val="both"/>
        <w:rPr>
          <w:rFonts w:ascii="Verdana" w:eastAsia="Batang" w:hAnsi="Verdana" w:cs="Arial"/>
          <w:lang w:val="es-ES"/>
        </w:rPr>
      </w:pPr>
      <w:r w:rsidRPr="00834BFA">
        <w:rPr>
          <w:rFonts w:ascii="Verdana" w:eastAsia="Batang" w:hAnsi="Verdana" w:cs="Arial"/>
          <w:lang w:val="en-US"/>
        </w:rPr>
        <w:lastRenderedPageBreak/>
        <w:t xml:space="preserve">Estep M, Mehta R, </w:t>
      </w:r>
      <w:proofErr w:type="spellStart"/>
      <w:r w:rsidRPr="00834BFA">
        <w:rPr>
          <w:rFonts w:ascii="Verdana" w:eastAsia="Batang" w:hAnsi="Verdana" w:cs="Arial"/>
          <w:lang w:val="en-US"/>
        </w:rPr>
        <w:t>Bratthauer</w:t>
      </w:r>
      <w:proofErr w:type="spellEnd"/>
      <w:r w:rsidRPr="00834BFA">
        <w:rPr>
          <w:rFonts w:ascii="Verdana" w:eastAsia="Batang" w:hAnsi="Verdana" w:cs="Arial"/>
          <w:lang w:val="en-US"/>
        </w:rPr>
        <w:t xml:space="preserve"> G, </w:t>
      </w:r>
      <w:proofErr w:type="spellStart"/>
      <w:r w:rsidRPr="00834BFA">
        <w:rPr>
          <w:rFonts w:ascii="Verdana" w:eastAsia="Batang" w:hAnsi="Verdana" w:cs="Arial"/>
          <w:lang w:val="en-US"/>
        </w:rPr>
        <w:t>Alaparthi</w:t>
      </w:r>
      <w:proofErr w:type="spellEnd"/>
      <w:r w:rsidRPr="00834BFA">
        <w:rPr>
          <w:rFonts w:ascii="Verdana" w:eastAsia="Batang" w:hAnsi="Verdana" w:cs="Arial"/>
          <w:lang w:val="en-US"/>
        </w:rPr>
        <w:t xml:space="preserve"> L, </w:t>
      </w:r>
      <w:proofErr w:type="spellStart"/>
      <w:r w:rsidRPr="00834BFA">
        <w:rPr>
          <w:rFonts w:ascii="Verdana" w:eastAsia="Batang" w:hAnsi="Verdana" w:cs="Arial"/>
          <w:lang w:val="en-US"/>
        </w:rPr>
        <w:t>Monge</w:t>
      </w:r>
      <w:proofErr w:type="spellEnd"/>
      <w:r w:rsidRPr="00834BFA">
        <w:rPr>
          <w:rFonts w:ascii="Verdana" w:eastAsia="Batang" w:hAnsi="Verdana" w:cs="Arial"/>
          <w:lang w:val="en-US"/>
        </w:rPr>
        <w:t xml:space="preserve"> F, Ali S, et al. Hepatic sonic hedgehog protein expression measured by computer assisted morphometry significantly correlates with features of non-alcoholic </w:t>
      </w:r>
      <w:proofErr w:type="spellStart"/>
      <w:r w:rsidRPr="00834BFA">
        <w:rPr>
          <w:rFonts w:ascii="Verdana" w:eastAsia="Batang" w:hAnsi="Verdana" w:cs="Arial"/>
          <w:lang w:val="en-US"/>
        </w:rPr>
        <w:t>steatohepatitis</w:t>
      </w:r>
      <w:proofErr w:type="spellEnd"/>
      <w:r w:rsidRPr="00834BFA">
        <w:rPr>
          <w:rFonts w:ascii="Verdana" w:eastAsia="Batang" w:hAnsi="Verdana" w:cs="Arial"/>
          <w:lang w:val="en-US"/>
        </w:rPr>
        <w:t xml:space="preserve">. </w:t>
      </w:r>
      <w:r w:rsidRPr="00834BFA">
        <w:rPr>
          <w:rFonts w:ascii="Verdana" w:eastAsia="Batang" w:hAnsi="Verdana" w:cs="Arial"/>
          <w:lang w:val="es-MX"/>
        </w:rPr>
        <w:t xml:space="preserve">BMC </w:t>
      </w:r>
      <w:proofErr w:type="spellStart"/>
      <w:r w:rsidRPr="00834BFA">
        <w:rPr>
          <w:rFonts w:ascii="Verdana" w:eastAsia="Batang" w:hAnsi="Verdana" w:cs="Arial"/>
          <w:lang w:val="es-MX"/>
        </w:rPr>
        <w:t>Gastroenterol</w:t>
      </w:r>
      <w:proofErr w:type="spellEnd"/>
      <w:r w:rsidRPr="00834BFA">
        <w:rPr>
          <w:rFonts w:ascii="Verdana" w:eastAsia="Batang" w:hAnsi="Verdana" w:cs="Arial"/>
          <w:lang w:val="es-MX"/>
        </w:rPr>
        <w:t xml:space="preserve"> [Internet]. 2019  [citado feb 2020]</w:t>
      </w:r>
      <w:proofErr w:type="gramStart"/>
      <w:r w:rsidRPr="00834BFA">
        <w:rPr>
          <w:rFonts w:ascii="Verdana" w:eastAsia="Batang" w:hAnsi="Verdana" w:cs="Arial"/>
          <w:lang w:val="es-MX"/>
        </w:rPr>
        <w:t>;19</w:t>
      </w:r>
      <w:proofErr w:type="gramEnd"/>
      <w:r w:rsidRPr="00834BFA">
        <w:rPr>
          <w:rFonts w:ascii="Verdana" w:eastAsia="Batang" w:hAnsi="Verdana" w:cs="Arial"/>
          <w:lang w:val="es-MX"/>
        </w:rPr>
        <w:t xml:space="preserve">(1):27. </w:t>
      </w:r>
      <w:r w:rsidRPr="00834BFA">
        <w:rPr>
          <w:rFonts w:ascii="Verdana" w:eastAsia="Batang" w:hAnsi="Verdana" w:cs="Arial"/>
          <w:lang w:val="es-ES"/>
        </w:rPr>
        <w:t xml:space="preserve">Disponible en: </w:t>
      </w:r>
      <w:r w:rsidRPr="00834BFA">
        <w:rPr>
          <w:rFonts w:ascii="Verdana" w:eastAsia="Calibri" w:hAnsi="Verdana" w:cs="Arial"/>
          <w:color w:val="0563C1"/>
          <w:u w:val="single"/>
          <w:lang w:val="es-MX"/>
        </w:rPr>
        <w:t>https://bmcgastroenterol.biomedcentral.com/articles/10.1186/s12876-019-0951-y</w:t>
      </w:r>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proofErr w:type="spellStart"/>
      <w:r w:rsidRPr="00834BFA">
        <w:rPr>
          <w:rFonts w:ascii="Verdana" w:eastAsia="Batang" w:hAnsi="Verdana" w:cs="Arial"/>
          <w:lang w:val="en-US"/>
        </w:rPr>
        <w:t>Younossi</w:t>
      </w:r>
      <w:proofErr w:type="spellEnd"/>
      <w:r w:rsidRPr="00834BFA">
        <w:rPr>
          <w:rFonts w:ascii="Verdana" w:eastAsia="Batang" w:hAnsi="Verdana" w:cs="Arial"/>
          <w:lang w:val="en-US"/>
        </w:rPr>
        <w:t xml:space="preserve"> ZM, Koenig AB, </w:t>
      </w:r>
      <w:proofErr w:type="spellStart"/>
      <w:r w:rsidRPr="00834BFA">
        <w:rPr>
          <w:rFonts w:ascii="Verdana" w:eastAsia="Batang" w:hAnsi="Verdana" w:cs="Arial"/>
          <w:lang w:val="en-US"/>
        </w:rPr>
        <w:t>Abdelatif</w:t>
      </w:r>
      <w:proofErr w:type="spellEnd"/>
      <w:r w:rsidRPr="00834BFA">
        <w:rPr>
          <w:rFonts w:ascii="Verdana" w:eastAsia="Batang" w:hAnsi="Verdana" w:cs="Arial"/>
          <w:lang w:val="en-US"/>
        </w:rPr>
        <w:t xml:space="preserve"> D, </w:t>
      </w:r>
      <w:proofErr w:type="spellStart"/>
      <w:r w:rsidRPr="00834BFA">
        <w:rPr>
          <w:rFonts w:ascii="Verdana" w:eastAsia="Batang" w:hAnsi="Verdana" w:cs="Arial"/>
          <w:lang w:val="en-US"/>
        </w:rPr>
        <w:t>Fazel</w:t>
      </w:r>
      <w:proofErr w:type="spellEnd"/>
      <w:r w:rsidRPr="00834BFA">
        <w:rPr>
          <w:rFonts w:ascii="Verdana" w:eastAsia="Batang" w:hAnsi="Verdana" w:cs="Arial"/>
          <w:lang w:val="en-US"/>
        </w:rPr>
        <w:t xml:space="preserve"> Y, Henry L, </w:t>
      </w:r>
      <w:proofErr w:type="spellStart"/>
      <w:r w:rsidRPr="00834BFA">
        <w:rPr>
          <w:rFonts w:ascii="Verdana" w:eastAsia="Batang" w:hAnsi="Verdana" w:cs="Arial"/>
          <w:lang w:val="en-US"/>
        </w:rPr>
        <w:t>Wymer</w:t>
      </w:r>
      <w:proofErr w:type="spellEnd"/>
      <w:r w:rsidRPr="00834BFA">
        <w:rPr>
          <w:rFonts w:ascii="Verdana" w:eastAsia="Batang" w:hAnsi="Verdana" w:cs="Arial"/>
          <w:lang w:val="en-US"/>
        </w:rPr>
        <w:t xml:space="preserve"> M. Global epidemiology of nonalcoholic fatty liver disease—Meta</w:t>
      </w:r>
      <w:r w:rsidRPr="00834BFA">
        <w:rPr>
          <w:rFonts w:ascii="Cambria Math" w:eastAsia="Batang" w:hAnsi="Cambria Math" w:cs="Cambria Math"/>
          <w:lang w:val="en-US"/>
        </w:rPr>
        <w:t>‐</w:t>
      </w:r>
      <w:r w:rsidRPr="00834BFA">
        <w:rPr>
          <w:rFonts w:ascii="Verdana" w:eastAsia="Batang" w:hAnsi="Verdana" w:cs="Arial"/>
          <w:lang w:val="en-US"/>
        </w:rPr>
        <w:t xml:space="preserve">analytic assessment of prevalence, incidence, and outcomes. </w:t>
      </w:r>
      <w:proofErr w:type="spellStart"/>
      <w:r w:rsidRPr="00834BFA">
        <w:rPr>
          <w:rFonts w:ascii="Verdana" w:eastAsia="Batang" w:hAnsi="Verdana" w:cs="Arial"/>
          <w:lang w:val="es-MX"/>
        </w:rPr>
        <w:t>Hepatology</w:t>
      </w:r>
      <w:proofErr w:type="spellEnd"/>
      <w:r w:rsidRPr="00834BFA">
        <w:rPr>
          <w:rFonts w:ascii="Verdana" w:eastAsia="Batang" w:hAnsi="Verdana" w:cs="Arial"/>
          <w:lang w:val="es-MX"/>
        </w:rPr>
        <w:t xml:space="preserve"> [Internet]. 2016[citado </w:t>
      </w:r>
      <w:proofErr w:type="spellStart"/>
      <w:r w:rsidRPr="00834BFA">
        <w:rPr>
          <w:rFonts w:ascii="Verdana" w:eastAsia="Batang" w:hAnsi="Verdana" w:cs="Arial"/>
          <w:lang w:val="es-MX"/>
        </w:rPr>
        <w:t>may</w:t>
      </w:r>
      <w:proofErr w:type="spellEnd"/>
      <w:r w:rsidRPr="00834BFA">
        <w:rPr>
          <w:rFonts w:ascii="Verdana" w:eastAsia="Batang" w:hAnsi="Verdana" w:cs="Arial"/>
          <w:lang w:val="es-MX"/>
        </w:rPr>
        <w:t xml:space="preserve"> 2020]; 64(1):73-84. Disponible en: </w:t>
      </w:r>
      <w:hyperlink r:id="rId11" w:history="1">
        <w:r w:rsidRPr="00834BFA">
          <w:rPr>
            <w:rFonts w:ascii="Verdana" w:eastAsia="Calibri" w:hAnsi="Verdana" w:cs="Arial"/>
            <w:color w:val="0563C1"/>
            <w:u w:val="single"/>
            <w:lang w:val="es-MX"/>
          </w:rPr>
          <w:t>https://aasldpubs.onlinelibrary.wiley.com/doi/full/10.1002/hep.28431</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r w:rsidRPr="00834BFA">
        <w:rPr>
          <w:rFonts w:ascii="Verdana" w:hAnsi="Verdana" w:cs="Arial"/>
          <w:lang w:val="es-VE"/>
        </w:rPr>
        <w:t xml:space="preserve">Montero González T, Pérez Lorenzo M, Alarcón Arango I, Infante Velázquez M, Angulo Pérez O, </w:t>
      </w:r>
      <w:proofErr w:type="spellStart"/>
      <w:r w:rsidRPr="00834BFA">
        <w:rPr>
          <w:rFonts w:ascii="Verdana" w:hAnsi="Verdana" w:cs="Arial"/>
          <w:lang w:val="es-VE"/>
        </w:rPr>
        <w:t>Winogra</w:t>
      </w:r>
      <w:proofErr w:type="spellEnd"/>
      <w:r w:rsidRPr="00834BFA">
        <w:rPr>
          <w:rFonts w:ascii="Verdana" w:hAnsi="Verdana" w:cs="Arial"/>
          <w:lang w:val="es-VE"/>
        </w:rPr>
        <w:t xml:space="preserve"> Lay R, et al. Prevalencia de esteatosis hepática no alcohólica en autopsias y alteraciones morfológicas metabólicas relacionadas. Rev. Cubana de </w:t>
      </w:r>
      <w:proofErr w:type="spellStart"/>
      <w:r w:rsidRPr="00834BFA">
        <w:rPr>
          <w:rFonts w:ascii="Verdana" w:hAnsi="Verdana" w:cs="Arial"/>
          <w:lang w:val="es-VE"/>
        </w:rPr>
        <w:t>Med</w:t>
      </w:r>
      <w:proofErr w:type="spellEnd"/>
      <w:r w:rsidRPr="00834BFA">
        <w:rPr>
          <w:rFonts w:ascii="Verdana" w:hAnsi="Verdana" w:cs="Arial"/>
          <w:lang w:val="es-VE"/>
        </w:rPr>
        <w:t xml:space="preserve"> </w:t>
      </w:r>
      <w:proofErr w:type="spellStart"/>
      <w:r w:rsidRPr="00834BFA">
        <w:rPr>
          <w:rFonts w:ascii="Verdana" w:hAnsi="Verdana" w:cs="Arial"/>
          <w:lang w:val="es-VE"/>
        </w:rPr>
        <w:t>Milit</w:t>
      </w:r>
      <w:proofErr w:type="spellEnd"/>
      <w:r w:rsidRPr="00834BFA">
        <w:rPr>
          <w:rFonts w:ascii="Verdana" w:hAnsi="Verdana" w:cs="Arial"/>
          <w:lang w:val="es-VE"/>
        </w:rPr>
        <w:t xml:space="preserve"> [Internet]. 2011[citado jun 2021]; 40(1):32-39. Disponible en: </w:t>
      </w:r>
      <w:hyperlink r:id="rId12" w:history="1">
        <w:r w:rsidRPr="00834BFA">
          <w:rPr>
            <w:rFonts w:ascii="Verdana" w:hAnsi="Verdana" w:cs="Arial"/>
            <w:color w:val="0563C1" w:themeColor="hyperlink"/>
            <w:u w:val="single"/>
            <w:lang w:val="es-VE"/>
          </w:rPr>
          <w:t>https://bit.ly/3RnQhCa</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proofErr w:type="spellStart"/>
      <w:r w:rsidRPr="00834BFA">
        <w:rPr>
          <w:rFonts w:ascii="Verdana" w:eastAsia="Calibri" w:hAnsi="Verdana" w:cs="Arial"/>
          <w:lang w:val="en-US"/>
        </w:rPr>
        <w:t>Targher</w:t>
      </w:r>
      <w:proofErr w:type="spellEnd"/>
      <w:r w:rsidRPr="00834BFA">
        <w:rPr>
          <w:rFonts w:ascii="Verdana" w:eastAsia="Calibri" w:hAnsi="Verdana" w:cs="Arial"/>
          <w:lang w:val="en-US"/>
        </w:rPr>
        <w:t xml:space="preserve"> G, </w:t>
      </w:r>
      <w:proofErr w:type="spellStart"/>
      <w:r w:rsidRPr="00834BFA">
        <w:rPr>
          <w:rFonts w:ascii="Verdana" w:eastAsia="Calibri" w:hAnsi="Verdana" w:cs="Arial"/>
          <w:lang w:val="en-US"/>
        </w:rPr>
        <w:t>Lonardo</w:t>
      </w:r>
      <w:proofErr w:type="spellEnd"/>
      <w:r w:rsidRPr="00834BFA">
        <w:rPr>
          <w:rFonts w:ascii="Verdana" w:eastAsia="Calibri" w:hAnsi="Verdana" w:cs="Arial"/>
          <w:lang w:val="en-US"/>
        </w:rPr>
        <w:t xml:space="preserve"> A, Byrne CD. Nonalcoholic fatty liver disease and chronic vascular complications of diabetes mellitus. </w:t>
      </w:r>
      <w:proofErr w:type="spellStart"/>
      <w:r w:rsidRPr="00834BFA">
        <w:rPr>
          <w:rFonts w:ascii="Verdana" w:eastAsia="Calibri" w:hAnsi="Verdana" w:cs="Arial"/>
          <w:lang w:val="es-MX"/>
        </w:rPr>
        <w:t>Nat</w:t>
      </w:r>
      <w:proofErr w:type="spellEnd"/>
      <w:r w:rsidRPr="00834BFA">
        <w:rPr>
          <w:rFonts w:ascii="Verdana" w:eastAsia="Calibri" w:hAnsi="Verdana" w:cs="Arial"/>
          <w:lang w:val="es-MX"/>
        </w:rPr>
        <w:t xml:space="preserve"> </w:t>
      </w:r>
      <w:proofErr w:type="spellStart"/>
      <w:r w:rsidRPr="00834BFA">
        <w:rPr>
          <w:rFonts w:ascii="Verdana" w:eastAsia="Calibri" w:hAnsi="Verdana" w:cs="Arial"/>
          <w:lang w:val="es-MX"/>
        </w:rPr>
        <w:t>Rev</w:t>
      </w:r>
      <w:proofErr w:type="spellEnd"/>
      <w:r w:rsidRPr="00834BFA">
        <w:rPr>
          <w:rFonts w:ascii="Verdana" w:eastAsia="Calibri" w:hAnsi="Verdana" w:cs="Arial"/>
          <w:lang w:val="es-MX"/>
        </w:rPr>
        <w:t xml:space="preserve"> </w:t>
      </w:r>
      <w:proofErr w:type="spellStart"/>
      <w:r w:rsidRPr="00834BFA">
        <w:rPr>
          <w:rFonts w:ascii="Verdana" w:eastAsia="Calibri" w:hAnsi="Verdana" w:cs="Arial"/>
          <w:lang w:val="es-MX"/>
        </w:rPr>
        <w:t>Endocrinol</w:t>
      </w:r>
      <w:proofErr w:type="spellEnd"/>
      <w:r w:rsidRPr="00834BFA">
        <w:rPr>
          <w:rFonts w:ascii="Verdana" w:eastAsia="Calibri" w:hAnsi="Verdana" w:cs="Arial"/>
          <w:lang w:val="es-MX"/>
        </w:rPr>
        <w:t xml:space="preserve">   [Internet]. 2018 [citado </w:t>
      </w:r>
      <w:proofErr w:type="spellStart"/>
      <w:r w:rsidRPr="00834BFA">
        <w:rPr>
          <w:rFonts w:ascii="Verdana" w:eastAsia="Calibri" w:hAnsi="Verdana" w:cs="Arial"/>
          <w:lang w:val="es-MX"/>
        </w:rPr>
        <w:t>may</w:t>
      </w:r>
      <w:proofErr w:type="spellEnd"/>
      <w:r w:rsidRPr="00834BFA">
        <w:rPr>
          <w:rFonts w:ascii="Verdana" w:eastAsia="Calibri" w:hAnsi="Verdana" w:cs="Arial"/>
          <w:lang w:val="es-MX"/>
        </w:rPr>
        <w:t xml:space="preserve"> 2020];14(2):99-114. Disponible en: </w:t>
      </w:r>
      <w:hyperlink r:id="rId13" w:history="1">
        <w:r w:rsidRPr="00834BFA">
          <w:rPr>
            <w:rStyle w:val="Hipervnculo"/>
            <w:rFonts w:ascii="Verdana" w:eastAsia="Calibri" w:hAnsi="Verdana" w:cs="Arial"/>
            <w:lang w:val="es-MX"/>
          </w:rPr>
          <w:t>https://eprints.soton.ac.uk/416686/1/Targher_V1_1502113873_17_R1_clean_revised_copy.pdf</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proofErr w:type="spellStart"/>
      <w:r w:rsidRPr="00834BFA">
        <w:rPr>
          <w:rFonts w:ascii="Verdana" w:eastAsia="Calibri" w:hAnsi="Verdana" w:cs="Arial"/>
          <w:lang w:val="en-US"/>
        </w:rPr>
        <w:t>Bril</w:t>
      </w:r>
      <w:proofErr w:type="spellEnd"/>
      <w:r w:rsidRPr="00834BFA">
        <w:rPr>
          <w:rFonts w:ascii="Verdana" w:eastAsia="Calibri" w:hAnsi="Verdana" w:cs="Arial"/>
          <w:lang w:val="en-US"/>
        </w:rPr>
        <w:t xml:space="preserve"> F, </w:t>
      </w:r>
      <w:proofErr w:type="spellStart"/>
      <w:r w:rsidRPr="00834BFA">
        <w:rPr>
          <w:rFonts w:ascii="Verdana" w:eastAsia="Calibri" w:hAnsi="Verdana" w:cs="Arial"/>
          <w:lang w:val="en-US"/>
        </w:rPr>
        <w:t>Cusi</w:t>
      </w:r>
      <w:proofErr w:type="spellEnd"/>
      <w:r w:rsidRPr="00834BFA">
        <w:rPr>
          <w:rFonts w:ascii="Verdana" w:eastAsia="Calibri" w:hAnsi="Verdana" w:cs="Arial"/>
          <w:lang w:val="en-US"/>
        </w:rPr>
        <w:t xml:space="preserve"> K. Management of nonalcoholic fatty liver disease in patients with type 2 diabetes: A call to action. </w:t>
      </w:r>
      <w:r w:rsidRPr="00834BFA">
        <w:rPr>
          <w:rFonts w:ascii="Verdana" w:eastAsia="Calibri" w:hAnsi="Verdana" w:cs="Arial"/>
          <w:lang w:val="es-MX"/>
        </w:rPr>
        <w:t xml:space="preserve">Diabetes </w:t>
      </w:r>
      <w:proofErr w:type="spellStart"/>
      <w:r w:rsidRPr="00834BFA">
        <w:rPr>
          <w:rFonts w:ascii="Verdana" w:eastAsia="Calibri" w:hAnsi="Verdana" w:cs="Arial"/>
          <w:lang w:val="es-MX"/>
        </w:rPr>
        <w:t>Care</w:t>
      </w:r>
      <w:proofErr w:type="spellEnd"/>
      <w:r w:rsidRPr="00834BFA">
        <w:rPr>
          <w:rFonts w:ascii="Verdana" w:eastAsia="Calibri" w:hAnsi="Verdana" w:cs="Arial"/>
          <w:lang w:val="es-MX"/>
        </w:rPr>
        <w:t xml:space="preserve"> [Internet. 2017[citado </w:t>
      </w:r>
      <w:proofErr w:type="spellStart"/>
      <w:r w:rsidRPr="00834BFA">
        <w:rPr>
          <w:rFonts w:ascii="Verdana" w:eastAsia="Calibri" w:hAnsi="Verdana" w:cs="Arial"/>
          <w:lang w:val="es-MX"/>
        </w:rPr>
        <w:t>may</w:t>
      </w:r>
      <w:proofErr w:type="spellEnd"/>
      <w:r w:rsidRPr="00834BFA">
        <w:rPr>
          <w:rFonts w:ascii="Verdana" w:eastAsia="Calibri" w:hAnsi="Verdana" w:cs="Arial"/>
          <w:lang w:val="es-MX"/>
        </w:rPr>
        <w:t xml:space="preserve"> 2020]; 40:419-30. Disponible en:</w:t>
      </w:r>
      <w:r w:rsidRPr="00834BFA">
        <w:rPr>
          <w:rFonts w:ascii="Verdana" w:eastAsia="Calibri" w:hAnsi="Verdana" w:cs="Arial"/>
          <w:color w:val="0563C1"/>
          <w:u w:val="single"/>
          <w:lang w:val="es-MX"/>
        </w:rPr>
        <w:t xml:space="preserve"> </w:t>
      </w:r>
      <w:hyperlink r:id="rId14" w:history="1">
        <w:r w:rsidRPr="00834BFA">
          <w:rPr>
            <w:rStyle w:val="Hipervnculo"/>
            <w:rFonts w:ascii="Verdana" w:eastAsia="Calibri" w:hAnsi="Verdana" w:cs="Arial"/>
            <w:lang w:val="es-MX"/>
          </w:rPr>
          <w:t>https://sci.zums.ac.ir/files/metabolic/files/8%284%29.pdf</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proofErr w:type="spellStart"/>
      <w:r w:rsidRPr="00834BFA">
        <w:rPr>
          <w:rFonts w:ascii="Verdana" w:eastAsia="Calibri" w:hAnsi="Verdana" w:cs="Arial"/>
          <w:lang w:val="es-MX"/>
        </w:rPr>
        <w:t>Caballeria</w:t>
      </w:r>
      <w:proofErr w:type="spellEnd"/>
      <w:r w:rsidRPr="00834BFA">
        <w:rPr>
          <w:rFonts w:ascii="Verdana" w:eastAsia="Calibri" w:hAnsi="Verdana" w:cs="Arial"/>
          <w:lang w:val="es-MX"/>
        </w:rPr>
        <w:t xml:space="preserve"> J, </w:t>
      </w:r>
      <w:proofErr w:type="spellStart"/>
      <w:r w:rsidRPr="00834BFA">
        <w:rPr>
          <w:rFonts w:ascii="Verdana" w:eastAsia="Calibri" w:hAnsi="Verdana" w:cs="Arial"/>
          <w:lang w:val="es-MX"/>
        </w:rPr>
        <w:t>Caballeria</w:t>
      </w:r>
      <w:proofErr w:type="spellEnd"/>
      <w:r w:rsidRPr="00834BFA">
        <w:rPr>
          <w:rFonts w:ascii="Verdana" w:eastAsia="Calibri" w:hAnsi="Verdana" w:cs="Arial"/>
          <w:lang w:val="es-MX"/>
        </w:rPr>
        <w:t xml:space="preserve"> Ll. Esteatohepatitis no alcohólica y diabetes. </w:t>
      </w:r>
      <w:proofErr w:type="spellStart"/>
      <w:r w:rsidRPr="00834BFA">
        <w:rPr>
          <w:rFonts w:ascii="Verdana" w:eastAsia="Calibri" w:hAnsi="Verdana" w:cs="Arial"/>
          <w:lang w:val="es-MX"/>
        </w:rPr>
        <w:t>Endocrinol</w:t>
      </w:r>
      <w:proofErr w:type="spellEnd"/>
      <w:r w:rsidRPr="00834BFA">
        <w:rPr>
          <w:rFonts w:ascii="Verdana" w:eastAsia="Calibri" w:hAnsi="Verdana" w:cs="Arial"/>
          <w:lang w:val="es-MX"/>
        </w:rPr>
        <w:t xml:space="preserve"> </w:t>
      </w:r>
      <w:proofErr w:type="spellStart"/>
      <w:r w:rsidRPr="00834BFA">
        <w:rPr>
          <w:rFonts w:ascii="Verdana" w:eastAsia="Calibri" w:hAnsi="Verdana" w:cs="Arial"/>
          <w:lang w:val="es-MX"/>
        </w:rPr>
        <w:t>Nutr</w:t>
      </w:r>
      <w:proofErr w:type="spellEnd"/>
      <w:r w:rsidRPr="00834BFA">
        <w:rPr>
          <w:rFonts w:ascii="Verdana" w:eastAsia="Calibri" w:hAnsi="Verdana" w:cs="Arial"/>
          <w:lang w:val="es-MX"/>
        </w:rPr>
        <w:t xml:space="preserve"> [Internet]. 2016 [citado jun 2020]; 63(8):377- 379. Disponible en:</w:t>
      </w:r>
      <w:r w:rsidRPr="00834BFA">
        <w:rPr>
          <w:rFonts w:ascii="Verdana" w:eastAsia="Calibri" w:hAnsi="Verdana" w:cs="Arial"/>
          <w:color w:val="0563C1"/>
          <w:u w:val="single"/>
          <w:lang w:val="es-MX"/>
        </w:rPr>
        <w:t xml:space="preserve"> http://www.scielo.org.pe/scielo.php?pid=S1022-51292016000100008&amp;script=sci_arttext</w:t>
      </w:r>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n-US"/>
        </w:rPr>
      </w:pPr>
      <w:proofErr w:type="spellStart"/>
      <w:r w:rsidRPr="00834BFA">
        <w:rPr>
          <w:rFonts w:ascii="Verdana" w:eastAsia="Calibri" w:hAnsi="Verdana" w:cs="Arial"/>
          <w:lang w:val="en-US"/>
        </w:rPr>
        <w:t>Rinella</w:t>
      </w:r>
      <w:proofErr w:type="spellEnd"/>
      <w:r w:rsidRPr="00834BFA">
        <w:rPr>
          <w:rFonts w:ascii="Verdana" w:eastAsia="Calibri" w:hAnsi="Verdana" w:cs="Arial"/>
          <w:lang w:val="en-US"/>
        </w:rPr>
        <w:t xml:space="preserve"> ME. Nonalcoholic fatty liver disease: a systematic review. Journal of the American Medicinal Association [Internet].  2015 [</w:t>
      </w:r>
      <w:proofErr w:type="spellStart"/>
      <w:r w:rsidRPr="00834BFA">
        <w:rPr>
          <w:rFonts w:ascii="Verdana" w:eastAsia="Calibri" w:hAnsi="Verdana" w:cs="Arial"/>
          <w:lang w:val="en-US"/>
        </w:rPr>
        <w:t>citado</w:t>
      </w:r>
      <w:proofErr w:type="spellEnd"/>
      <w:r w:rsidRPr="00834BFA">
        <w:rPr>
          <w:rFonts w:ascii="Verdana" w:eastAsia="Calibri" w:hAnsi="Verdana" w:cs="Arial"/>
          <w:lang w:val="en-US"/>
        </w:rPr>
        <w:t xml:space="preserve"> </w:t>
      </w:r>
      <w:proofErr w:type="spellStart"/>
      <w:r w:rsidRPr="00834BFA">
        <w:rPr>
          <w:rFonts w:ascii="Verdana" w:eastAsia="Calibri" w:hAnsi="Verdana" w:cs="Arial"/>
          <w:lang w:val="en-US"/>
        </w:rPr>
        <w:t>jun</w:t>
      </w:r>
      <w:proofErr w:type="spellEnd"/>
      <w:r w:rsidRPr="00834BFA">
        <w:rPr>
          <w:rFonts w:ascii="Verdana" w:eastAsia="Calibri" w:hAnsi="Verdana" w:cs="Arial"/>
          <w:lang w:val="en-US"/>
        </w:rPr>
        <w:t xml:space="preserve"> 2020]; 313(22):2263-73. </w:t>
      </w:r>
      <w:proofErr w:type="spellStart"/>
      <w:r w:rsidRPr="00834BFA">
        <w:rPr>
          <w:rFonts w:ascii="Verdana" w:eastAsia="Calibri" w:hAnsi="Verdana" w:cs="Arial"/>
          <w:lang w:val="en-US"/>
        </w:rPr>
        <w:t>Disponible</w:t>
      </w:r>
      <w:proofErr w:type="spellEnd"/>
      <w:r w:rsidRPr="00834BFA">
        <w:rPr>
          <w:rFonts w:ascii="Verdana" w:eastAsia="Calibri" w:hAnsi="Verdana" w:cs="Arial"/>
          <w:lang w:val="en-US"/>
        </w:rPr>
        <w:t xml:space="preserve"> en:</w:t>
      </w:r>
      <w:r w:rsidRPr="00834BFA">
        <w:rPr>
          <w:rFonts w:ascii="Verdana" w:eastAsia="Calibri" w:hAnsi="Verdana" w:cs="Arial"/>
          <w:color w:val="0563C1"/>
          <w:u w:val="single"/>
          <w:lang w:val="en-US"/>
        </w:rPr>
        <w:t xml:space="preserve"> </w:t>
      </w:r>
      <w:hyperlink r:id="rId15" w:history="1">
        <w:r w:rsidRPr="00834BFA">
          <w:rPr>
            <w:rFonts w:ascii="Verdana" w:eastAsia="Calibri" w:hAnsi="Verdana" w:cs="Arial"/>
            <w:color w:val="0563C1"/>
            <w:u w:val="single"/>
            <w:lang w:val="en-US"/>
          </w:rPr>
          <w:t>http://www.svemonline.org/wp-content/uploads/2016/02/endotips-vol-05-1.pdf</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r w:rsidRPr="00834BFA">
        <w:rPr>
          <w:rFonts w:ascii="Verdana" w:eastAsia="Batang" w:hAnsi="Verdana" w:cs="Arial"/>
          <w:lang w:val="en-US"/>
        </w:rPr>
        <w:t xml:space="preserve">Estes C, </w:t>
      </w:r>
      <w:proofErr w:type="spellStart"/>
      <w:r w:rsidRPr="00834BFA">
        <w:rPr>
          <w:rFonts w:ascii="Verdana" w:eastAsia="Batang" w:hAnsi="Verdana" w:cs="Arial"/>
          <w:lang w:val="en-US"/>
        </w:rPr>
        <w:t>Razavi</w:t>
      </w:r>
      <w:proofErr w:type="spellEnd"/>
      <w:r w:rsidRPr="00834BFA">
        <w:rPr>
          <w:rFonts w:ascii="Verdana" w:eastAsia="Batang" w:hAnsi="Verdana" w:cs="Arial"/>
          <w:lang w:val="en-US"/>
        </w:rPr>
        <w:t xml:space="preserve"> H, </w:t>
      </w:r>
      <w:proofErr w:type="spellStart"/>
      <w:r w:rsidRPr="00834BFA">
        <w:rPr>
          <w:rFonts w:ascii="Verdana" w:eastAsia="Batang" w:hAnsi="Verdana" w:cs="Arial"/>
          <w:lang w:val="en-US"/>
        </w:rPr>
        <w:t>Loomba</w:t>
      </w:r>
      <w:proofErr w:type="spellEnd"/>
      <w:r w:rsidRPr="00834BFA">
        <w:rPr>
          <w:rFonts w:ascii="Verdana" w:eastAsia="Batang" w:hAnsi="Verdana" w:cs="Arial"/>
          <w:lang w:val="en-US"/>
        </w:rPr>
        <w:t xml:space="preserve"> R, </w:t>
      </w:r>
      <w:proofErr w:type="spellStart"/>
      <w:r w:rsidRPr="00834BFA">
        <w:rPr>
          <w:rFonts w:ascii="Verdana" w:eastAsia="Batang" w:hAnsi="Verdana" w:cs="Arial"/>
          <w:lang w:val="en-US"/>
        </w:rPr>
        <w:t>Younossi</w:t>
      </w:r>
      <w:proofErr w:type="spellEnd"/>
      <w:r w:rsidRPr="00834BFA">
        <w:rPr>
          <w:rFonts w:ascii="Verdana" w:eastAsia="Batang" w:hAnsi="Verdana" w:cs="Arial"/>
          <w:lang w:val="en-US"/>
        </w:rPr>
        <w:t xml:space="preserve"> Z, </w:t>
      </w:r>
      <w:proofErr w:type="spellStart"/>
      <w:r w:rsidRPr="00834BFA">
        <w:rPr>
          <w:rFonts w:ascii="Verdana" w:eastAsia="Batang" w:hAnsi="Verdana" w:cs="Arial"/>
          <w:lang w:val="en-US"/>
        </w:rPr>
        <w:t>Sanyal</w:t>
      </w:r>
      <w:proofErr w:type="spellEnd"/>
      <w:r w:rsidRPr="00834BFA">
        <w:rPr>
          <w:rFonts w:ascii="Verdana" w:eastAsia="Batang" w:hAnsi="Verdana" w:cs="Arial"/>
          <w:lang w:val="en-US"/>
        </w:rPr>
        <w:t xml:space="preserve"> AJ. Modeling the epidemic of nonalcoholic fatty liver disease demonstrates an exponential increase in burden of disease. </w:t>
      </w:r>
      <w:proofErr w:type="spellStart"/>
      <w:r w:rsidRPr="00834BFA">
        <w:rPr>
          <w:rFonts w:ascii="Verdana" w:eastAsia="Batang" w:hAnsi="Verdana" w:cs="Arial"/>
          <w:lang w:val="es-ES"/>
        </w:rPr>
        <w:t>Hepatology</w:t>
      </w:r>
      <w:proofErr w:type="spellEnd"/>
      <w:r w:rsidRPr="00834BFA">
        <w:rPr>
          <w:rFonts w:ascii="Verdana" w:eastAsia="Batang" w:hAnsi="Verdana" w:cs="Arial"/>
          <w:lang w:val="es-ES"/>
        </w:rPr>
        <w:t xml:space="preserve"> [Internet]. 2018[citado jun 2020];67(1):123–33. Disponible en: </w:t>
      </w:r>
      <w:hyperlink r:id="rId16" w:history="1">
        <w:r w:rsidRPr="00834BFA">
          <w:rPr>
            <w:rFonts w:ascii="Verdana" w:eastAsia="Calibri" w:hAnsi="Verdana" w:cs="Arial"/>
            <w:color w:val="0563C1"/>
            <w:u w:val="single"/>
            <w:lang w:val="es-MX"/>
          </w:rPr>
          <w:t>https://aasldpubs.onlinelibrary.wiley.com/doi/pdfdirect/10.1002/hep.29466</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proofErr w:type="spellStart"/>
      <w:r w:rsidRPr="00834BFA">
        <w:rPr>
          <w:rFonts w:ascii="Verdana" w:eastAsia="Batang" w:hAnsi="Verdana" w:cs="Arial"/>
          <w:lang w:val="en-US"/>
        </w:rPr>
        <w:t>Younossi</w:t>
      </w:r>
      <w:proofErr w:type="spellEnd"/>
      <w:r w:rsidRPr="00834BFA">
        <w:rPr>
          <w:rFonts w:ascii="Verdana" w:eastAsia="Batang" w:hAnsi="Verdana" w:cs="Arial"/>
          <w:lang w:val="en-US"/>
        </w:rPr>
        <w:t xml:space="preserve"> ZM, </w:t>
      </w:r>
      <w:proofErr w:type="spellStart"/>
      <w:r w:rsidRPr="00834BFA">
        <w:rPr>
          <w:rFonts w:ascii="Verdana" w:eastAsia="Batang" w:hAnsi="Verdana" w:cs="Arial"/>
          <w:lang w:val="en-US"/>
        </w:rPr>
        <w:t>Marchesini</w:t>
      </w:r>
      <w:proofErr w:type="spellEnd"/>
      <w:r w:rsidRPr="00834BFA">
        <w:rPr>
          <w:rFonts w:ascii="Verdana" w:eastAsia="Batang" w:hAnsi="Verdana" w:cs="Arial"/>
          <w:lang w:val="en-US"/>
        </w:rPr>
        <w:t xml:space="preserve"> G, Pinto-Cortez H, </w:t>
      </w:r>
      <w:proofErr w:type="spellStart"/>
      <w:r w:rsidRPr="00834BFA">
        <w:rPr>
          <w:rFonts w:ascii="Verdana" w:eastAsia="Batang" w:hAnsi="Verdana" w:cs="Arial"/>
          <w:lang w:val="en-US"/>
        </w:rPr>
        <w:t>Petta</w:t>
      </w:r>
      <w:proofErr w:type="spellEnd"/>
      <w:r w:rsidRPr="00834BFA">
        <w:rPr>
          <w:rFonts w:ascii="Verdana" w:eastAsia="Batang" w:hAnsi="Verdana" w:cs="Arial"/>
          <w:lang w:val="en-US"/>
        </w:rPr>
        <w:t xml:space="preserve"> S. Epidemiology of Nonalcoholic Fatty Liver Disease and Nonalcoholic </w:t>
      </w:r>
      <w:proofErr w:type="spellStart"/>
      <w:r w:rsidRPr="00834BFA">
        <w:rPr>
          <w:rFonts w:ascii="Verdana" w:eastAsia="Batang" w:hAnsi="Verdana" w:cs="Arial"/>
          <w:lang w:val="en-US"/>
        </w:rPr>
        <w:t>Steatohepatitis</w:t>
      </w:r>
      <w:proofErr w:type="spellEnd"/>
      <w:r w:rsidRPr="00834BFA">
        <w:rPr>
          <w:rFonts w:ascii="Verdana" w:eastAsia="Batang" w:hAnsi="Verdana" w:cs="Arial"/>
          <w:lang w:val="en-US"/>
        </w:rPr>
        <w:t xml:space="preserve">: Implications for Liver Transplantation. </w:t>
      </w:r>
      <w:proofErr w:type="spellStart"/>
      <w:r w:rsidRPr="00834BFA">
        <w:rPr>
          <w:rFonts w:ascii="Verdana" w:eastAsia="Batang" w:hAnsi="Verdana" w:cs="Arial"/>
          <w:lang w:val="es-ES"/>
        </w:rPr>
        <w:t>Transplantation</w:t>
      </w:r>
      <w:proofErr w:type="spellEnd"/>
      <w:r w:rsidRPr="00834BFA">
        <w:rPr>
          <w:rFonts w:ascii="Verdana" w:eastAsia="Batang" w:hAnsi="Verdana" w:cs="Arial"/>
          <w:lang w:val="es-ES"/>
        </w:rPr>
        <w:t xml:space="preserve"> [Internet]. 2019 [citado </w:t>
      </w:r>
      <w:proofErr w:type="spellStart"/>
      <w:r w:rsidRPr="00834BFA">
        <w:rPr>
          <w:rFonts w:ascii="Verdana" w:eastAsia="Batang" w:hAnsi="Verdana" w:cs="Arial"/>
          <w:lang w:val="es-ES"/>
        </w:rPr>
        <w:t>ago</w:t>
      </w:r>
      <w:proofErr w:type="spellEnd"/>
      <w:r w:rsidRPr="00834BFA">
        <w:rPr>
          <w:rFonts w:ascii="Verdana" w:eastAsia="Batang" w:hAnsi="Verdana" w:cs="Arial"/>
          <w:lang w:val="es-ES"/>
        </w:rPr>
        <w:t xml:space="preserve"> 2020];103(1):22-27. Disponible en: </w:t>
      </w:r>
      <w:hyperlink r:id="rId17" w:history="1">
        <w:r w:rsidRPr="00834BFA">
          <w:rPr>
            <w:rFonts w:ascii="Verdana" w:eastAsia="Calibri" w:hAnsi="Verdana" w:cs="Arial"/>
            <w:color w:val="0563C1"/>
            <w:u w:val="single"/>
            <w:lang w:val="es-MX"/>
          </w:rPr>
          <w:t>https://aasldpubs.onlinelibrary.wiley.com/doi/pdfdirect/10.1002/lt.25003</w:t>
        </w:r>
      </w:hyperlink>
    </w:p>
    <w:p w:rsidR="00834BFA" w:rsidRPr="00834BFA" w:rsidRDefault="00834BFA" w:rsidP="00834BFA">
      <w:pPr>
        <w:numPr>
          <w:ilvl w:val="0"/>
          <w:numId w:val="1"/>
        </w:numPr>
        <w:spacing w:before="100" w:beforeAutospacing="1" w:after="100" w:afterAutospacing="1" w:line="240" w:lineRule="auto"/>
        <w:ind w:left="646" w:hanging="646"/>
        <w:jc w:val="both"/>
        <w:rPr>
          <w:rFonts w:ascii="Verdana" w:eastAsia="Calibri" w:hAnsi="Verdana" w:cs="Arial"/>
          <w:color w:val="0563C1"/>
          <w:u w:val="single"/>
          <w:lang w:val="es-MX"/>
        </w:rPr>
      </w:pPr>
      <w:r w:rsidRPr="00834BFA">
        <w:rPr>
          <w:rFonts w:ascii="Verdana" w:eastAsia="Batang" w:hAnsi="Verdana" w:cs="Arial"/>
          <w:lang w:val="es-MX" w:eastAsia="de-DE"/>
        </w:rPr>
        <w:t xml:space="preserve"> </w:t>
      </w:r>
      <w:r w:rsidRPr="00834BFA">
        <w:rPr>
          <w:rFonts w:ascii="Verdana" w:eastAsia="Batang" w:hAnsi="Verdana" w:cs="Arial"/>
          <w:lang w:val="en-US"/>
        </w:rPr>
        <w:t xml:space="preserve">Yang JD, Ahmed F, Mara KC, et al. Diabetes is associated with increased risk of hepatocellular carcinoma in patients with cirrhosis from nonalcoholic fatty liver disease. </w:t>
      </w:r>
      <w:proofErr w:type="spellStart"/>
      <w:r w:rsidRPr="00834BFA">
        <w:rPr>
          <w:rFonts w:ascii="Verdana" w:eastAsia="Batang" w:hAnsi="Verdana" w:cs="Arial"/>
          <w:lang w:val="es-MX"/>
        </w:rPr>
        <w:t>Hepatology</w:t>
      </w:r>
      <w:proofErr w:type="spellEnd"/>
      <w:r w:rsidRPr="00834BFA">
        <w:rPr>
          <w:rFonts w:ascii="Verdana" w:eastAsia="Batang" w:hAnsi="Verdana" w:cs="Arial"/>
          <w:lang w:val="es-MX"/>
        </w:rPr>
        <w:t xml:space="preserve"> [Internet]. </w:t>
      </w:r>
      <w:r w:rsidRPr="00834BFA">
        <w:rPr>
          <w:rFonts w:ascii="Verdana" w:eastAsia="Batang" w:hAnsi="Verdana" w:cs="Arial"/>
          <w:lang w:val="es-ES"/>
        </w:rPr>
        <w:t xml:space="preserve">2020[citado </w:t>
      </w:r>
      <w:proofErr w:type="spellStart"/>
      <w:r w:rsidRPr="00834BFA">
        <w:rPr>
          <w:rFonts w:ascii="Verdana" w:eastAsia="Batang" w:hAnsi="Verdana" w:cs="Arial"/>
          <w:lang w:val="es-ES"/>
        </w:rPr>
        <w:t>ago</w:t>
      </w:r>
      <w:proofErr w:type="spellEnd"/>
      <w:r w:rsidRPr="00834BFA">
        <w:rPr>
          <w:rFonts w:ascii="Verdana" w:eastAsia="Batang" w:hAnsi="Verdana" w:cs="Arial"/>
          <w:lang w:val="es-ES"/>
        </w:rPr>
        <w:t xml:space="preserve"> </w:t>
      </w:r>
      <w:r w:rsidRPr="00834BFA">
        <w:rPr>
          <w:rFonts w:ascii="Verdana" w:eastAsia="Batang" w:hAnsi="Verdana" w:cs="Arial"/>
          <w:lang w:val="es-ES"/>
        </w:rPr>
        <w:lastRenderedPageBreak/>
        <w:t xml:space="preserve">2021];71(3):907–16. Disponible en: </w:t>
      </w:r>
      <w:hyperlink r:id="rId18" w:history="1">
        <w:r w:rsidRPr="00834BFA">
          <w:rPr>
            <w:rFonts w:ascii="Verdana" w:eastAsia="Calibri" w:hAnsi="Verdana" w:cs="Arial"/>
            <w:color w:val="0563C1"/>
            <w:u w:val="single"/>
            <w:lang w:val="es-MX"/>
          </w:rPr>
          <w:t>https://www.ncbi.nlm.nih.gov/pmc/articles/PMC6960360/</w:t>
        </w:r>
      </w:hyperlink>
    </w:p>
    <w:p w:rsidR="00834BFA" w:rsidRPr="00834BFA" w:rsidRDefault="00834BFA" w:rsidP="00834BFA">
      <w:pPr>
        <w:numPr>
          <w:ilvl w:val="0"/>
          <w:numId w:val="1"/>
        </w:numPr>
        <w:suppressAutoHyphens/>
        <w:spacing w:before="100" w:beforeAutospacing="1" w:after="100" w:afterAutospacing="1" w:line="240" w:lineRule="auto"/>
        <w:jc w:val="both"/>
        <w:rPr>
          <w:rFonts w:ascii="Verdana" w:eastAsia="Batang" w:hAnsi="Verdana" w:cs="Arial"/>
          <w:lang w:val="es-MX"/>
        </w:rPr>
      </w:pPr>
      <w:r w:rsidRPr="00834BFA">
        <w:rPr>
          <w:rFonts w:ascii="Verdana" w:eastAsia="Batang" w:hAnsi="Verdana" w:cs="Arial"/>
          <w:lang w:val="en-US"/>
        </w:rPr>
        <w:t>American Diabetes Association. (2015). 3. Initial evaluation and diabetes management planning. Diabetes Care [Internet]. 2015 [</w:t>
      </w:r>
      <w:proofErr w:type="spellStart"/>
      <w:r w:rsidRPr="00834BFA">
        <w:rPr>
          <w:rFonts w:ascii="Verdana" w:eastAsia="Batang" w:hAnsi="Verdana" w:cs="Arial"/>
          <w:lang w:val="en-US"/>
        </w:rPr>
        <w:t>citado</w:t>
      </w:r>
      <w:proofErr w:type="spellEnd"/>
      <w:r w:rsidRPr="00834BFA">
        <w:rPr>
          <w:rFonts w:ascii="Verdana" w:eastAsia="Batang" w:hAnsi="Verdana" w:cs="Arial"/>
          <w:lang w:val="en-US"/>
        </w:rPr>
        <w:t xml:space="preserve"> ago 2021]; 38(Supplement_1): S17-S19. </w:t>
      </w:r>
      <w:r w:rsidRPr="00834BFA">
        <w:rPr>
          <w:rFonts w:ascii="Verdana" w:eastAsia="Batang" w:hAnsi="Verdana" w:cs="Arial"/>
          <w:lang w:val="es-MX"/>
        </w:rPr>
        <w:t xml:space="preserve">Disponible en: </w:t>
      </w:r>
      <w:hyperlink r:id="rId19" w:history="1">
        <w:r w:rsidRPr="00834BFA">
          <w:rPr>
            <w:rStyle w:val="Hipervnculo"/>
            <w:rFonts w:ascii="Verdana" w:eastAsia="Calibri" w:hAnsi="Verdana" w:cs="Arial"/>
            <w:lang w:val="es-MX"/>
          </w:rPr>
          <w:t>https://care.diabetesjournals.org/content/38/Supplement_1/S17.extract</w:t>
        </w:r>
      </w:hyperlink>
    </w:p>
    <w:p w:rsidR="00834BFA" w:rsidRPr="00834BFA" w:rsidRDefault="00834BFA" w:rsidP="00834BFA">
      <w:pPr>
        <w:numPr>
          <w:ilvl w:val="0"/>
          <w:numId w:val="1"/>
        </w:numPr>
        <w:suppressAutoHyphens/>
        <w:spacing w:before="100" w:beforeAutospacing="1" w:after="100" w:afterAutospacing="1" w:line="240" w:lineRule="auto"/>
        <w:jc w:val="both"/>
        <w:rPr>
          <w:rFonts w:ascii="Verdana" w:eastAsia="Batang" w:hAnsi="Verdana" w:cs="Arial"/>
          <w:lang w:val="es-MX"/>
        </w:rPr>
      </w:pPr>
      <w:proofErr w:type="spellStart"/>
      <w:r w:rsidRPr="00834BFA">
        <w:rPr>
          <w:rFonts w:ascii="Verdana" w:eastAsia="Batang" w:hAnsi="Verdana" w:cs="Arial"/>
          <w:lang w:val="es-ES_tradnl"/>
        </w:rPr>
        <w:t>Fassio</w:t>
      </w:r>
      <w:proofErr w:type="spellEnd"/>
      <w:r w:rsidRPr="00834BFA">
        <w:rPr>
          <w:rFonts w:ascii="Verdana" w:eastAsia="Batang" w:hAnsi="Verdana" w:cs="Arial"/>
          <w:lang w:val="es-ES_tradnl"/>
        </w:rPr>
        <w:t xml:space="preserve"> E, </w:t>
      </w:r>
      <w:proofErr w:type="spellStart"/>
      <w:r w:rsidRPr="00834BFA">
        <w:rPr>
          <w:rFonts w:ascii="Verdana" w:eastAsia="Batang" w:hAnsi="Verdana" w:cs="Arial"/>
          <w:lang w:val="es-ES_tradnl"/>
        </w:rPr>
        <w:t>Dirchwolf</w:t>
      </w:r>
      <w:proofErr w:type="spellEnd"/>
      <w:r w:rsidRPr="00834BFA">
        <w:rPr>
          <w:rFonts w:ascii="Verdana" w:eastAsia="Batang" w:hAnsi="Verdana" w:cs="Arial"/>
          <w:lang w:val="es-ES_tradnl"/>
        </w:rPr>
        <w:t xml:space="preserve"> M, </w:t>
      </w:r>
      <w:proofErr w:type="spellStart"/>
      <w:r w:rsidRPr="00834BFA">
        <w:rPr>
          <w:rFonts w:ascii="Verdana" w:eastAsia="Batang" w:hAnsi="Verdana" w:cs="Arial"/>
          <w:lang w:val="es-ES_tradnl"/>
        </w:rPr>
        <w:t>Barreyro</w:t>
      </w:r>
      <w:proofErr w:type="spellEnd"/>
      <w:r w:rsidRPr="00834BFA">
        <w:rPr>
          <w:rFonts w:ascii="Verdana" w:eastAsia="Batang" w:hAnsi="Verdana" w:cs="Arial"/>
          <w:lang w:val="es-ES_tradnl"/>
        </w:rPr>
        <w:t xml:space="preserve"> FJ, et al. Primera guía de diagnóstico y tratamiento del hígado graso no alcohólico de la Asociación Argentina para el Estudio de las Enfermedades del Hígado. Asociación Argentina para el Estudio de las Enfermedades del Hígado, 2019.</w:t>
      </w:r>
      <w:r w:rsidRPr="00834BFA">
        <w:rPr>
          <w:rFonts w:ascii="Verdana" w:hAnsi="Verdana" w:cs="Arial"/>
        </w:rPr>
        <w:t xml:space="preserve"> </w:t>
      </w:r>
      <w:r w:rsidRPr="00834BFA">
        <w:rPr>
          <w:rFonts w:ascii="Verdana" w:eastAsia="Batang" w:hAnsi="Verdana" w:cs="Arial"/>
          <w:lang w:val="es-ES_tradnl"/>
        </w:rPr>
        <w:t>MEDICINA [Internet]. 2020 [citado jul 2021];</w:t>
      </w:r>
      <w:r w:rsidRPr="00834BFA">
        <w:rPr>
          <w:rFonts w:ascii="Verdana" w:hAnsi="Verdana" w:cs="Arial"/>
        </w:rPr>
        <w:t xml:space="preserve"> </w:t>
      </w:r>
      <w:r w:rsidRPr="00834BFA">
        <w:rPr>
          <w:rFonts w:ascii="Verdana" w:eastAsia="Batang" w:hAnsi="Verdana" w:cs="Arial"/>
          <w:lang w:val="es-ES_tradnl"/>
        </w:rPr>
        <w:t>80(4): 371-387. Disponible en:</w:t>
      </w:r>
      <w:hyperlink r:id="rId20" w:history="1">
        <w:r w:rsidRPr="00834BFA">
          <w:rPr>
            <w:rFonts w:ascii="Verdana" w:eastAsia="Batang" w:hAnsi="Verdana" w:cs="Arial"/>
            <w:color w:val="0563C1" w:themeColor="hyperlink"/>
            <w:u w:val="single"/>
            <w:lang w:val="es-ES_tradnl"/>
          </w:rPr>
          <w:t>http://www.scielo.org.ar/scielo.php?script=sci_arttext&amp;pid=S0025-76802020000600371</w:t>
        </w:r>
      </w:hyperlink>
    </w:p>
    <w:p w:rsidR="00834BFA" w:rsidRPr="00834BFA" w:rsidRDefault="00834BFA" w:rsidP="00834BFA">
      <w:pPr>
        <w:numPr>
          <w:ilvl w:val="0"/>
          <w:numId w:val="1"/>
        </w:numPr>
        <w:suppressAutoHyphens/>
        <w:spacing w:before="100" w:beforeAutospacing="1" w:after="100" w:afterAutospacing="1" w:line="240" w:lineRule="auto"/>
        <w:jc w:val="both"/>
        <w:rPr>
          <w:rFonts w:ascii="Verdana" w:eastAsia="Batang" w:hAnsi="Verdana" w:cs="Arial"/>
          <w:lang w:val="es-MX"/>
        </w:rPr>
      </w:pPr>
      <w:r w:rsidRPr="00834BFA">
        <w:rPr>
          <w:rFonts w:ascii="Verdana" w:eastAsia="Batang" w:hAnsi="Verdana" w:cs="Arial"/>
          <w:lang w:val="es-ES_tradnl"/>
        </w:rPr>
        <w:t xml:space="preserve">Arteaga I, </w:t>
      </w:r>
      <w:proofErr w:type="spellStart"/>
      <w:r w:rsidRPr="00834BFA">
        <w:rPr>
          <w:rFonts w:ascii="Verdana" w:eastAsia="Batang" w:hAnsi="Verdana" w:cs="Arial"/>
          <w:lang w:val="es-ES_tradnl"/>
        </w:rPr>
        <w:t>Buezo</w:t>
      </w:r>
      <w:proofErr w:type="spellEnd"/>
      <w:r w:rsidRPr="00834BFA">
        <w:rPr>
          <w:rFonts w:ascii="Verdana" w:eastAsia="Batang" w:hAnsi="Verdana" w:cs="Arial"/>
          <w:lang w:val="es-ES_tradnl"/>
        </w:rPr>
        <w:t xml:space="preserve"> I, Expósito C, Pera G, Rodríguez L, </w:t>
      </w:r>
      <w:proofErr w:type="spellStart"/>
      <w:r w:rsidRPr="00834BFA">
        <w:rPr>
          <w:rFonts w:ascii="Verdana" w:eastAsia="Batang" w:hAnsi="Verdana" w:cs="Arial"/>
          <w:lang w:val="es-ES_tradnl"/>
        </w:rPr>
        <w:t>Alumà</w:t>
      </w:r>
      <w:proofErr w:type="spellEnd"/>
      <w:r w:rsidRPr="00834BFA">
        <w:rPr>
          <w:rFonts w:ascii="Verdana" w:eastAsia="Batang" w:hAnsi="Verdana" w:cs="Arial"/>
          <w:lang w:val="es-ES_tradnl"/>
        </w:rPr>
        <w:t xml:space="preserve"> A, et al. Marcadores no invasivos de fibrosis en el diagnóstico del hígado graso no alcohólico. Gastroenterología y Hepatología [Internet]. 2014 [citado jul 2020]; 37(9): 503-510. Disponible en: </w:t>
      </w:r>
      <w:hyperlink r:id="rId21" w:history="1">
        <w:r w:rsidRPr="00834BFA">
          <w:rPr>
            <w:rFonts w:ascii="Verdana" w:eastAsia="Batang" w:hAnsi="Verdana" w:cs="Arial"/>
            <w:color w:val="0563C1" w:themeColor="hyperlink"/>
            <w:u w:val="single"/>
            <w:lang w:val="es-ES_tradnl"/>
          </w:rPr>
          <w:t>https://dialnet.unirioja.es/servlet/articulo?codigo=5118783</w:t>
        </w:r>
      </w:hyperlink>
    </w:p>
    <w:p w:rsidR="00834BFA" w:rsidRPr="00834BFA" w:rsidRDefault="00834BFA" w:rsidP="00834BFA">
      <w:pPr>
        <w:numPr>
          <w:ilvl w:val="0"/>
          <w:numId w:val="1"/>
        </w:numPr>
        <w:suppressAutoHyphens/>
        <w:spacing w:before="100" w:beforeAutospacing="1" w:after="100" w:afterAutospacing="1" w:line="240" w:lineRule="auto"/>
        <w:jc w:val="both"/>
        <w:rPr>
          <w:rFonts w:ascii="Verdana" w:eastAsia="Batang" w:hAnsi="Verdana" w:cs="Arial"/>
          <w:lang w:val="es-MX"/>
        </w:rPr>
      </w:pPr>
      <w:proofErr w:type="spellStart"/>
      <w:r w:rsidRPr="00834BFA">
        <w:rPr>
          <w:rFonts w:ascii="Verdana" w:eastAsia="Batang" w:hAnsi="Verdana" w:cs="Arial"/>
          <w:lang w:val="en-US"/>
        </w:rPr>
        <w:t>Fedchuk</w:t>
      </w:r>
      <w:proofErr w:type="spellEnd"/>
      <w:r w:rsidRPr="00834BFA">
        <w:rPr>
          <w:rFonts w:ascii="Verdana" w:eastAsia="Batang" w:hAnsi="Verdana" w:cs="Arial"/>
          <w:lang w:val="en-US"/>
        </w:rPr>
        <w:t xml:space="preserve"> L, </w:t>
      </w:r>
      <w:proofErr w:type="spellStart"/>
      <w:r w:rsidRPr="00834BFA">
        <w:rPr>
          <w:rFonts w:ascii="Verdana" w:eastAsia="Batang" w:hAnsi="Verdana" w:cs="Arial"/>
          <w:lang w:val="en-US"/>
        </w:rPr>
        <w:t>Nascimbeni</w:t>
      </w:r>
      <w:proofErr w:type="spellEnd"/>
      <w:r w:rsidRPr="00834BFA">
        <w:rPr>
          <w:rFonts w:ascii="Verdana" w:eastAsia="Batang" w:hAnsi="Verdana" w:cs="Arial"/>
          <w:lang w:val="en-US"/>
        </w:rPr>
        <w:t xml:space="preserve"> F, </w:t>
      </w:r>
      <w:proofErr w:type="spellStart"/>
      <w:r w:rsidRPr="00834BFA">
        <w:rPr>
          <w:rFonts w:ascii="Verdana" w:eastAsia="Batang" w:hAnsi="Verdana" w:cs="Arial"/>
          <w:lang w:val="en-US"/>
        </w:rPr>
        <w:t>Pais</w:t>
      </w:r>
      <w:proofErr w:type="spellEnd"/>
      <w:r w:rsidRPr="00834BFA">
        <w:rPr>
          <w:rFonts w:ascii="Verdana" w:eastAsia="Batang" w:hAnsi="Verdana" w:cs="Arial"/>
          <w:lang w:val="en-US"/>
        </w:rPr>
        <w:t xml:space="preserve"> R, Charlotte F, </w:t>
      </w:r>
      <w:proofErr w:type="spellStart"/>
      <w:r w:rsidRPr="00834BFA">
        <w:rPr>
          <w:rFonts w:ascii="Verdana" w:eastAsia="Batang" w:hAnsi="Verdana" w:cs="Arial"/>
          <w:lang w:val="en-US"/>
        </w:rPr>
        <w:t>Housset</w:t>
      </w:r>
      <w:proofErr w:type="spellEnd"/>
      <w:r w:rsidRPr="00834BFA">
        <w:rPr>
          <w:rFonts w:ascii="Verdana" w:eastAsia="Batang" w:hAnsi="Verdana" w:cs="Arial"/>
          <w:lang w:val="en-US"/>
        </w:rPr>
        <w:t xml:space="preserve"> C, </w:t>
      </w:r>
      <w:proofErr w:type="spellStart"/>
      <w:r w:rsidRPr="00834BFA">
        <w:rPr>
          <w:rFonts w:ascii="Verdana" w:eastAsia="Batang" w:hAnsi="Verdana" w:cs="Arial"/>
          <w:lang w:val="en-US"/>
        </w:rPr>
        <w:t>Ratziu</w:t>
      </w:r>
      <w:proofErr w:type="spellEnd"/>
      <w:r w:rsidRPr="00834BFA">
        <w:rPr>
          <w:rFonts w:ascii="Verdana" w:eastAsia="Batang" w:hAnsi="Verdana" w:cs="Arial"/>
          <w:lang w:val="en-US"/>
        </w:rPr>
        <w:t xml:space="preserve"> V, et al. Study Group. Performance and limitations of steatosis biomarkers in patients with nonalcoholic fatty liver disease. </w:t>
      </w:r>
      <w:proofErr w:type="spellStart"/>
      <w:r w:rsidRPr="00834BFA">
        <w:rPr>
          <w:rFonts w:ascii="Verdana" w:eastAsia="Batang" w:hAnsi="Verdana" w:cs="Arial"/>
          <w:lang w:val="es-MX"/>
        </w:rPr>
        <w:t>Alimentary</w:t>
      </w:r>
      <w:proofErr w:type="spellEnd"/>
      <w:r w:rsidRPr="00834BFA">
        <w:rPr>
          <w:rFonts w:ascii="Verdana" w:eastAsia="Batang" w:hAnsi="Verdana" w:cs="Arial"/>
          <w:lang w:val="es-MX"/>
        </w:rPr>
        <w:t xml:space="preserve"> </w:t>
      </w:r>
      <w:proofErr w:type="spellStart"/>
      <w:r w:rsidRPr="00834BFA">
        <w:rPr>
          <w:rFonts w:ascii="Verdana" w:eastAsia="Batang" w:hAnsi="Verdana" w:cs="Arial"/>
          <w:lang w:val="es-MX"/>
        </w:rPr>
        <w:t>pharmacology</w:t>
      </w:r>
      <w:proofErr w:type="spellEnd"/>
      <w:r w:rsidRPr="00834BFA">
        <w:rPr>
          <w:rFonts w:ascii="Verdana" w:eastAsia="Batang" w:hAnsi="Verdana" w:cs="Arial"/>
          <w:lang w:val="es-MX"/>
        </w:rPr>
        <w:t xml:space="preserve"> &amp; </w:t>
      </w:r>
      <w:proofErr w:type="spellStart"/>
      <w:r w:rsidRPr="00834BFA">
        <w:rPr>
          <w:rFonts w:ascii="Verdana" w:eastAsia="Batang" w:hAnsi="Verdana" w:cs="Arial"/>
          <w:lang w:val="es-MX"/>
        </w:rPr>
        <w:t>therapeutics</w:t>
      </w:r>
      <w:proofErr w:type="spellEnd"/>
      <w:r w:rsidRPr="00834BFA">
        <w:rPr>
          <w:rFonts w:ascii="Verdana" w:eastAsia="Batang" w:hAnsi="Verdana" w:cs="Arial"/>
          <w:lang w:val="es-MX"/>
        </w:rPr>
        <w:t xml:space="preserve"> [Internet] 2014 [citado jul 2020]; 40(10): 1209-1222.  Disponible en:  </w:t>
      </w:r>
      <w:hyperlink r:id="rId22" w:history="1">
        <w:r w:rsidRPr="00834BFA">
          <w:rPr>
            <w:rFonts w:ascii="Verdana" w:eastAsia="Batang" w:hAnsi="Verdana" w:cs="Arial"/>
            <w:color w:val="0563C1" w:themeColor="hyperlink"/>
            <w:u w:val="single"/>
            <w:lang w:val="es-MX"/>
          </w:rPr>
          <w:t>https://onlinelibrary.wiley.com/doi/pdf/10.1111/apt.12963</w:t>
        </w:r>
      </w:hyperlink>
    </w:p>
    <w:p w:rsidR="00834BFA" w:rsidRPr="0046129E" w:rsidRDefault="00834BFA" w:rsidP="00834BFA">
      <w:pPr>
        <w:suppressAutoHyphens/>
        <w:spacing w:after="0" w:line="240" w:lineRule="auto"/>
        <w:ind w:left="567"/>
        <w:jc w:val="both"/>
        <w:rPr>
          <w:rFonts w:ascii="Arial" w:eastAsia="Batang" w:hAnsi="Arial" w:cs="Arial"/>
          <w:lang w:val="es-MX"/>
        </w:rPr>
      </w:pPr>
    </w:p>
    <w:p w:rsidR="00834BFA" w:rsidRPr="0046129E" w:rsidRDefault="00834BFA" w:rsidP="00834BFA">
      <w:pPr>
        <w:suppressAutoHyphens/>
        <w:spacing w:after="0" w:line="240" w:lineRule="auto"/>
        <w:ind w:left="567"/>
        <w:jc w:val="both"/>
        <w:rPr>
          <w:rFonts w:ascii="Arial" w:eastAsia="Batang" w:hAnsi="Arial" w:cs="Arial"/>
          <w:lang w:val="es-MX"/>
        </w:rPr>
      </w:pPr>
    </w:p>
    <w:p w:rsidR="00834BFA" w:rsidRPr="0046129E" w:rsidRDefault="00834BFA" w:rsidP="00834BFA">
      <w:pPr>
        <w:suppressAutoHyphens/>
        <w:spacing w:after="0" w:line="240" w:lineRule="auto"/>
        <w:ind w:left="567"/>
        <w:jc w:val="both"/>
        <w:rPr>
          <w:rFonts w:ascii="Arial" w:eastAsia="Batang" w:hAnsi="Arial" w:cs="Arial"/>
          <w:lang w:val="es-MX"/>
        </w:rPr>
      </w:pPr>
    </w:p>
    <w:p w:rsidR="00834BFA" w:rsidRPr="0046129E" w:rsidRDefault="00834BFA" w:rsidP="00834BFA">
      <w:pPr>
        <w:suppressAutoHyphens/>
        <w:spacing w:after="0" w:line="240" w:lineRule="auto"/>
        <w:ind w:left="567"/>
        <w:jc w:val="both"/>
        <w:rPr>
          <w:rFonts w:ascii="Arial" w:eastAsia="Batang" w:hAnsi="Arial" w:cs="Arial"/>
          <w:lang w:val="es-MX"/>
        </w:rPr>
      </w:pPr>
    </w:p>
    <w:p w:rsidR="00834BFA" w:rsidRPr="0046129E" w:rsidRDefault="00834BFA" w:rsidP="00834BFA">
      <w:pPr>
        <w:suppressAutoHyphens/>
        <w:spacing w:after="0" w:line="240" w:lineRule="auto"/>
        <w:ind w:left="567"/>
        <w:jc w:val="both"/>
        <w:rPr>
          <w:rFonts w:ascii="Arial" w:eastAsia="Batang" w:hAnsi="Arial" w:cs="Arial"/>
          <w:lang w:val="es-ES_tradnl"/>
        </w:rPr>
      </w:pPr>
    </w:p>
    <w:p w:rsidR="00834BFA" w:rsidRPr="0046129E" w:rsidRDefault="00834BFA" w:rsidP="00834BFA">
      <w:pPr>
        <w:suppressAutoHyphens/>
        <w:spacing w:after="0" w:line="240" w:lineRule="auto"/>
        <w:ind w:left="567"/>
        <w:jc w:val="both"/>
        <w:rPr>
          <w:rFonts w:ascii="Arial" w:eastAsia="Batang" w:hAnsi="Arial" w:cs="Arial"/>
          <w:lang w:val="es-ES_tradnl"/>
        </w:rPr>
      </w:pPr>
    </w:p>
    <w:p w:rsidR="00834BFA" w:rsidRPr="00D97DE3" w:rsidRDefault="00834BFA" w:rsidP="00834BFA">
      <w:pPr>
        <w:spacing w:after="0"/>
        <w:jc w:val="both"/>
        <w:rPr>
          <w:rFonts w:ascii="Arial" w:hAnsi="Arial" w:cs="Arial"/>
          <w:lang w:val="es-ES"/>
        </w:rPr>
      </w:pPr>
    </w:p>
    <w:p w:rsidR="00834BFA" w:rsidRPr="00834BFA" w:rsidRDefault="00834BFA" w:rsidP="00A92E8F">
      <w:pPr>
        <w:rPr>
          <w:rFonts w:ascii="Arial" w:eastAsiaTheme="minorEastAsia" w:hAnsi="Arial" w:cs="Arial"/>
          <w:color w:val="000000" w:themeColor="text1"/>
          <w:kern w:val="24"/>
          <w:lang w:val="es-ES"/>
        </w:rPr>
      </w:pPr>
    </w:p>
    <w:p w:rsidR="00834BFA" w:rsidRPr="00E94074" w:rsidRDefault="00834BFA" w:rsidP="00A92E8F">
      <w:pPr>
        <w:rPr>
          <w:rFonts w:ascii="Arial" w:eastAsiaTheme="minorEastAsia" w:hAnsi="Arial" w:cs="Arial"/>
          <w:color w:val="000000" w:themeColor="text1"/>
          <w:kern w:val="24"/>
        </w:rPr>
      </w:pPr>
    </w:p>
    <w:sectPr w:rsidR="00834BFA" w:rsidRPr="00E940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06981"/>
    <w:multiLevelType w:val="hybridMultilevel"/>
    <w:tmpl w:val="09488242"/>
    <w:lvl w:ilvl="0" w:tplc="86E47A32">
      <w:start w:val="1"/>
      <w:numFmt w:val="decimal"/>
      <w:lvlText w:val="%1-"/>
      <w:lvlJc w:val="left"/>
      <w:pPr>
        <w:ind w:left="645" w:hanging="645"/>
      </w:pPr>
      <w:rPr>
        <w:rFonts w:asciiTheme="minorHAnsi" w:eastAsia="Batang" w:hAnsiTheme="minorHAnsi" w:cstheme="minorHAnsi"/>
        <w:color w:val="auto"/>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8F"/>
    <w:rsid w:val="00173357"/>
    <w:rsid w:val="003A3A86"/>
    <w:rsid w:val="00593C0A"/>
    <w:rsid w:val="0062002A"/>
    <w:rsid w:val="00644795"/>
    <w:rsid w:val="00834BFA"/>
    <w:rsid w:val="00A92E8F"/>
    <w:rsid w:val="00C13CB4"/>
    <w:rsid w:val="00E94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91B49-C9B0-46C2-B714-8D8C9B76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U"/>
    </w:rPr>
  </w:style>
  <w:style w:type="paragraph" w:styleId="Ttulo2">
    <w:name w:val="heading 2"/>
    <w:basedOn w:val="Normal"/>
    <w:next w:val="Normal"/>
    <w:link w:val="Ttulo2Car"/>
    <w:uiPriority w:val="9"/>
    <w:unhideWhenUsed/>
    <w:qFormat/>
    <w:rsid w:val="00A92E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2E8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A92E8F"/>
    <w:rPr>
      <w:rFonts w:asciiTheme="majorHAnsi" w:eastAsiaTheme="majorEastAsia" w:hAnsiTheme="majorHAnsi" w:cstheme="majorBidi"/>
      <w:color w:val="2E74B5" w:themeColor="accent1" w:themeShade="BF"/>
      <w:sz w:val="26"/>
      <w:szCs w:val="26"/>
      <w:lang w:val="es-CU"/>
    </w:rPr>
  </w:style>
  <w:style w:type="character" w:styleId="Hipervnculo">
    <w:name w:val="Hyperlink"/>
    <w:basedOn w:val="Fuentedeprrafopredeter"/>
    <w:uiPriority w:val="99"/>
    <w:unhideWhenUsed/>
    <w:rsid w:val="00A92E8F"/>
    <w:rPr>
      <w:color w:val="0563C1" w:themeColor="hyperlink"/>
      <w:u w:val="single"/>
    </w:rPr>
  </w:style>
  <w:style w:type="paragraph" w:styleId="Prrafodelista">
    <w:name w:val="List Paragraph"/>
    <w:basedOn w:val="Normal"/>
    <w:uiPriority w:val="34"/>
    <w:qFormat/>
    <w:rsid w:val="00834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pdfdirect/10.1111/JGH.13264?casa_token=GgHnky5z6t8AAAAA:Yg6aO1Q0PcA6WdgLe4UFo-SzX2mokDgCQOfuXa5bxRsWZLkNnSPnbPR7Z53xz6ST_oicuaKJRB9Rd4hlxQ" TargetMode="External"/><Relationship Id="rId13" Type="http://schemas.openxmlformats.org/officeDocument/2006/relationships/hyperlink" Target="https://eprints.soton.ac.uk/416686/1/Targher_V1_1502113873_17_R1_clean_revised_copy.pdf" TargetMode="External"/><Relationship Id="rId18" Type="http://schemas.openxmlformats.org/officeDocument/2006/relationships/hyperlink" Target="https://www.ncbi.nlm.nih.gov/pmc/articles/PMC6960360/" TargetMode="External"/><Relationship Id="rId3" Type="http://schemas.openxmlformats.org/officeDocument/2006/relationships/settings" Target="settings.xml"/><Relationship Id="rId21" Type="http://schemas.openxmlformats.org/officeDocument/2006/relationships/hyperlink" Target="https://dialnet.unirioja.es/servlet/articulo?codigo=5118783" TargetMode="External"/><Relationship Id="rId7" Type="http://schemas.openxmlformats.org/officeDocument/2006/relationships/hyperlink" Target="https://www.mdcalc.com/bard-score-nafld-fibrosis" TargetMode="External"/><Relationship Id="rId12" Type="http://schemas.openxmlformats.org/officeDocument/2006/relationships/hyperlink" Target="https://bit.ly/3RnQhCa" TargetMode="External"/><Relationship Id="rId17" Type="http://schemas.openxmlformats.org/officeDocument/2006/relationships/hyperlink" Target="https://aasldpubs.onlinelibrary.wiley.com/doi/pdfdirect/10.1002/lt.25003" TargetMode="External"/><Relationship Id="rId2" Type="http://schemas.openxmlformats.org/officeDocument/2006/relationships/styles" Target="styles.xml"/><Relationship Id="rId16" Type="http://schemas.openxmlformats.org/officeDocument/2006/relationships/hyperlink" Target="https://aasldpubs.onlinelibrary.wiley.com/doi/pdfdirect/10.1002/hep.29466" TargetMode="External"/><Relationship Id="rId20" Type="http://schemas.openxmlformats.org/officeDocument/2006/relationships/hyperlink" Target="http://www.scielo.org.ar/scielo.php?script=sci_arttext&amp;pid=S0025-76802020000600371" TargetMode="External"/><Relationship Id="rId1" Type="http://schemas.openxmlformats.org/officeDocument/2006/relationships/numbering" Target="numbering.xml"/><Relationship Id="rId6" Type="http://schemas.openxmlformats.org/officeDocument/2006/relationships/hyperlink" Target="https://www.mdcalc.com/fatty-liver-index" TargetMode="External"/><Relationship Id="rId11" Type="http://schemas.openxmlformats.org/officeDocument/2006/relationships/hyperlink" Target="https://aasldpubs.onlinelibrary.wiley.com/doi/full/10.1002/hep.28431" TargetMode="External"/><Relationship Id="rId24" Type="http://schemas.openxmlformats.org/officeDocument/2006/relationships/theme" Target="theme/theme1.xml"/><Relationship Id="rId5" Type="http://schemas.openxmlformats.org/officeDocument/2006/relationships/hyperlink" Target="mailto:yuleysizv@gmail.com" TargetMode="External"/><Relationship Id="rId15" Type="http://schemas.openxmlformats.org/officeDocument/2006/relationships/hyperlink" Target="http://www.svemonline.org/wp-content/uploads/2016/02/endotips-vol-05-1.pdf" TargetMode="External"/><Relationship Id="rId23" Type="http://schemas.openxmlformats.org/officeDocument/2006/relationships/fontTable" Target="fontTable.xml"/><Relationship Id="rId10" Type="http://schemas.openxmlformats.org/officeDocument/2006/relationships/hyperlink" Target="https://aasldpubs.onlinelibrary.wiley.com/doi/pdf/10.1002/hep.29367" TargetMode="External"/><Relationship Id="rId19" Type="http://schemas.openxmlformats.org/officeDocument/2006/relationships/hyperlink" Target="https://care.diabetesjournals.org/content/38/Supplement_1/S17.extract" TargetMode="External"/><Relationship Id="rId4" Type="http://schemas.openxmlformats.org/officeDocument/2006/relationships/webSettings" Target="webSettings.xml"/><Relationship Id="rId9" Type="http://schemas.openxmlformats.org/officeDocument/2006/relationships/hyperlink" Target="https://www.ncbi.nlm.nih.gov/pmc/articles/PMC6092580/" TargetMode="External"/><Relationship Id="rId14" Type="http://schemas.openxmlformats.org/officeDocument/2006/relationships/hyperlink" Target="https://sci.zums.ac.ir/files/metabolic/files/8%284%29.pdf" TargetMode="External"/><Relationship Id="rId22" Type="http://schemas.openxmlformats.org/officeDocument/2006/relationships/hyperlink" Target="https://onlinelibrary.wiley.com/doi/pdf/10.1111/apt.129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3841</Words>
  <Characters>21129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2022-11-15T14:35:00Z</dcterms:created>
  <dcterms:modified xsi:type="dcterms:W3CDTF">2022-12-21T13:59:00Z</dcterms:modified>
</cp:coreProperties>
</file>