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0F0" w:rsidRPr="00371CA2" w:rsidRDefault="00371CA2" w:rsidP="00A552CE">
      <w:pPr>
        <w:pStyle w:val="Ttulo10"/>
        <w:spacing w:before="360"/>
        <w:rPr>
          <w:snapToGrid w:val="0"/>
          <w:lang w:val="es-ES" w:eastAsia="ja-JP"/>
        </w:rPr>
      </w:pPr>
      <w:r w:rsidRPr="00D7766C">
        <w:rPr>
          <w:rFonts w:ascii="Verdana" w:hAnsi="Verdana"/>
          <w:lang w:val="es-VE"/>
        </w:rPr>
        <w:t>“</w:t>
      </w:r>
      <w:bookmarkStart w:id="0" w:name="_GoBack"/>
      <w:r w:rsidR="00414C58" w:rsidRPr="00C417E8">
        <w:rPr>
          <w:rFonts w:ascii="Verdana" w:hAnsi="Verdana"/>
          <w:caps/>
          <w:lang w:val="es-VE"/>
        </w:rPr>
        <w:t>Neuroinvasión del SARSCoV-2 en el tejido cortical cerebral</w:t>
      </w:r>
      <w:bookmarkEnd w:id="0"/>
      <w:r w:rsidRPr="00D7766C">
        <w:rPr>
          <w:rFonts w:ascii="Verdana" w:hAnsi="Verdana"/>
          <w:lang w:val="es-VE"/>
        </w:rPr>
        <w:t>”</w:t>
      </w:r>
    </w:p>
    <w:p w:rsidR="00D7766C" w:rsidRPr="00EF7906" w:rsidRDefault="00D7766C" w:rsidP="00D7766C">
      <w:pPr>
        <w:pStyle w:val="authorinfo"/>
        <w:rPr>
          <w:rFonts w:ascii="Verdana" w:hAnsi="Verdana" w:cs="Arial"/>
          <w:sz w:val="22"/>
          <w:szCs w:val="22"/>
          <w:lang w:val="es-ES"/>
        </w:rPr>
      </w:pPr>
      <w:r w:rsidRPr="00EF7906">
        <w:rPr>
          <w:rFonts w:ascii="Verdana" w:hAnsi="Verdana" w:cs="Arial"/>
          <w:sz w:val="22"/>
          <w:szCs w:val="22"/>
          <w:lang w:val="es-ES"/>
        </w:rPr>
        <w:t>Viviana, Falcón Cama</w:t>
      </w:r>
      <w:r w:rsidRPr="00EF7906">
        <w:rPr>
          <w:rFonts w:ascii="Verdana" w:hAnsi="Verdana" w:cs="Arial"/>
          <w:sz w:val="22"/>
          <w:szCs w:val="22"/>
          <w:vertAlign w:val="superscript"/>
          <w:lang w:val="es-ES"/>
        </w:rPr>
        <w:t>1,7</w:t>
      </w:r>
      <w:r w:rsidRPr="00EF7906">
        <w:rPr>
          <w:rFonts w:ascii="Verdana" w:hAnsi="Verdana" w:cs="Arial"/>
          <w:sz w:val="22"/>
          <w:szCs w:val="22"/>
          <w:lang w:val="es-ES"/>
        </w:rPr>
        <w:t xml:space="preserve">, Giselle, Pentón Rol </w:t>
      </w:r>
      <w:r w:rsidRPr="00EF7906">
        <w:rPr>
          <w:rFonts w:ascii="Verdana" w:hAnsi="Verdana" w:cs="Arial"/>
          <w:sz w:val="22"/>
          <w:szCs w:val="22"/>
          <w:vertAlign w:val="superscript"/>
          <w:lang w:val="es-ES"/>
        </w:rPr>
        <w:t>1,7</w:t>
      </w:r>
      <w:r w:rsidRPr="00EF7906">
        <w:rPr>
          <w:rFonts w:ascii="Verdana" w:hAnsi="Verdana" w:cs="Arial"/>
          <w:sz w:val="22"/>
          <w:szCs w:val="22"/>
          <w:lang w:val="es-ES"/>
        </w:rPr>
        <w:t xml:space="preserve">, Teresita de Jesús, Montero González </w:t>
      </w:r>
      <w:r w:rsidRPr="00EF7906">
        <w:rPr>
          <w:rFonts w:ascii="Verdana" w:hAnsi="Verdana" w:cs="Arial"/>
          <w:sz w:val="22"/>
          <w:szCs w:val="22"/>
          <w:vertAlign w:val="superscript"/>
          <w:lang w:val="es-ES"/>
        </w:rPr>
        <w:t>3</w:t>
      </w:r>
      <w:r w:rsidRPr="00EF7906">
        <w:rPr>
          <w:rFonts w:ascii="Verdana" w:hAnsi="Verdana" w:cs="Arial"/>
          <w:sz w:val="22"/>
          <w:szCs w:val="22"/>
          <w:lang w:val="es-ES"/>
        </w:rPr>
        <w:t xml:space="preserve"> y Nelson, Acosta Rivero </w:t>
      </w:r>
      <w:r w:rsidRPr="00EF7906">
        <w:rPr>
          <w:rFonts w:ascii="Verdana" w:hAnsi="Verdana" w:cs="Arial"/>
          <w:sz w:val="22"/>
          <w:szCs w:val="22"/>
          <w:vertAlign w:val="superscript"/>
          <w:lang w:val="es-ES"/>
        </w:rPr>
        <w:t>4</w:t>
      </w:r>
      <w:r w:rsidRPr="00EF7906">
        <w:rPr>
          <w:rFonts w:ascii="Verdana" w:hAnsi="Verdana" w:cs="Arial"/>
          <w:sz w:val="22"/>
          <w:szCs w:val="22"/>
          <w:lang w:val="es-ES"/>
        </w:rPr>
        <w:t xml:space="preserve">, Gerardo, Guillén Nieto </w:t>
      </w:r>
      <w:r w:rsidRPr="00EF7906">
        <w:rPr>
          <w:rFonts w:ascii="Verdana" w:hAnsi="Verdana" w:cs="Arial"/>
          <w:sz w:val="22"/>
          <w:szCs w:val="22"/>
          <w:vertAlign w:val="superscript"/>
          <w:lang w:val="es-ES"/>
        </w:rPr>
        <w:t>1,7</w:t>
      </w:r>
      <w:r w:rsidRPr="00EF7906">
        <w:rPr>
          <w:rFonts w:ascii="Verdana" w:hAnsi="Verdana" w:cs="Arial"/>
          <w:sz w:val="22"/>
          <w:szCs w:val="22"/>
          <w:lang w:val="es-ES"/>
        </w:rPr>
        <w:t xml:space="preserve">, Emilio Felino, Acosta Medina </w:t>
      </w:r>
      <w:r w:rsidRPr="00EF7906">
        <w:rPr>
          <w:rFonts w:ascii="Verdana" w:hAnsi="Verdana" w:cs="Arial"/>
          <w:sz w:val="22"/>
          <w:szCs w:val="22"/>
          <w:vertAlign w:val="superscript"/>
          <w:lang w:val="es-ES"/>
        </w:rPr>
        <w:t>6,7</w:t>
      </w:r>
      <w:r w:rsidRPr="00EF7906">
        <w:rPr>
          <w:rFonts w:ascii="Verdana" w:hAnsi="Verdana" w:cs="Arial"/>
          <w:sz w:val="22"/>
          <w:szCs w:val="22"/>
          <w:lang w:val="es-ES"/>
        </w:rPr>
        <w:t xml:space="preserve">, Daina, Cremata García </w:t>
      </w:r>
      <w:r w:rsidRPr="00EF7906">
        <w:rPr>
          <w:rFonts w:ascii="Verdana" w:hAnsi="Verdana" w:cs="Arial"/>
          <w:sz w:val="22"/>
          <w:szCs w:val="22"/>
          <w:vertAlign w:val="superscript"/>
          <w:lang w:val="es-ES"/>
        </w:rPr>
        <w:t>1</w:t>
      </w:r>
      <w:r w:rsidRPr="00EF7906">
        <w:rPr>
          <w:rFonts w:ascii="Verdana" w:hAnsi="Verdana" w:cs="Arial"/>
          <w:sz w:val="22"/>
          <w:szCs w:val="22"/>
          <w:lang w:val="es-ES"/>
        </w:rPr>
        <w:t xml:space="preserve">, Mariuska, MatosTerrero </w:t>
      </w:r>
      <w:r w:rsidRPr="00EF7906">
        <w:rPr>
          <w:rFonts w:ascii="Verdana" w:hAnsi="Verdana" w:cs="Arial"/>
          <w:sz w:val="22"/>
          <w:szCs w:val="22"/>
          <w:vertAlign w:val="superscript"/>
          <w:lang w:val="es-ES"/>
        </w:rPr>
        <w:t>1</w:t>
      </w:r>
      <w:r w:rsidRPr="00EF7906">
        <w:rPr>
          <w:rFonts w:ascii="Verdana" w:hAnsi="Verdana" w:cs="Arial"/>
          <w:sz w:val="22"/>
          <w:szCs w:val="22"/>
          <w:lang w:val="es-ES"/>
        </w:rPr>
        <w:t xml:space="preserve">, Celia, Fernández Ortega </w:t>
      </w:r>
      <w:r w:rsidRPr="00EF7906">
        <w:rPr>
          <w:rFonts w:ascii="Verdana" w:hAnsi="Verdana" w:cs="Arial"/>
          <w:sz w:val="22"/>
          <w:szCs w:val="22"/>
          <w:vertAlign w:val="superscript"/>
          <w:lang w:val="es-ES"/>
        </w:rPr>
        <w:t>1</w:t>
      </w:r>
      <w:r w:rsidRPr="00EF7906">
        <w:rPr>
          <w:rFonts w:ascii="Verdana" w:hAnsi="Verdana" w:cs="Arial"/>
          <w:sz w:val="22"/>
          <w:szCs w:val="22"/>
          <w:lang w:val="es-ES"/>
        </w:rPr>
        <w:t xml:space="preserve">, Leonardo, Oramas Díaz </w:t>
      </w:r>
      <w:r w:rsidRPr="00EF7906">
        <w:rPr>
          <w:rFonts w:ascii="Verdana" w:hAnsi="Verdana" w:cs="Arial"/>
          <w:sz w:val="22"/>
          <w:szCs w:val="22"/>
          <w:vertAlign w:val="superscript"/>
          <w:lang w:val="es-ES"/>
        </w:rPr>
        <w:t>1</w:t>
      </w:r>
      <w:r w:rsidRPr="00EF7906">
        <w:rPr>
          <w:rFonts w:ascii="Verdana" w:hAnsi="Verdana" w:cs="Arial"/>
          <w:sz w:val="22"/>
          <w:szCs w:val="22"/>
          <w:lang w:val="es-ES"/>
        </w:rPr>
        <w:t xml:space="preserve">, Brian, Mondeja Rodríguez </w:t>
      </w:r>
      <w:r w:rsidRPr="00EF7906">
        <w:rPr>
          <w:rFonts w:ascii="Verdana" w:hAnsi="Verdana" w:cs="Arial"/>
          <w:sz w:val="22"/>
          <w:szCs w:val="22"/>
          <w:vertAlign w:val="superscript"/>
          <w:lang w:val="es-ES"/>
        </w:rPr>
        <w:t>6</w:t>
      </w:r>
      <w:r w:rsidRPr="00EF7906">
        <w:rPr>
          <w:rFonts w:ascii="Verdana" w:hAnsi="Verdana" w:cs="Arial"/>
          <w:sz w:val="22"/>
          <w:szCs w:val="22"/>
          <w:lang w:val="es-ES"/>
        </w:rPr>
        <w:t xml:space="preserve">, Omar Reinaldo, Blanco Aguila </w:t>
      </w:r>
      <w:r w:rsidRPr="00EF7906">
        <w:rPr>
          <w:rFonts w:ascii="Verdana" w:hAnsi="Verdana" w:cs="Arial"/>
          <w:sz w:val="22"/>
          <w:szCs w:val="22"/>
          <w:vertAlign w:val="superscript"/>
          <w:lang w:val="es-ES"/>
        </w:rPr>
        <w:t>2</w:t>
      </w:r>
      <w:r w:rsidRPr="00EF7906">
        <w:rPr>
          <w:rFonts w:ascii="Verdana" w:hAnsi="Verdana" w:cs="Arial"/>
          <w:sz w:val="22"/>
          <w:szCs w:val="22"/>
          <w:lang w:val="es-ES"/>
        </w:rPr>
        <w:t xml:space="preserve">, Anamary, Suárez Batista </w:t>
      </w:r>
      <w:r w:rsidRPr="00EF7906">
        <w:rPr>
          <w:rFonts w:ascii="Verdana" w:hAnsi="Verdana" w:cs="Arial"/>
          <w:sz w:val="22"/>
          <w:szCs w:val="22"/>
          <w:vertAlign w:val="superscript"/>
          <w:lang w:val="es-ES"/>
        </w:rPr>
        <w:t>5</w:t>
      </w:r>
      <w:r w:rsidRPr="00EF7906">
        <w:rPr>
          <w:rFonts w:ascii="Verdana" w:hAnsi="Verdana" w:cs="Arial"/>
          <w:sz w:val="22"/>
          <w:szCs w:val="22"/>
          <w:lang w:val="es-ES"/>
        </w:rPr>
        <w:t xml:space="preserve">, Enrique, Noa Romero </w:t>
      </w:r>
      <w:r w:rsidRPr="00EF7906">
        <w:rPr>
          <w:rFonts w:ascii="Verdana" w:hAnsi="Verdana" w:cs="Arial"/>
          <w:sz w:val="22"/>
          <w:szCs w:val="22"/>
          <w:vertAlign w:val="superscript"/>
          <w:lang w:val="es-ES"/>
        </w:rPr>
        <w:t>5</w:t>
      </w:r>
      <w:r w:rsidRPr="00EF7906">
        <w:rPr>
          <w:rFonts w:ascii="Verdana" w:hAnsi="Verdana" w:cs="Arial"/>
          <w:sz w:val="22"/>
          <w:szCs w:val="22"/>
          <w:lang w:val="es-ES"/>
        </w:rPr>
        <w:t xml:space="preserve">, Rodolfo, Valdés Veliz </w:t>
      </w:r>
      <w:r w:rsidRPr="00EF7906">
        <w:rPr>
          <w:rFonts w:ascii="Verdana" w:hAnsi="Verdana" w:cs="Arial"/>
          <w:sz w:val="22"/>
          <w:szCs w:val="22"/>
          <w:vertAlign w:val="superscript"/>
          <w:lang w:val="es-ES"/>
        </w:rPr>
        <w:t>1</w:t>
      </w:r>
      <w:r w:rsidRPr="00EF7906">
        <w:rPr>
          <w:rFonts w:ascii="Verdana" w:hAnsi="Verdana" w:cs="Arial"/>
          <w:sz w:val="22"/>
          <w:szCs w:val="22"/>
          <w:lang w:val="es-ES"/>
        </w:rPr>
        <w:t xml:space="preserve">, Angelina, Díaz García </w:t>
      </w:r>
      <w:r w:rsidRPr="00EF7906">
        <w:rPr>
          <w:rFonts w:ascii="Verdana" w:hAnsi="Verdana" w:cs="Arial"/>
          <w:sz w:val="22"/>
          <w:szCs w:val="22"/>
          <w:vertAlign w:val="superscript"/>
          <w:lang w:val="es-ES"/>
        </w:rPr>
        <w:t>6</w:t>
      </w:r>
      <w:r w:rsidRPr="00EF7906">
        <w:rPr>
          <w:rFonts w:ascii="Verdana" w:hAnsi="Verdana" w:cs="Arial"/>
          <w:sz w:val="22"/>
          <w:szCs w:val="22"/>
          <w:lang w:val="es-ES"/>
        </w:rPr>
        <w:t xml:space="preserve">, Yorexis, González Alfaro </w:t>
      </w:r>
      <w:r w:rsidRPr="00EF7906">
        <w:rPr>
          <w:rFonts w:ascii="Verdana" w:hAnsi="Verdana" w:cs="Arial"/>
          <w:sz w:val="22"/>
          <w:szCs w:val="22"/>
          <w:vertAlign w:val="superscript"/>
          <w:lang w:val="es-ES"/>
        </w:rPr>
        <w:t>6</w:t>
      </w:r>
      <w:r w:rsidRPr="00EF7906">
        <w:rPr>
          <w:rFonts w:ascii="Verdana" w:hAnsi="Verdana" w:cs="Arial"/>
          <w:sz w:val="22"/>
          <w:szCs w:val="22"/>
          <w:lang w:val="es-ES"/>
        </w:rPr>
        <w:t>.</w:t>
      </w:r>
    </w:p>
    <w:p w:rsidR="00D7766C" w:rsidRPr="00EF7906" w:rsidRDefault="00D7766C" w:rsidP="00D7766C">
      <w:pPr>
        <w:rPr>
          <w:rFonts w:ascii="Verdana" w:hAnsi="Verdana" w:cs="Arial"/>
          <w:sz w:val="22"/>
          <w:szCs w:val="22"/>
          <w:lang w:val="es-ES"/>
        </w:rPr>
      </w:pPr>
      <w:r w:rsidRPr="00EF7906">
        <w:rPr>
          <w:rFonts w:ascii="Verdana" w:hAnsi="Verdana" w:cs="Arial"/>
          <w:sz w:val="22"/>
          <w:szCs w:val="22"/>
          <w:vertAlign w:val="superscript"/>
          <w:lang w:val="es-ES"/>
        </w:rPr>
        <w:t>1</w:t>
      </w:r>
      <w:r w:rsidRPr="00EF7906">
        <w:rPr>
          <w:rFonts w:ascii="Verdana" w:hAnsi="Verdana" w:cs="Arial"/>
          <w:sz w:val="22"/>
          <w:szCs w:val="22"/>
          <w:lang w:val="es-ES"/>
        </w:rPr>
        <w:t xml:space="preserve"> </w:t>
      </w:r>
      <w:r w:rsidRPr="00EF7906">
        <w:rPr>
          <w:rFonts w:ascii="Verdana" w:hAnsi="Verdana" w:cs="Arial"/>
          <w:b/>
          <w:bCs/>
          <w:sz w:val="22"/>
          <w:szCs w:val="22"/>
          <w:lang w:val="es-ES"/>
        </w:rPr>
        <w:t>Centro de Ingeniería Genética y Biotecnología (CIGB-Habana)</w:t>
      </w:r>
      <w:r w:rsidRPr="00EF7906">
        <w:rPr>
          <w:rFonts w:ascii="Verdana" w:hAnsi="Verdana" w:cs="Arial"/>
          <w:sz w:val="22"/>
          <w:szCs w:val="22"/>
          <w:lang w:val="es-ES"/>
        </w:rPr>
        <w:t xml:space="preserve">, Ave. 31 e/ 158 y 190, Cubanacán, Playa, Habana, Cuba. PO Box 6162. </w:t>
      </w:r>
    </w:p>
    <w:p w:rsidR="00D7766C" w:rsidRPr="00EF7906" w:rsidRDefault="00D7766C" w:rsidP="00D7766C">
      <w:pPr>
        <w:rPr>
          <w:rFonts w:ascii="Verdana" w:hAnsi="Verdana" w:cs="Arial"/>
          <w:sz w:val="22"/>
          <w:szCs w:val="22"/>
          <w:lang w:val="es-ES"/>
        </w:rPr>
      </w:pPr>
      <w:r w:rsidRPr="00EF7906">
        <w:rPr>
          <w:rFonts w:ascii="Verdana" w:hAnsi="Verdana" w:cs="Arial"/>
          <w:sz w:val="22"/>
          <w:szCs w:val="22"/>
          <w:vertAlign w:val="superscript"/>
          <w:lang w:val="es-ES"/>
        </w:rPr>
        <w:t>2</w:t>
      </w:r>
      <w:r w:rsidRPr="00EF7906">
        <w:rPr>
          <w:rFonts w:ascii="Verdana" w:hAnsi="Verdana" w:cs="Arial"/>
          <w:sz w:val="22"/>
          <w:szCs w:val="22"/>
          <w:lang w:val="es-ES"/>
        </w:rPr>
        <w:t xml:space="preserve"> </w:t>
      </w:r>
      <w:r w:rsidRPr="00EF7906">
        <w:rPr>
          <w:rFonts w:ascii="Verdana" w:hAnsi="Verdana" w:cs="Arial"/>
          <w:b/>
          <w:bCs/>
          <w:sz w:val="22"/>
          <w:szCs w:val="22"/>
          <w:lang w:val="es-ES"/>
        </w:rPr>
        <w:t>Centro de Ingeniería Genética y Biotecnología (CIGB- Sancti Spíritus),</w:t>
      </w:r>
      <w:r w:rsidRPr="00EF7906">
        <w:rPr>
          <w:rFonts w:ascii="Verdana" w:hAnsi="Verdana" w:cs="Arial"/>
          <w:sz w:val="22"/>
          <w:szCs w:val="22"/>
          <w:lang w:val="es-ES"/>
        </w:rPr>
        <w:t xml:space="preserve"> Circunvalación Norte. Facultad de Ciencias Médicas, Apartado Postal 83. CP. 60 200, Sancti Spíritus, Cuba</w:t>
      </w:r>
    </w:p>
    <w:p w:rsidR="00D7766C" w:rsidRPr="00EF7906" w:rsidRDefault="00D7766C" w:rsidP="00D7766C">
      <w:pPr>
        <w:rPr>
          <w:rFonts w:ascii="Verdana" w:hAnsi="Verdana" w:cs="Arial"/>
          <w:sz w:val="22"/>
          <w:szCs w:val="22"/>
          <w:lang w:val="es-ES"/>
        </w:rPr>
      </w:pPr>
      <w:r w:rsidRPr="00EF7906">
        <w:rPr>
          <w:rFonts w:ascii="Verdana" w:hAnsi="Verdana" w:cs="Arial"/>
          <w:sz w:val="22"/>
          <w:szCs w:val="22"/>
          <w:vertAlign w:val="superscript"/>
          <w:lang w:val="es-ES"/>
        </w:rPr>
        <w:t>3</w:t>
      </w:r>
      <w:r w:rsidRPr="00EF7906">
        <w:rPr>
          <w:rFonts w:ascii="Verdana" w:hAnsi="Verdana" w:cs="Arial"/>
          <w:sz w:val="22"/>
          <w:szCs w:val="22"/>
          <w:lang w:val="es-ES"/>
        </w:rPr>
        <w:t xml:space="preserve"> </w:t>
      </w:r>
      <w:r w:rsidRPr="00EF7906">
        <w:rPr>
          <w:rFonts w:ascii="Verdana" w:hAnsi="Verdana" w:cs="Arial"/>
          <w:b/>
          <w:bCs/>
          <w:sz w:val="22"/>
          <w:szCs w:val="22"/>
          <w:lang w:val="es-ES"/>
        </w:rPr>
        <w:t>Hospital Militar Central "Dr. Luis Díaz Soto",</w:t>
      </w:r>
      <w:r w:rsidRPr="00EF7906">
        <w:rPr>
          <w:rFonts w:ascii="Verdana" w:hAnsi="Verdana" w:cs="Arial"/>
          <w:sz w:val="22"/>
          <w:szCs w:val="22"/>
          <w:lang w:val="es-ES"/>
        </w:rPr>
        <w:t xml:space="preserve"> Avenida Monumental km 2, Habana del Este, Habana, Cuba.  </w:t>
      </w:r>
    </w:p>
    <w:p w:rsidR="00D7766C" w:rsidRPr="00EF7906" w:rsidRDefault="00D7766C" w:rsidP="00D7766C">
      <w:pPr>
        <w:rPr>
          <w:rFonts w:ascii="Verdana" w:hAnsi="Verdana" w:cs="Arial"/>
          <w:sz w:val="22"/>
          <w:szCs w:val="22"/>
          <w:lang w:val="es-ES"/>
        </w:rPr>
      </w:pPr>
      <w:r w:rsidRPr="00EF7906">
        <w:rPr>
          <w:rFonts w:ascii="Verdana" w:hAnsi="Verdana" w:cs="Arial"/>
          <w:sz w:val="22"/>
          <w:szCs w:val="22"/>
          <w:vertAlign w:val="superscript"/>
          <w:lang w:val="es-ES"/>
        </w:rPr>
        <w:t xml:space="preserve">4 </w:t>
      </w:r>
      <w:r w:rsidRPr="00EF7906">
        <w:rPr>
          <w:rFonts w:ascii="Verdana" w:hAnsi="Verdana" w:cs="Arial"/>
          <w:b/>
          <w:sz w:val="22"/>
          <w:szCs w:val="22"/>
          <w:lang w:val="es-ES"/>
        </w:rPr>
        <w:t>Centro de Estudio de Proteínas (CEP). Facultad de Biología. Universidad de la Habana, Habana, Cuba</w:t>
      </w:r>
      <w:r w:rsidRPr="00EF7906">
        <w:rPr>
          <w:rFonts w:ascii="Verdana" w:hAnsi="Verdana" w:cs="Arial"/>
          <w:sz w:val="22"/>
          <w:szCs w:val="22"/>
          <w:lang w:val="es-ES"/>
        </w:rPr>
        <w:t xml:space="preserve">. </w:t>
      </w:r>
    </w:p>
    <w:p w:rsidR="00D7766C" w:rsidRPr="00D7766C" w:rsidRDefault="00D7766C" w:rsidP="00D7766C">
      <w:pPr>
        <w:rPr>
          <w:rFonts w:ascii="Verdana" w:hAnsi="Verdana" w:cs="Arial"/>
          <w:sz w:val="22"/>
          <w:szCs w:val="22"/>
          <w:lang w:val="es-ES"/>
        </w:rPr>
      </w:pPr>
      <w:r w:rsidRPr="00EF7906">
        <w:rPr>
          <w:rFonts w:ascii="Verdana" w:hAnsi="Verdana" w:cs="Arial"/>
          <w:sz w:val="22"/>
          <w:szCs w:val="22"/>
          <w:vertAlign w:val="superscript"/>
          <w:lang w:val="es-ES"/>
        </w:rPr>
        <w:t xml:space="preserve">5 </w:t>
      </w:r>
      <w:r w:rsidRPr="00EF7906">
        <w:rPr>
          <w:rFonts w:ascii="Verdana" w:hAnsi="Verdana" w:cs="Arial"/>
          <w:b/>
          <w:sz w:val="22"/>
          <w:szCs w:val="22"/>
          <w:lang w:val="es-ES"/>
        </w:rPr>
        <w:t>Centro de Investigaciones Científicas de la Defensa Civil</w:t>
      </w:r>
      <w:r w:rsidRPr="00EF7906">
        <w:rPr>
          <w:rFonts w:ascii="Verdana" w:hAnsi="Verdana" w:cs="Arial"/>
          <w:sz w:val="22"/>
          <w:szCs w:val="22"/>
          <w:lang w:val="es-ES"/>
        </w:rPr>
        <w:t xml:space="preserve">. </w:t>
      </w:r>
    </w:p>
    <w:p w:rsidR="00D7766C" w:rsidRPr="00D7766C" w:rsidRDefault="00D7766C" w:rsidP="00D7766C">
      <w:pPr>
        <w:rPr>
          <w:rFonts w:ascii="Verdana" w:hAnsi="Verdana" w:cs="Arial"/>
          <w:sz w:val="22"/>
          <w:szCs w:val="22"/>
          <w:lang w:val="es-ES"/>
        </w:rPr>
      </w:pPr>
      <w:r w:rsidRPr="00EF7906">
        <w:rPr>
          <w:rFonts w:ascii="Verdana" w:hAnsi="Verdana" w:cs="Arial"/>
          <w:sz w:val="22"/>
          <w:szCs w:val="22"/>
          <w:vertAlign w:val="superscript"/>
          <w:lang w:val="es-ES"/>
        </w:rPr>
        <w:t xml:space="preserve">6 </w:t>
      </w:r>
      <w:r w:rsidRPr="00EF7906">
        <w:rPr>
          <w:rFonts w:ascii="Verdana" w:hAnsi="Verdana" w:cs="Arial"/>
          <w:b/>
          <w:sz w:val="22"/>
          <w:szCs w:val="22"/>
          <w:lang w:val="es-ES"/>
        </w:rPr>
        <w:t>Centro de Estudios Avanzados, Habana, Cuba</w:t>
      </w:r>
      <w:r w:rsidRPr="00EF7906">
        <w:rPr>
          <w:rFonts w:ascii="Verdana" w:hAnsi="Verdana" w:cs="Arial"/>
          <w:sz w:val="22"/>
          <w:szCs w:val="22"/>
          <w:lang w:val="es-ES"/>
        </w:rPr>
        <w:t xml:space="preserve">. </w:t>
      </w:r>
    </w:p>
    <w:p w:rsidR="00D7766C" w:rsidRDefault="00D7766C" w:rsidP="00D7766C">
      <w:pPr>
        <w:rPr>
          <w:rFonts w:ascii="Verdana" w:hAnsi="Verdana" w:cs="Arial"/>
          <w:sz w:val="22"/>
          <w:szCs w:val="22"/>
          <w:lang w:val="es-ES"/>
        </w:rPr>
      </w:pPr>
      <w:r w:rsidRPr="00EF7906">
        <w:rPr>
          <w:rFonts w:ascii="Verdana" w:hAnsi="Verdana" w:cs="Arial"/>
          <w:sz w:val="22"/>
          <w:szCs w:val="22"/>
          <w:vertAlign w:val="superscript"/>
          <w:lang w:val="es-ES"/>
        </w:rPr>
        <w:t>7</w:t>
      </w:r>
      <w:r w:rsidRPr="00EF7906">
        <w:rPr>
          <w:rFonts w:ascii="Verdana" w:hAnsi="Verdana" w:cs="Arial"/>
          <w:sz w:val="22"/>
          <w:szCs w:val="22"/>
          <w:lang w:val="es-ES"/>
        </w:rPr>
        <w:t xml:space="preserve"> </w:t>
      </w:r>
      <w:r w:rsidRPr="00EF7906">
        <w:rPr>
          <w:rFonts w:ascii="Verdana" w:hAnsi="Verdana" w:cs="Arial"/>
          <w:b/>
          <w:sz w:val="22"/>
          <w:szCs w:val="22"/>
          <w:lang w:val="es-ES"/>
        </w:rPr>
        <w:t>Escuela Latinoamericana de Medicina (ELAM),</w:t>
      </w:r>
      <w:r w:rsidRPr="00EF7906">
        <w:rPr>
          <w:rFonts w:ascii="Verdana" w:hAnsi="Verdana" w:cs="Arial"/>
          <w:sz w:val="22"/>
          <w:szCs w:val="22"/>
          <w:lang w:val="es-ES"/>
        </w:rPr>
        <w:t xml:space="preserve"> Calle Panamericana Km 3 1/2, Santa Fe, Habana, Cuba</w:t>
      </w:r>
    </w:p>
    <w:p w:rsidR="00D7766C" w:rsidRPr="00EF7906" w:rsidRDefault="00A67F6C" w:rsidP="00D7766C">
      <w:pPr>
        <w:spacing w:before="240"/>
        <w:jc w:val="center"/>
        <w:rPr>
          <w:rFonts w:ascii="Verdana" w:hAnsi="Verdana" w:cs="Arial"/>
          <w:sz w:val="22"/>
          <w:szCs w:val="22"/>
          <w:u w:val="single"/>
          <w:lang w:val="es-ES"/>
        </w:rPr>
      </w:pPr>
      <w:hyperlink r:id="rId8" w:history="1">
        <w:r w:rsidR="00D7766C" w:rsidRPr="00EF7906">
          <w:rPr>
            <w:rStyle w:val="Hipervnculo"/>
            <w:rFonts w:ascii="Verdana" w:hAnsi="Verdana" w:cs="Arial"/>
            <w:sz w:val="22"/>
            <w:szCs w:val="22"/>
            <w:u w:val="single"/>
            <w:lang w:val="es-ES"/>
          </w:rPr>
          <w:t>viviana.falcon@cigb.edu.cu</w:t>
        </w:r>
      </w:hyperlink>
    </w:p>
    <w:p w:rsidR="00371CA2" w:rsidRPr="00D7766C" w:rsidRDefault="00575744" w:rsidP="00D7766C">
      <w:pPr>
        <w:pStyle w:val="abstract"/>
        <w:spacing w:line="360" w:lineRule="auto"/>
        <w:rPr>
          <w:rFonts w:ascii="Verdana" w:hAnsi="Verdana"/>
          <w:sz w:val="22"/>
          <w:szCs w:val="24"/>
          <w:lang w:val="es-VE"/>
        </w:rPr>
      </w:pPr>
      <w:r w:rsidRPr="00D7766C">
        <w:rPr>
          <w:rFonts w:ascii="Verdana" w:hAnsi="Verdana"/>
          <w:i/>
          <w:sz w:val="22"/>
          <w:szCs w:val="24"/>
          <w:lang w:val="es-VE"/>
        </w:rPr>
        <w:t>Resumen</w:t>
      </w:r>
      <w:r w:rsidR="0027322E" w:rsidRPr="00D7766C">
        <w:rPr>
          <w:rFonts w:ascii="Verdana" w:hAnsi="Verdana"/>
          <w:i/>
          <w:sz w:val="22"/>
          <w:szCs w:val="24"/>
          <w:lang w:val="es-VE"/>
        </w:rPr>
        <w:t>:</w:t>
      </w:r>
      <w:r w:rsidRPr="00D7766C">
        <w:rPr>
          <w:rFonts w:ascii="Verdana" w:hAnsi="Verdana"/>
          <w:sz w:val="22"/>
          <w:szCs w:val="24"/>
          <w:lang w:val="es-VE"/>
        </w:rPr>
        <w:t xml:space="preserve"> </w:t>
      </w:r>
    </w:p>
    <w:p w:rsidR="00D7766C" w:rsidRPr="00D7766C" w:rsidRDefault="00371CA2" w:rsidP="00D7766C">
      <w:pPr>
        <w:pStyle w:val="abstract"/>
        <w:spacing w:line="360" w:lineRule="auto"/>
        <w:rPr>
          <w:rFonts w:ascii="Verdana" w:hAnsi="Verdana"/>
          <w:b w:val="0"/>
          <w:sz w:val="22"/>
          <w:szCs w:val="24"/>
          <w:lang w:val="es-VE"/>
        </w:rPr>
      </w:pPr>
      <w:r w:rsidRPr="00D7766C">
        <w:rPr>
          <w:rFonts w:ascii="Verdana" w:hAnsi="Verdana"/>
          <w:b w:val="0"/>
          <w:sz w:val="22"/>
          <w:szCs w:val="24"/>
          <w:lang w:val="es-VE"/>
        </w:rPr>
        <w:t xml:space="preserve">Introducción: La detección del SARSCoV-2, así como complicaciones en pulmón </w:t>
      </w:r>
      <w:r w:rsidR="00D7766C" w:rsidRPr="00D7766C">
        <w:rPr>
          <w:rFonts w:ascii="Verdana" w:hAnsi="Verdana"/>
          <w:b w:val="0"/>
          <w:sz w:val="22"/>
          <w:szCs w:val="24"/>
          <w:lang w:val="es-VE"/>
        </w:rPr>
        <w:t>y</w:t>
      </w:r>
      <w:r w:rsidRPr="00D7766C">
        <w:rPr>
          <w:rFonts w:ascii="Verdana" w:hAnsi="Verdana"/>
          <w:b w:val="0"/>
          <w:sz w:val="22"/>
          <w:szCs w:val="24"/>
          <w:lang w:val="es-VE"/>
        </w:rPr>
        <w:t xml:space="preserve"> Sistema Nervioso Central, sugiere que los sitios de infección extrapulmonares contribuyen a la </w:t>
      </w:r>
      <w:r w:rsidR="00D7766C" w:rsidRPr="00D7766C">
        <w:rPr>
          <w:rFonts w:ascii="Verdana" w:hAnsi="Verdana"/>
          <w:b w:val="0"/>
          <w:sz w:val="22"/>
          <w:szCs w:val="24"/>
          <w:lang w:val="es-VE"/>
        </w:rPr>
        <w:t>patología</w:t>
      </w:r>
      <w:r w:rsidRPr="00D7766C">
        <w:rPr>
          <w:rFonts w:ascii="Verdana" w:hAnsi="Verdana"/>
          <w:b w:val="0"/>
          <w:sz w:val="22"/>
          <w:szCs w:val="24"/>
          <w:lang w:val="es-VE"/>
        </w:rPr>
        <w:t xml:space="preserve"> de la enfermedad. </w:t>
      </w:r>
      <w:r w:rsidR="00D7766C" w:rsidRPr="00D7766C">
        <w:rPr>
          <w:rFonts w:ascii="Verdana" w:hAnsi="Verdana"/>
          <w:b w:val="0"/>
          <w:sz w:val="22"/>
          <w:szCs w:val="24"/>
          <w:lang w:val="es-VE"/>
        </w:rPr>
        <w:t>Es r</w:t>
      </w:r>
      <w:r w:rsidRPr="00D7766C">
        <w:rPr>
          <w:rFonts w:ascii="Verdana" w:hAnsi="Verdana"/>
          <w:b w:val="0"/>
          <w:sz w:val="22"/>
          <w:szCs w:val="24"/>
          <w:lang w:val="es-VE"/>
        </w:rPr>
        <w:t>elevante conocer los mecanismos de infección del SARSCoV-2 e identificar nuevas dianas terapéuticas.</w:t>
      </w:r>
    </w:p>
    <w:p w:rsidR="00D7766C" w:rsidRPr="00D7766C" w:rsidRDefault="00D7766C" w:rsidP="00D7766C">
      <w:pPr>
        <w:pStyle w:val="abstract"/>
        <w:spacing w:line="360" w:lineRule="auto"/>
        <w:rPr>
          <w:rFonts w:ascii="Verdana" w:hAnsi="Verdana"/>
          <w:b w:val="0"/>
          <w:sz w:val="22"/>
          <w:szCs w:val="24"/>
          <w:lang w:val="es-VE"/>
        </w:rPr>
      </w:pPr>
      <w:r w:rsidRPr="00D7766C">
        <w:rPr>
          <w:rFonts w:ascii="Verdana" w:hAnsi="Verdana"/>
          <w:b w:val="0"/>
          <w:sz w:val="22"/>
          <w:szCs w:val="24"/>
          <w:lang w:val="es-VE"/>
        </w:rPr>
        <w:t>Objetivos: Fisiopatología, tropismo, dianas moleculares y terapéuticas de la infección por SARSCoV-2 en Pulmón y Sistema Nervioso Central</w:t>
      </w:r>
    </w:p>
    <w:p w:rsidR="00371CA2" w:rsidRPr="00D7766C" w:rsidRDefault="00D7766C" w:rsidP="00D7766C">
      <w:pPr>
        <w:pStyle w:val="abstract"/>
        <w:spacing w:line="360" w:lineRule="auto"/>
        <w:rPr>
          <w:rFonts w:ascii="Verdana" w:hAnsi="Verdana"/>
          <w:b w:val="0"/>
          <w:sz w:val="22"/>
          <w:szCs w:val="24"/>
          <w:lang w:val="es-ES"/>
        </w:rPr>
      </w:pPr>
      <w:r w:rsidRPr="00D7766C">
        <w:rPr>
          <w:rFonts w:ascii="Verdana" w:hAnsi="Verdana"/>
          <w:b w:val="0"/>
          <w:sz w:val="22"/>
          <w:szCs w:val="24"/>
          <w:lang w:val="es-VE"/>
        </w:rPr>
        <w:t xml:space="preserve">Materiales y </w:t>
      </w:r>
      <w:r w:rsidR="00371CA2" w:rsidRPr="00D7766C">
        <w:rPr>
          <w:rFonts w:ascii="Verdana" w:hAnsi="Verdana"/>
          <w:b w:val="0"/>
          <w:sz w:val="22"/>
          <w:szCs w:val="24"/>
          <w:lang w:val="es-VE"/>
        </w:rPr>
        <w:t xml:space="preserve">Métodos: Se obtuvieron muestras de </w:t>
      </w:r>
      <w:r w:rsidRPr="00D7766C">
        <w:rPr>
          <w:rFonts w:ascii="Verdana" w:hAnsi="Verdana"/>
          <w:b w:val="0"/>
          <w:sz w:val="22"/>
          <w:szCs w:val="24"/>
          <w:lang w:val="es-VE"/>
        </w:rPr>
        <w:t>pulmón y cerebro</w:t>
      </w:r>
      <w:r w:rsidR="00371CA2" w:rsidRPr="00D7766C">
        <w:rPr>
          <w:rFonts w:ascii="Verdana" w:hAnsi="Verdana"/>
          <w:b w:val="0"/>
          <w:sz w:val="22"/>
          <w:szCs w:val="24"/>
          <w:lang w:val="es-VE"/>
        </w:rPr>
        <w:t xml:space="preserve"> de f</w:t>
      </w:r>
      <w:r w:rsidRPr="00D7766C">
        <w:rPr>
          <w:rFonts w:ascii="Verdana" w:hAnsi="Verdana"/>
          <w:b w:val="0"/>
          <w:sz w:val="22"/>
          <w:szCs w:val="24"/>
          <w:lang w:val="es-VE"/>
        </w:rPr>
        <w:t>allecidos por COVID-19</w:t>
      </w:r>
      <w:r w:rsidR="00371CA2" w:rsidRPr="00D7766C">
        <w:rPr>
          <w:rFonts w:ascii="Verdana" w:hAnsi="Verdana"/>
          <w:b w:val="0"/>
          <w:sz w:val="22"/>
          <w:szCs w:val="24"/>
          <w:lang w:val="es-VE"/>
        </w:rPr>
        <w:t>. Los criocortes o cortes ultra finos se evaluaron mediante la Tinción de Tricrómica de Mas</w:t>
      </w:r>
      <w:r w:rsidR="00A6240F" w:rsidRPr="00D7766C">
        <w:rPr>
          <w:rFonts w:ascii="Verdana" w:hAnsi="Verdana"/>
          <w:b w:val="0"/>
          <w:sz w:val="22"/>
          <w:szCs w:val="24"/>
          <w:lang w:val="es-VE"/>
        </w:rPr>
        <w:t xml:space="preserve">son </w:t>
      </w:r>
      <w:r w:rsidR="00371CA2" w:rsidRPr="00D7766C">
        <w:rPr>
          <w:rFonts w:ascii="Verdana" w:hAnsi="Verdana"/>
          <w:b w:val="0"/>
          <w:sz w:val="22"/>
          <w:szCs w:val="24"/>
          <w:lang w:val="es-VE"/>
        </w:rPr>
        <w:t>y la Microscopia Confocal.</w:t>
      </w:r>
    </w:p>
    <w:p w:rsidR="00D77231" w:rsidRPr="00D7766C" w:rsidRDefault="00371CA2" w:rsidP="00D7766C">
      <w:pPr>
        <w:pStyle w:val="abstract"/>
        <w:spacing w:line="360" w:lineRule="auto"/>
        <w:rPr>
          <w:rFonts w:ascii="Verdana" w:hAnsi="Verdana"/>
          <w:b w:val="0"/>
          <w:sz w:val="22"/>
          <w:szCs w:val="24"/>
          <w:lang w:val="es-ES"/>
        </w:rPr>
      </w:pPr>
      <w:r w:rsidRPr="00D7766C">
        <w:rPr>
          <w:rFonts w:ascii="Verdana" w:hAnsi="Verdana"/>
          <w:b w:val="0"/>
          <w:sz w:val="22"/>
          <w:szCs w:val="24"/>
          <w:lang w:val="es-VE"/>
        </w:rPr>
        <w:t>Resultados</w:t>
      </w:r>
      <w:r w:rsidR="00D7766C" w:rsidRPr="00D7766C">
        <w:rPr>
          <w:rFonts w:ascii="Verdana" w:hAnsi="Verdana"/>
          <w:b w:val="0"/>
          <w:sz w:val="22"/>
          <w:szCs w:val="24"/>
          <w:lang w:val="es-VE"/>
        </w:rPr>
        <w:t xml:space="preserve"> y discusión</w:t>
      </w:r>
      <w:r w:rsidRPr="00D7766C">
        <w:rPr>
          <w:rFonts w:ascii="Verdana" w:hAnsi="Verdana"/>
          <w:b w:val="0"/>
          <w:sz w:val="22"/>
          <w:szCs w:val="24"/>
          <w:lang w:val="es-VE"/>
        </w:rPr>
        <w:t>: Se identificaron novedosos procesos celulares y fisiopatológicos involucrados en la infección del virus SARSCoV-2.</w:t>
      </w:r>
      <w:r w:rsidR="00D77231" w:rsidRPr="00D7766C">
        <w:rPr>
          <w:rFonts w:ascii="Verdana" w:hAnsi="Verdana"/>
          <w:b w:val="0"/>
          <w:sz w:val="22"/>
          <w:szCs w:val="24"/>
          <w:lang w:val="es-VE"/>
        </w:rPr>
        <w:t xml:space="preserve"> Se evidenció la pérdida abundante de las </w:t>
      </w:r>
      <w:r w:rsidR="00D77231" w:rsidRPr="00D7766C">
        <w:rPr>
          <w:rFonts w:ascii="Verdana" w:hAnsi="Verdana"/>
          <w:b w:val="0"/>
          <w:sz w:val="22"/>
          <w:szCs w:val="24"/>
          <w:lang w:val="es-VE"/>
        </w:rPr>
        <w:lastRenderedPageBreak/>
        <w:t xml:space="preserve">células epiteliales alveolares lo que sugiere que la respuesta regenerativa de las células epiteliales no logra restaurar el epitelio alveolar dañado. </w:t>
      </w:r>
      <w:r w:rsidR="00D7766C" w:rsidRPr="00D7766C">
        <w:rPr>
          <w:rFonts w:ascii="Verdana" w:hAnsi="Verdana"/>
          <w:b w:val="0"/>
          <w:sz w:val="22"/>
          <w:szCs w:val="24"/>
          <w:lang w:val="es-VE"/>
        </w:rPr>
        <w:t>S</w:t>
      </w:r>
      <w:r w:rsidR="00D77231" w:rsidRPr="00D7766C">
        <w:rPr>
          <w:rFonts w:ascii="Verdana" w:hAnsi="Verdana"/>
          <w:b w:val="0"/>
          <w:sz w:val="22"/>
          <w:szCs w:val="24"/>
          <w:lang w:val="es-VE"/>
        </w:rPr>
        <w:t>e detectó la presencia de la nucleocápside del SARSCoV-2 co-localizada con las moléculas c</w:t>
      </w:r>
      <w:r w:rsidR="00A6240F" w:rsidRPr="00D7766C">
        <w:rPr>
          <w:rFonts w:ascii="Verdana" w:hAnsi="Verdana"/>
          <w:b w:val="0"/>
          <w:sz w:val="22"/>
          <w:szCs w:val="24"/>
          <w:lang w:val="es-VE"/>
        </w:rPr>
        <w:t>laves tales como: Fibronectina</w:t>
      </w:r>
      <w:r w:rsidR="00D77231" w:rsidRPr="00D7766C">
        <w:rPr>
          <w:rFonts w:ascii="Verdana" w:hAnsi="Verdana"/>
          <w:b w:val="0"/>
          <w:sz w:val="22"/>
          <w:szCs w:val="24"/>
          <w:lang w:val="es-VE"/>
        </w:rPr>
        <w:t>, PPARγ conjuntamente con el Inflamasoma NLRP3 en tejidos corticales cerebrales.</w:t>
      </w:r>
    </w:p>
    <w:p w:rsidR="00D77231" w:rsidRPr="00D77231" w:rsidRDefault="00D77231" w:rsidP="00D7766C">
      <w:pPr>
        <w:pStyle w:val="abstract"/>
        <w:spacing w:line="360" w:lineRule="auto"/>
        <w:rPr>
          <w:b w:val="0"/>
          <w:sz w:val="24"/>
          <w:szCs w:val="24"/>
          <w:lang w:val="es-VE"/>
        </w:rPr>
      </w:pPr>
      <w:r w:rsidRPr="00D7766C">
        <w:rPr>
          <w:rFonts w:ascii="Verdana" w:hAnsi="Verdana"/>
          <w:b w:val="0"/>
          <w:sz w:val="22"/>
          <w:szCs w:val="24"/>
          <w:lang w:val="es-VE"/>
        </w:rPr>
        <w:t>Conclusiones: Se identificó por primera vez; novedosos procesos celulares y fisiopatológicos involucrados en la infección del virus SARSCoV-2 y potenciales dianas terapéuticas que revelan fármacos prometedores para combatir la COVID-19 y sus secuelas.</w:t>
      </w:r>
    </w:p>
    <w:p w:rsidR="00D7766C" w:rsidRPr="00D7766C" w:rsidRDefault="00D7766C" w:rsidP="00D7766C">
      <w:pPr>
        <w:rPr>
          <w:lang w:val="es-VE"/>
        </w:rPr>
      </w:pPr>
    </w:p>
    <w:p w:rsidR="00D7766C" w:rsidRDefault="00D7766C" w:rsidP="00D7766C">
      <w:pPr>
        <w:pStyle w:val="keywords"/>
        <w:rPr>
          <w:b w:val="0"/>
          <w:sz w:val="24"/>
          <w:szCs w:val="24"/>
          <w:lang w:val="es-VE"/>
        </w:rPr>
        <w:sectPr w:rsidR="00D7766C" w:rsidSect="00D7766C">
          <w:headerReference w:type="default" r:id="rId9"/>
          <w:footerReference w:type="default" r:id="rId10"/>
          <w:pgSz w:w="11907" w:h="15819" w:code="218"/>
          <w:pgMar w:top="1417" w:right="794" w:bottom="2268" w:left="1077" w:header="850" w:footer="850" w:gutter="0"/>
          <w:cols w:space="708"/>
          <w:docGrid w:linePitch="360"/>
        </w:sectPr>
      </w:pPr>
    </w:p>
    <w:p w:rsidR="000350F0" w:rsidRPr="00A552CE" w:rsidRDefault="00D7766C" w:rsidP="00A552CE">
      <w:pPr>
        <w:pStyle w:val="heading1"/>
        <w:spacing w:line="360" w:lineRule="auto"/>
        <w:rPr>
          <w:rStyle w:val="AbsatzNormal"/>
          <w:rFonts w:ascii="Verdana" w:hAnsi="Verdana"/>
          <w:sz w:val="22"/>
          <w:szCs w:val="22"/>
        </w:rPr>
      </w:pPr>
      <w:r w:rsidRPr="00A552CE">
        <w:rPr>
          <w:rStyle w:val="AbsatzNormal"/>
          <w:rFonts w:ascii="Verdana" w:hAnsi="Verdana"/>
          <w:sz w:val="22"/>
          <w:szCs w:val="22"/>
        </w:rPr>
        <w:lastRenderedPageBreak/>
        <w:t>Introducción</w:t>
      </w:r>
      <w:r w:rsidR="000350F0" w:rsidRPr="00A552CE">
        <w:rPr>
          <w:rStyle w:val="AbsatzNormal"/>
          <w:rFonts w:ascii="Verdana" w:hAnsi="Verdana"/>
          <w:sz w:val="22"/>
          <w:szCs w:val="22"/>
        </w:rPr>
        <w:t xml:space="preserve"> </w:t>
      </w:r>
    </w:p>
    <w:p w:rsidR="000350F0" w:rsidRPr="00A552CE" w:rsidRDefault="006649B9" w:rsidP="00A552CE">
      <w:pPr>
        <w:spacing w:line="360" w:lineRule="auto"/>
        <w:rPr>
          <w:rFonts w:ascii="Verdana" w:hAnsi="Verdana"/>
          <w:sz w:val="22"/>
          <w:szCs w:val="22"/>
          <w:lang w:val="es-ES"/>
        </w:rPr>
      </w:pPr>
      <w:r w:rsidRPr="00A552CE">
        <w:rPr>
          <w:rFonts w:ascii="Verdana" w:hAnsi="Verdana"/>
          <w:sz w:val="22"/>
          <w:szCs w:val="22"/>
          <w:lang w:val="es-ES"/>
        </w:rPr>
        <w:t>El SARSCoV-2 es un virus de ARN monocatenario de sentido positivo con envoltura, de aproximadamente 30 kb</w:t>
      </w:r>
      <w:r w:rsidR="00EC29ED" w:rsidRPr="00A552CE">
        <w:rPr>
          <w:rFonts w:ascii="Verdana" w:hAnsi="Verdana"/>
          <w:sz w:val="22"/>
          <w:szCs w:val="22"/>
          <w:lang w:val="es-ES"/>
        </w:rPr>
        <w:fldChar w:fldCharType="begin" w:fldLock="1"/>
      </w:r>
      <w:r w:rsidR="00EC29ED" w:rsidRPr="00A552CE">
        <w:rPr>
          <w:rFonts w:ascii="Verdana" w:hAnsi="Verdana"/>
          <w:sz w:val="22"/>
          <w:szCs w:val="22"/>
          <w:lang w:val="es-ES"/>
        </w:rPr>
        <w:instrText>ADDIN CSL_CITATION {"citationItems":[{"id":"ITEM-1","itemData":{"DOI":"10.1080/22221751.2020.1852059","ISSN":"22221751","PMID":"33241728","abstract":"The ongoing COVID-19 pandemic is causing huge impact on health, life, and global economy, which is characterized by rapid spreading of SARS-CoV-2, high number of confirmed cases and a fatality/case rate worldwide reported by WHO. The most effective intervention measure will be to develop safe and effective vaccines to protect the population from the disease and limit the spread of the virus. An inactivated, whole virus vaccine candidate of SARS-CoV-2 has been developed by Wuhan Institute of Biological Products and Wuhan Institute of Virology. The low toxicity, immunogenicity, and immune persistence were investigated in preclinical studies using seven different species of animals. The results showed that the vaccine candidate was well tolerated and stimulated high levels of specific IgG and neutralizing antibodies. Low or no toxicity in three species of animals was also demonstrated in preclinical study of the vaccine candidate. Biochemical analysis of structural proteins and purity analysis were performed. The inactivated, whole virion vaccine was characterized with safe double-inactivation, no use of DNases and high purity. Dosages, boosting times, adjuvants, and immunization schedules were shown to be important for stimulating a strong humoral immune response in animals tested. Preliminary observation in ongoing phase I and II clinical trials of the vaccine candidate in Wuzhi County, Henan Province, showed that the vaccine is well tolerant. The results were characterized by very low proportion and low degree of side effects, high levels of neutralizing antibodies, and seroconversion. These results consistent with the results obtained from preclinical data on the safety.","author":[{"dropping-particle":"","family":"Wang","given":"Ze Jun","non-dropping-particle":"","parse-names":false,"suffix":""},{"dropping-particle":"","family":"Zhang","given":"Hua Jun","non-dropping-particle":"","parse-names":false,"suffix":""},{"dropping-particle":"","family":"Lu","given":"Jia","non-dropping-particle":"","parse-names":false,"suffix":""},{"dropping-particle":"","family":"Xu","given":"Kang Wei","non-dropping-particle":"","parse-names":false,"suffix":""},{"dropping-particle":"","family":"Peng","given":"Cheng","non-dropping-particle":"","parse-names":false,"suffix":""},{"dropping-particle":"","family":"Guo","given":"Jing","non-dropping-particle":"","parse-names":false,"suffix":""},{"dropping-particle":"","family":"Gao","given":"Xiao Xiao","non-dropping-particle":"","parse-names":false,"suffix":""},{"dropping-particle":"","family":"Wan","given":"Xin","non-dropping-particle":"","parse-names":false,"suffix":""},{"dropping-particle":"","family":"Wang","given":"Wen Hui","non-dropping-particle":"","parse-names":false,"suffix":""},{"dropping-particle":"","family":"Shan","given":"Chao","non-dropping-particle":"","parse-names":false,"suffix":""},{"dropping-particle":"","family":"Zhang","given":"Su Cai","non-dropping-particle":"","parse-names":false,"suffix":""},{"dropping-particle":"","family":"Wu","given":"Jie","non-dropping-particle":"","parse-names":false,"suffix":""},{"dropping-particle":"","family":"Yang","given":"An Na","non-dropping-particle":"","parse-names":false,"suffix":""},{"dropping-particle":"","family":"Zhu","given":"Yan","non-dropping-particle":"","parse-names":false,"suffix":""},{"dropping-particle":"","family":"Xiao","given":"Ao","non-dropping-particle":"","parse-names":false,"suffix":""},{"dropping-particle":"","family":"Zhang","given":"Lei","non-dropping-particle":"","parse-names":false,"suffix":""},{"dropping-particle":"","family":"Fu","given":"Lie","non-dropping-particle":"","parse-names":false,"suffix":""},{"dropping-particle":"","family":"Si","given":"Hao Rui","non-dropping-particle":"","parse-names":false,"suffix":""},{"dropping-particle":"","family":"Cai","given":"Qian","non-dropping-particle":"","parse-names":false,"suffix":""},{"dropping-particle":"Lou","family":"Yang","given":"Xing","non-dropping-particle":"","parse-names":false,"suffix":""},{"dropping-particle":"","family":"You","given":"Lei","non-dropping-particle":"","parse-names":false,"suffix":""},{"dropping-particle":"","family":"Zhou","given":"Yan Ping","non-dropping-particle":"","parse-names":false,"suffix":""},{"dropping-particle":"","family":"Liu","given":"Jing","non-dropping-particle":"","parse-names":false,"suffix":""},{"dropping-particle":"","family":"Pang","given":"De Qing","non-dropping-particle":"","parse-names":false,"suffix":""},{"dropping-particle":"","family":"Jin","given":"Wei Ping","non-dropping-particle":"","parse-names":false,"suffix":""},{"dropping-particle":"","family":"Zhang","given":"Xiao Yu","non-dropping-particle":"","parse-names":false,"suffix":""},{"dropping-particle":"","family":"Meng","given":"Sheng Li","non-dropping-particle":"","parse-names":false,"suffix":""},{"dropping-particle":"","family":"Sun","given":"Yun Xia","non-dropping-particle":"","parse-names":false,"suffix":""},{"dropping-particle":"","family":"Desselberger","given":"Ulrich","non-dropping-particle":"","parse-names":false,"suffix":""},{"dropping-particle":"","family":"Wang","given":"Jun Zhi","non-dropping-particle":"","parse-names":false,"suffix":""},{"dropping-particle":"","family":"Li","given":"Xin Guo","non-dropping-particle":"","parse-names":false,"suffix":""},{"dropping-particle":"","family":"Duan","given":"Kai","non-dropping-particle":"","parse-names":false,"suffix":""},{"dropping-particle":"","family":"Li","given":"Chang Gui","non-dropping-particle":"","parse-names":false,"suffix":""},{"dropping-particle":"","family":"Xu","given":"Miao","non-dropping-particle":"","parse-names":false,"suffix":""},{"dropping-particle":"","family":"Shi","given":"Zheng Li","non-dropping-particle":"","parse-names":false,"suffix":""},{"dropping-particle":"","family":"Yuan","given":"Zhi Ming","non-dropping-particle":"","parse-names":false,"suffix":""},{"dropping-particle":"","family":"Yang","given":"Xiao Ming","non-dropping-particle":"","parse-names":false,"suffix":""},{"dropping-particle":"","family":"Shen","given":"Shuo","non-dropping-particle":"","parse-names":false,"suffix":""}],"container-title":"Emerging Microbes and Infections","id":"ITEM-1","issue":"1","issued":{"date-parts":[["2020"]]},"page":"2606-2618","publisher":"Taylor &amp; Francis","title":"Low toxicity and high immunogenicity of an inactivated vaccine candidate against COVID-19 in different animal models","type":"article-journal","volume":"9"},"uris":["http://www.mendeley.com/documents/?uuid=c9ac1e03-659b-374f-8c11-f36c38d77856"]}],"mendeley":{"formattedCitation":"(1)","plainTextFormattedCitation":"(1)","previouslyFormattedCitation":"(1)"},"properties":{"noteIndex":0},"schema":"https://github.com/citation-style-language/schema/raw/master/csl-citation.json"}</w:instrText>
      </w:r>
      <w:r w:rsidR="00EC29ED" w:rsidRPr="00A552CE">
        <w:rPr>
          <w:rFonts w:ascii="Verdana" w:hAnsi="Verdana"/>
          <w:sz w:val="22"/>
          <w:szCs w:val="22"/>
          <w:lang w:val="es-ES"/>
        </w:rPr>
        <w:fldChar w:fldCharType="separate"/>
      </w:r>
      <w:r w:rsidR="00EC29ED" w:rsidRPr="00A552CE">
        <w:rPr>
          <w:rFonts w:ascii="Verdana" w:hAnsi="Verdana"/>
          <w:noProof/>
          <w:sz w:val="22"/>
          <w:szCs w:val="22"/>
          <w:lang w:val="es-ES"/>
        </w:rPr>
        <w:t>(1)</w:t>
      </w:r>
      <w:r w:rsidR="00EC29ED" w:rsidRPr="00A552CE">
        <w:rPr>
          <w:rFonts w:ascii="Verdana" w:hAnsi="Verdana"/>
          <w:sz w:val="22"/>
          <w:szCs w:val="22"/>
          <w:lang w:val="es-ES"/>
        </w:rPr>
        <w:fldChar w:fldCharType="end"/>
      </w:r>
      <w:r w:rsidR="00EC29ED" w:rsidRPr="00A552CE">
        <w:rPr>
          <w:rFonts w:ascii="Verdana" w:hAnsi="Verdana"/>
          <w:sz w:val="22"/>
          <w:szCs w:val="22"/>
          <w:lang w:val="es-ES"/>
        </w:rPr>
        <w:t xml:space="preserve">. </w:t>
      </w:r>
      <w:r w:rsidRPr="00A552CE">
        <w:rPr>
          <w:rFonts w:ascii="Verdana" w:hAnsi="Verdana"/>
          <w:sz w:val="22"/>
          <w:szCs w:val="22"/>
          <w:lang w:val="es-ES"/>
        </w:rPr>
        <w:t>La enzima convertidora de angiotensina 2 (ACE2) ha sido identificada como su principal receptor funcional</w:t>
      </w:r>
      <w:r w:rsidR="00EC29ED" w:rsidRPr="00A552CE">
        <w:rPr>
          <w:rFonts w:ascii="Verdana" w:hAnsi="Verdana"/>
          <w:sz w:val="22"/>
          <w:szCs w:val="22"/>
          <w:lang w:val="es-ES"/>
        </w:rPr>
        <w:fldChar w:fldCharType="begin" w:fldLock="1"/>
      </w:r>
      <w:r w:rsidR="00BA041C" w:rsidRPr="00A552CE">
        <w:rPr>
          <w:rFonts w:ascii="Verdana" w:hAnsi="Verdana"/>
          <w:sz w:val="22"/>
          <w:szCs w:val="22"/>
          <w:lang w:val="es-ES"/>
        </w:rPr>
        <w:instrText>ADDIN CSL_CITATION {"citationItems":[{"id":"ITEM-1","itemData":{"DOI":"10.1038/s41579-020-00468-6","ISSN":"1740-1526","PMID":"33116300","abstract":"The SARS-CoV-2 pandemic and its unprecedented global societal and economic disruptive impact has marked the third zoonotic introduction of a highly pathogenic coronavirus into the human population. Although the previous coronavirus SARS-CoV and MERS-CoV epidemics raised awareness of the need for clinically available therapeutic or preventive interventions, to date, no treatments with proven efficacy are available. The development of effective intervention strategies relies on the knowledge of molecular and cellular mechanisms of coronavirus infections, which highlights the significance of studying virus–host interactions at the molecular level to identify targets for antiviral intervention and to elucidate critical viral and host determinants that are decisive for the development of severe disease. In this Review, we summarize the first discoveries that shape our current understanding of SARS-CoV-2 infection throughout the intracellular viral life cycle and relate that to our knowledge of coronavirus biology. The elucidation of similarities and differences between SARS-CoV-2 and other coronaviruses will support future preparedness and strategies to combat coronavirus infections.","author":[{"dropping-particle":"","family":"V’kovski","given":"Philip","non-dropping-particle":"","parse-names":false,"suffix":""},{"dropping-particle":"","family":"Kratzel","given":"Annika","non-dropping-particle":"","parse-names":false,"suffix":""},{"dropping-particle":"","family":"Steiner","given":"Silvio","non-dropping-particle":"","parse-names":false,"suffix":""},{"dropping-particle":"","family":"Stalder","given":"Hanspeter","non-dropping-particle":"","parse-names":false,"suffix":""},{"dropping-particle":"","family":"Thiel","given":"Volker","non-dropping-particle":"","parse-names":false,"suffix":""}],"container-title":"Nature Reviews Microbiology","id":"ITEM-1","issue":"3","issued":{"date-parts":[["2021","3","28"]]},"page":"155-170","publisher":"Nature Publishing Group","title":"Coronavirus biology and replication: implications for SARS-CoV-2","type":"article-journal","volume":"19"},"uris":["http://www.mendeley.com/documents/?uuid=6a08ea0f-74d2-3811-9106-bcdeafa609a3"]}],"mendeley":{"formattedCitation":"(2)","plainTextFormattedCitation":"(2)","previouslyFormattedCitation":"(2)"},"properties":{"noteIndex":0},"schema":"https://github.com/citation-style-language/schema/raw/master/csl-citation.json"}</w:instrText>
      </w:r>
      <w:r w:rsidR="00EC29ED" w:rsidRPr="00A552CE">
        <w:rPr>
          <w:rFonts w:ascii="Verdana" w:hAnsi="Verdana"/>
          <w:sz w:val="22"/>
          <w:szCs w:val="22"/>
          <w:lang w:val="es-ES"/>
        </w:rPr>
        <w:fldChar w:fldCharType="separate"/>
      </w:r>
      <w:r w:rsidR="00EC29ED" w:rsidRPr="00A552CE">
        <w:rPr>
          <w:rFonts w:ascii="Verdana" w:hAnsi="Verdana"/>
          <w:noProof/>
          <w:sz w:val="22"/>
          <w:szCs w:val="22"/>
          <w:lang w:val="es-ES"/>
        </w:rPr>
        <w:t>(2)</w:t>
      </w:r>
      <w:r w:rsidR="00EC29ED" w:rsidRPr="00A552CE">
        <w:rPr>
          <w:rFonts w:ascii="Verdana" w:hAnsi="Verdana"/>
          <w:sz w:val="22"/>
          <w:szCs w:val="22"/>
          <w:lang w:val="es-ES"/>
        </w:rPr>
        <w:fldChar w:fldCharType="end"/>
      </w:r>
      <w:r w:rsidRPr="00A552CE">
        <w:rPr>
          <w:rFonts w:ascii="Verdana" w:hAnsi="Verdana"/>
          <w:sz w:val="22"/>
          <w:szCs w:val="22"/>
          <w:lang w:val="es-ES"/>
        </w:rPr>
        <w:t>.</w:t>
      </w:r>
    </w:p>
    <w:p w:rsidR="006649B9" w:rsidRPr="00A552CE" w:rsidRDefault="006649B9" w:rsidP="00A552CE">
      <w:pPr>
        <w:spacing w:line="360" w:lineRule="auto"/>
        <w:rPr>
          <w:rStyle w:val="initial12"/>
          <w:rFonts w:ascii="Verdana" w:hAnsi="Verdana"/>
          <w:sz w:val="22"/>
          <w:szCs w:val="22"/>
          <w:lang w:val="es-ES"/>
        </w:rPr>
      </w:pPr>
      <w:r w:rsidRPr="00A552CE">
        <w:rPr>
          <w:rStyle w:val="initial12"/>
          <w:rFonts w:ascii="Verdana" w:hAnsi="Verdana"/>
          <w:sz w:val="22"/>
          <w:szCs w:val="22"/>
          <w:lang w:val="es-ES"/>
        </w:rPr>
        <w:t>Las imágenes de Microscopia del SARSCoV-2 proporcionan datos fundamentales de los aspectos estructurales del virus y deben ser un punto de guía en los desarrollos terapéuticos como medicamentos antivirales avanzados y terapias con anticuerpos monoclonales.</w:t>
      </w:r>
    </w:p>
    <w:p w:rsidR="006649B9" w:rsidRPr="00A552CE" w:rsidRDefault="006649B9" w:rsidP="00A552CE">
      <w:pPr>
        <w:spacing w:line="360" w:lineRule="auto"/>
        <w:rPr>
          <w:rStyle w:val="initial12"/>
          <w:rFonts w:ascii="Verdana" w:hAnsi="Verdana"/>
          <w:sz w:val="22"/>
          <w:szCs w:val="22"/>
          <w:lang w:val="es-ES"/>
        </w:rPr>
      </w:pPr>
      <w:r w:rsidRPr="00A552CE">
        <w:rPr>
          <w:rStyle w:val="initial12"/>
          <w:rFonts w:ascii="Verdana" w:hAnsi="Verdana"/>
          <w:sz w:val="22"/>
          <w:szCs w:val="22"/>
          <w:lang w:val="es-ES"/>
        </w:rPr>
        <w:t>La detección del SARSCoV-2 en diferentes órganos y diversas manifestaciones del COVID-19, como complicaciones del Sistema Nervioso Central y cardiovascular, lesión renal y síntomas del tracto gastrointestinal, sugieren que los sitios de infección extrapulmonares contribuyen a la patogénesis de la enfermedad</w:t>
      </w:r>
      <w:r w:rsidR="00BA041C" w:rsidRPr="00A552CE">
        <w:rPr>
          <w:rStyle w:val="initial12"/>
          <w:rFonts w:ascii="Verdana" w:hAnsi="Verdana"/>
          <w:sz w:val="22"/>
          <w:szCs w:val="22"/>
          <w:lang w:val="es-ES"/>
        </w:rPr>
        <w:fldChar w:fldCharType="begin" w:fldLock="1"/>
      </w:r>
      <w:r w:rsidR="00BA041C" w:rsidRPr="00A552CE">
        <w:rPr>
          <w:rStyle w:val="initial12"/>
          <w:rFonts w:ascii="Verdana" w:hAnsi="Verdana"/>
          <w:sz w:val="22"/>
          <w:szCs w:val="22"/>
          <w:lang w:val="es-ES"/>
        </w:rPr>
        <w:instrText>ADDIN CSL_CITATION {"citationItems":[{"id":"ITEM-1","itemData":{"DOI":"10.1016/S0140-6736(20)31305-2","ISSN":"1474547X","PMID":"32682491","abstract":"Background: Severe acute respiratory syndrome coronavirus 2 (SARS-CoV-2) is the cause of an ongoing pandemic, with increasing deaths worldwide. To date, documentation of the histopathological features in fatal cases of the disease caused by SARS-CoV-2 (COVID-19) has been scarce due to sparse autopsy performance and incomplete organ sampling. We aimed to provide a clinicopathological report of severe COVID-19 cases by documenting histopathological changes and evidence of SARS-CoV-2 tissue tropism. Methods: In this case series, patients with a positive antemortem or post-mortem SARS-CoV-2 result were considered eligible for enrolment. Post-mortem examinations were done on 14 people who died with COVID-19 at the King County Medical Examiner's Office (Seattle, WA, USA) and Snohomish County Medical Examiner's Office (Everett, WA, USA) in negative-pressure isolation suites during February and March, 2020. Clinical and laboratory data were reviewed. Tissue examination was done by light microscopy, immunohistochemistry, electron microscopy, and quantitative RT-PCR. Findings: The median age of our cohort was 73·5 years (range 42–84; IQR 67·5–77·25). All patients had clinically significant comorbidities, the most common being hypertension, chronic kidney disease, obstructive sleep apnoea, and metabolic disease including diabetes and obesity. The major pulmonary finding was diffuse alveolar damage in the acute or organising phases, with five patients showing focal pulmonary microthrombi. Coronavirus-like particles were detected in the respiratory system, kidney, and gastrointestinal tract. Lymphocytic myocarditis was observed in one patient with viral RNA detected in the tissue. Interpretation: The primary pathology observed in our cohort was diffuse alveolar damage, with virus located in the pneumocytes and tracheal epithelium. Microthrombi, where observed, were scarce and endotheliitis was not identified. Although other non-pulmonary organs showed susceptibility to infection, their contribution to the pathogenesis of SARS-CoV-2 infection requires further examination. Funding: None.","author":[{"dropping-particle":"","family":"Bradley","given":"Benjamin T.","non-dropping-particle":"","parse-names":false,"suffix":""},{"dropping-particle":"","family":"Maioli","given":"Heather","non-dropping-particle":"","parse-names":false,"suffix":""},{"dropping-particle":"","family":"Johnston","given":"Robert","non-dropping-particle":"","parse-names":false,"suffix":""},{"dropping-particle":"","family":"Chaudhry","given":"Irfan","non-dropping-particle":"","parse-names":false,"suffix":""},{"dropping-particle":"","family":"Fink","given":"Susan L.","non-dropping-particle":"","parse-names":false,"suffix":""},{"dropping-particle":"","family":"Xu","given":"Haodong","non-dropping-particle":"","parse-names":false,"suffix":""},{"dropping-particle":"","family":"Najafian","given":"Behzad","non-dropping-particle":"","parse-names":false,"suffix":""},{"dropping-particle":"","family":"Deutsch","given":"Gail","non-dropping-particle":"","parse-names":false,"suffix":""},{"dropping-particle":"","family":"Lacy","given":"J. Matthew","non-dropping-particle":"","parse-names":false,"suffix":""},{"dropping-particle":"","family":"Williams","given":"Timothy","non-dropping-particle":"","parse-names":false,"suffix":""},{"dropping-particle":"","family":"Yarid","given":"Nicole","non-dropping-particle":"","parse-names":false,"suffix":""},{"dropping-particle":"","family":"Marshall","given":"Desiree A.","non-dropping-particle":"","parse-names":false,"suffix":""}],"container-title":"The Lancet","id":"ITEM-1","issue":"10247","issued":{"date-parts":[["2020","8","1"]]},"page":"320-332","publisher":"Lancet","title":"Histopathology and ultrastructural findings of fatal COVID-19 infections in Washington State: a case series","type":"article-journal","volume":"396"},"uris":["http://www.mendeley.com/documents/?uuid=855394e8-82e8-3cbd-a691-59372b7da242"]}],"mendeley":{"formattedCitation":"(3)","plainTextFormattedCitation":"(3)","previouslyFormattedCitation":"(3)"},"properties":{"noteIndex":0},"schema":"https://github.com/citation-style-language/schema/raw/master/csl-citation.json"}</w:instrText>
      </w:r>
      <w:r w:rsidR="00BA041C" w:rsidRPr="00A552CE">
        <w:rPr>
          <w:rStyle w:val="initial12"/>
          <w:rFonts w:ascii="Verdana" w:hAnsi="Verdana"/>
          <w:sz w:val="22"/>
          <w:szCs w:val="22"/>
          <w:lang w:val="es-ES"/>
        </w:rPr>
        <w:fldChar w:fldCharType="separate"/>
      </w:r>
      <w:r w:rsidR="00BA041C" w:rsidRPr="00A552CE">
        <w:rPr>
          <w:rStyle w:val="initial12"/>
          <w:rFonts w:ascii="Verdana" w:hAnsi="Verdana"/>
          <w:noProof/>
          <w:sz w:val="22"/>
          <w:szCs w:val="22"/>
          <w:lang w:val="es-ES"/>
        </w:rPr>
        <w:t>(3)</w:t>
      </w:r>
      <w:r w:rsidR="00BA041C" w:rsidRPr="00A552CE">
        <w:rPr>
          <w:rStyle w:val="initial12"/>
          <w:rFonts w:ascii="Verdana" w:hAnsi="Verdana"/>
          <w:sz w:val="22"/>
          <w:szCs w:val="22"/>
          <w:lang w:val="es-ES"/>
        </w:rPr>
        <w:fldChar w:fldCharType="end"/>
      </w:r>
      <w:r w:rsidRPr="00A552CE">
        <w:rPr>
          <w:rStyle w:val="initial12"/>
          <w:rFonts w:ascii="Verdana" w:hAnsi="Verdana"/>
          <w:sz w:val="22"/>
          <w:szCs w:val="22"/>
          <w:lang w:val="es-ES"/>
        </w:rPr>
        <w:t xml:space="preserve">. El análisis post mortem y el posible impacto del SARSCoV-2 en diferentes órganos es valioso para comprender la propagación del virus y los mecanismos fisiopatológicos de la infección. Especialmente, la identificación del tropismo celular viral que puede ser crítico para la </w:t>
      </w:r>
      <w:r w:rsidR="00AF488B" w:rsidRPr="00A552CE">
        <w:rPr>
          <w:rStyle w:val="initial12"/>
          <w:rFonts w:ascii="Verdana" w:hAnsi="Verdana"/>
          <w:sz w:val="22"/>
          <w:szCs w:val="22"/>
          <w:lang w:val="es-ES"/>
        </w:rPr>
        <w:t>patología</w:t>
      </w:r>
      <w:r w:rsidRPr="00A552CE">
        <w:rPr>
          <w:rStyle w:val="initial12"/>
          <w:rFonts w:ascii="Verdana" w:hAnsi="Verdana"/>
          <w:sz w:val="22"/>
          <w:szCs w:val="22"/>
          <w:lang w:val="es-ES"/>
        </w:rPr>
        <w:t xml:space="preserve"> inducida por virus, siendo relevante para conocer los mecanismos de infección del SARSCoV-2 e identificar nuevas dianas terapéuticas.</w:t>
      </w:r>
    </w:p>
    <w:p w:rsidR="00A552CE" w:rsidRPr="00A552CE" w:rsidRDefault="00A552CE" w:rsidP="00A552CE">
      <w:pPr>
        <w:pStyle w:val="heading1"/>
        <w:spacing w:before="120" w:after="120" w:line="360" w:lineRule="auto"/>
        <w:rPr>
          <w:rStyle w:val="initial12"/>
          <w:rFonts w:ascii="Verdana" w:hAnsi="Verdana"/>
          <w:sz w:val="22"/>
          <w:szCs w:val="22"/>
        </w:rPr>
      </w:pPr>
      <w:r w:rsidRPr="00A552CE">
        <w:rPr>
          <w:rStyle w:val="initial12"/>
          <w:rFonts w:ascii="Verdana" w:hAnsi="Verdana"/>
          <w:sz w:val="22"/>
          <w:szCs w:val="22"/>
          <w:lang w:val="es-VE"/>
        </w:rPr>
        <w:t>Objetivos</w:t>
      </w:r>
    </w:p>
    <w:p w:rsidR="00A552CE" w:rsidRPr="00A552CE" w:rsidRDefault="00A552CE" w:rsidP="00A552CE">
      <w:pPr>
        <w:spacing w:line="360" w:lineRule="auto"/>
        <w:rPr>
          <w:rStyle w:val="AbsatzNormal"/>
          <w:rFonts w:ascii="Verdana" w:hAnsi="Verdana"/>
          <w:sz w:val="22"/>
          <w:szCs w:val="22"/>
          <w:lang w:val="es-VE"/>
        </w:rPr>
      </w:pPr>
      <w:r w:rsidRPr="00A552CE">
        <w:rPr>
          <w:rStyle w:val="AbsatzNormal"/>
          <w:rFonts w:ascii="Verdana" w:hAnsi="Verdana"/>
          <w:sz w:val="22"/>
          <w:szCs w:val="22"/>
          <w:lang w:val="es-VE"/>
        </w:rPr>
        <w:t>1)</w:t>
      </w:r>
      <w:r w:rsidRPr="00A552CE">
        <w:rPr>
          <w:rStyle w:val="AbsatzNormal"/>
          <w:rFonts w:ascii="Verdana" w:hAnsi="Verdana"/>
          <w:sz w:val="22"/>
          <w:szCs w:val="22"/>
          <w:lang w:val="es-VE"/>
        </w:rPr>
        <w:tab/>
        <w:t xml:space="preserve">Fisiopatología, tropismo, dianas moleculares y terapéuticas </w:t>
      </w:r>
    </w:p>
    <w:p w:rsidR="00A552CE" w:rsidRPr="00A552CE" w:rsidRDefault="00A552CE" w:rsidP="00A552CE">
      <w:pPr>
        <w:spacing w:line="360" w:lineRule="auto"/>
        <w:rPr>
          <w:rStyle w:val="AbsatzNormal"/>
          <w:rFonts w:ascii="Verdana" w:hAnsi="Verdana"/>
          <w:sz w:val="22"/>
          <w:szCs w:val="22"/>
          <w:lang w:val="es-VE"/>
        </w:rPr>
      </w:pPr>
      <w:r w:rsidRPr="00A552CE">
        <w:rPr>
          <w:rStyle w:val="AbsatzNormal"/>
          <w:rFonts w:ascii="Verdana" w:hAnsi="Verdana"/>
          <w:sz w:val="22"/>
          <w:szCs w:val="22"/>
          <w:lang w:val="es-VE"/>
        </w:rPr>
        <w:t>(a)</w:t>
      </w:r>
      <w:r w:rsidRPr="00A552CE">
        <w:rPr>
          <w:rStyle w:val="AbsatzNormal"/>
          <w:rFonts w:ascii="Verdana" w:hAnsi="Verdana"/>
          <w:sz w:val="22"/>
          <w:szCs w:val="22"/>
          <w:lang w:val="es-VE"/>
        </w:rPr>
        <w:tab/>
        <w:t>Pulmón</w:t>
      </w:r>
    </w:p>
    <w:p w:rsidR="00A552CE" w:rsidRPr="00A552CE" w:rsidRDefault="00A552CE" w:rsidP="00A552CE">
      <w:pPr>
        <w:spacing w:line="360" w:lineRule="auto"/>
        <w:rPr>
          <w:rStyle w:val="AbsatzNormal"/>
          <w:rFonts w:ascii="Verdana" w:hAnsi="Verdana"/>
          <w:sz w:val="22"/>
          <w:szCs w:val="22"/>
          <w:lang w:val="es-VE"/>
        </w:rPr>
      </w:pPr>
      <w:r w:rsidRPr="00A552CE">
        <w:rPr>
          <w:rStyle w:val="AbsatzNormal"/>
          <w:rFonts w:ascii="Verdana" w:hAnsi="Verdana"/>
          <w:sz w:val="22"/>
          <w:szCs w:val="22"/>
          <w:lang w:val="es-VE"/>
        </w:rPr>
        <w:t>(b)</w:t>
      </w:r>
      <w:r w:rsidRPr="00A552CE">
        <w:rPr>
          <w:rStyle w:val="AbsatzNormal"/>
          <w:rFonts w:ascii="Verdana" w:hAnsi="Verdana"/>
          <w:sz w:val="22"/>
          <w:szCs w:val="22"/>
          <w:lang w:val="es-VE"/>
        </w:rPr>
        <w:tab/>
        <w:t>Cerebro</w:t>
      </w:r>
    </w:p>
    <w:p w:rsidR="00A552CE" w:rsidRPr="00A552CE" w:rsidRDefault="00A552CE" w:rsidP="00A552CE">
      <w:pPr>
        <w:spacing w:line="360" w:lineRule="auto"/>
        <w:rPr>
          <w:rStyle w:val="AbsatzNormal"/>
          <w:rFonts w:ascii="Verdana" w:hAnsi="Verdana"/>
          <w:sz w:val="22"/>
          <w:szCs w:val="22"/>
          <w:lang w:val="es-VE"/>
        </w:rPr>
      </w:pPr>
      <w:r w:rsidRPr="00A552CE">
        <w:rPr>
          <w:rStyle w:val="AbsatzNormal"/>
          <w:rFonts w:ascii="Verdana" w:hAnsi="Verdana"/>
          <w:sz w:val="22"/>
          <w:szCs w:val="22"/>
          <w:lang w:val="es-VE"/>
        </w:rPr>
        <w:t>1.1</w:t>
      </w:r>
      <w:r w:rsidRPr="00A552CE">
        <w:rPr>
          <w:rStyle w:val="AbsatzNormal"/>
          <w:rFonts w:ascii="Verdana" w:hAnsi="Verdana"/>
          <w:sz w:val="22"/>
          <w:szCs w:val="22"/>
          <w:lang w:val="es-VE"/>
        </w:rPr>
        <w:tab/>
        <w:t>Potenciales Dianas Terapéuticas</w:t>
      </w:r>
    </w:p>
    <w:p w:rsidR="00A552CE" w:rsidRPr="00A552CE" w:rsidRDefault="00A552CE" w:rsidP="00A552CE">
      <w:pPr>
        <w:spacing w:line="360" w:lineRule="auto"/>
        <w:rPr>
          <w:rFonts w:ascii="Verdana" w:hAnsi="Verdana"/>
          <w:sz w:val="22"/>
          <w:szCs w:val="22"/>
          <w:lang w:val="es-VE"/>
        </w:rPr>
      </w:pPr>
      <w:r w:rsidRPr="00A552CE">
        <w:rPr>
          <w:rStyle w:val="AbsatzNormal"/>
          <w:rFonts w:ascii="Verdana" w:hAnsi="Verdana"/>
          <w:sz w:val="22"/>
          <w:szCs w:val="22"/>
          <w:lang w:val="es-VE"/>
        </w:rPr>
        <w:t>1.2</w:t>
      </w:r>
      <w:r w:rsidRPr="00A552CE">
        <w:rPr>
          <w:rStyle w:val="AbsatzNormal"/>
          <w:rFonts w:ascii="Verdana" w:hAnsi="Verdana"/>
          <w:sz w:val="22"/>
          <w:szCs w:val="22"/>
          <w:lang w:val="es-VE"/>
        </w:rPr>
        <w:tab/>
        <w:t>Fármacos prometedores para combatir el SARS CoV-2</w:t>
      </w:r>
    </w:p>
    <w:p w:rsidR="006649B9" w:rsidRPr="00A552CE" w:rsidRDefault="00A552CE" w:rsidP="00A552CE">
      <w:pPr>
        <w:pStyle w:val="heading1"/>
        <w:spacing w:line="360" w:lineRule="auto"/>
        <w:rPr>
          <w:rStyle w:val="AbsatzNormal"/>
          <w:rFonts w:ascii="Verdana" w:hAnsi="Verdana"/>
          <w:sz w:val="22"/>
          <w:szCs w:val="22"/>
        </w:rPr>
      </w:pPr>
      <w:r>
        <w:rPr>
          <w:rStyle w:val="AbsatzNormal"/>
          <w:rFonts w:ascii="Verdana" w:hAnsi="Verdana"/>
          <w:sz w:val="22"/>
          <w:szCs w:val="22"/>
        </w:rPr>
        <w:t xml:space="preserve">Materiales y </w:t>
      </w:r>
      <w:r w:rsidR="006649B9" w:rsidRPr="00A552CE">
        <w:rPr>
          <w:rStyle w:val="AbsatzNormal"/>
          <w:rFonts w:ascii="Verdana" w:hAnsi="Verdana"/>
          <w:sz w:val="22"/>
          <w:szCs w:val="22"/>
        </w:rPr>
        <w:t>Métodos</w:t>
      </w:r>
    </w:p>
    <w:p w:rsidR="006649B9" w:rsidRPr="00A552CE" w:rsidRDefault="006649B9" w:rsidP="00A552CE">
      <w:pPr>
        <w:spacing w:line="360" w:lineRule="auto"/>
        <w:rPr>
          <w:rStyle w:val="initial12"/>
          <w:rFonts w:ascii="Verdana" w:hAnsi="Verdana"/>
          <w:sz w:val="22"/>
          <w:szCs w:val="22"/>
          <w:lang w:val="es-ES"/>
        </w:rPr>
      </w:pPr>
      <w:r w:rsidRPr="00A552CE">
        <w:rPr>
          <w:rStyle w:val="initial12"/>
          <w:rFonts w:ascii="Verdana" w:hAnsi="Verdana"/>
          <w:sz w:val="22"/>
          <w:szCs w:val="22"/>
          <w:lang w:val="es-ES"/>
        </w:rPr>
        <w:t>Las muestras analizadas fueron de pacientes fallecidos diagnosticados positivos al COVID-19, según su análisis de PCR en Tiempo Real (Reverso-Transcripción- Reacción en Cadena de la Polimerasa), en el Hospital General Militar Dr. Luis Díaz Soto, La Habana. Se estudiaron cinco pacientes que fallecieron por COVID-19. Se obtuvieron muestras de órganos viscerales, incl</w:t>
      </w:r>
      <w:r w:rsidR="00AF488B" w:rsidRPr="00A552CE">
        <w:rPr>
          <w:rStyle w:val="initial12"/>
          <w:rFonts w:ascii="Verdana" w:hAnsi="Verdana"/>
          <w:sz w:val="22"/>
          <w:szCs w:val="22"/>
          <w:lang w:val="es-ES"/>
        </w:rPr>
        <w:t xml:space="preserve">uidos los pulmones </w:t>
      </w:r>
      <w:r w:rsidRPr="00A552CE">
        <w:rPr>
          <w:rStyle w:val="initial12"/>
          <w:rFonts w:ascii="Verdana" w:hAnsi="Verdana"/>
          <w:sz w:val="22"/>
          <w:szCs w:val="22"/>
          <w:lang w:val="es-ES"/>
        </w:rPr>
        <w:t xml:space="preserve">y cerebro dentro de las 3 horas posteriores a la muerte. Para preparar criocortes, los tejidos se fijaron con paraformaldehído durante 2 </w:t>
      </w:r>
      <w:r w:rsidRPr="00A552CE">
        <w:rPr>
          <w:rStyle w:val="initial12"/>
          <w:rFonts w:ascii="Verdana" w:hAnsi="Verdana"/>
          <w:sz w:val="22"/>
          <w:szCs w:val="22"/>
          <w:lang w:val="es-ES"/>
        </w:rPr>
        <w:lastRenderedPageBreak/>
        <w:t>horas. El SARSCoV-2 y las características patológicas se evaluaron mediante la Tinción de</w:t>
      </w:r>
      <w:r w:rsidR="00BA041C" w:rsidRPr="00A552CE">
        <w:rPr>
          <w:rStyle w:val="initial12"/>
          <w:rFonts w:ascii="Verdana" w:hAnsi="Verdana"/>
          <w:sz w:val="22"/>
          <w:szCs w:val="22"/>
          <w:lang w:val="es-ES"/>
        </w:rPr>
        <w:t xml:space="preserve"> Tricrómica de Masson (TTM)</w:t>
      </w:r>
      <w:r w:rsidR="00BA041C" w:rsidRPr="00A552CE">
        <w:rPr>
          <w:rStyle w:val="initial12"/>
          <w:rFonts w:ascii="Verdana" w:hAnsi="Verdana"/>
          <w:sz w:val="22"/>
          <w:szCs w:val="22"/>
          <w:lang w:val="es-ES"/>
        </w:rPr>
        <w:fldChar w:fldCharType="begin" w:fldLock="1"/>
      </w:r>
      <w:r w:rsidR="00BA041C" w:rsidRPr="00A552CE">
        <w:rPr>
          <w:rStyle w:val="initial12"/>
          <w:rFonts w:ascii="Verdana" w:hAnsi="Verdana"/>
          <w:sz w:val="22"/>
          <w:szCs w:val="22"/>
          <w:lang w:val="es-ES"/>
        </w:rPr>
        <w:instrText>ADDIN CSL_CITATION {"citationItems":[{"id":"ITEM-1","itemData":{"DOI":"10.1371/journal.pone.0090567","ISSN":"19326203","PMID":"24587397","abstract":"Respiratory syncytial viral (RSV) infections are a frequent cause of chronic obstructive pulmonary disease (COPD) exacerbations, which are a major factor in disease progression and mortality. RSV is able to evade antiviral defenses to persist in the lungs of COPD patients. Though RSV infection has been identified in COPD, its contribution to cigarette smoke-induced airway inflammation and lung tissue destruction has not been established. Here we examine the long-term effects of cigarette smoke exposure, in combination with monthly RSV infections, on pulmonary inflammation, protease production and remodeling in mice. RSV exposures enhanced the influx of macrophages, neutrophils and lymphocytes to the airways of cigarette smoke exposed C57BL/6J mice. This infiltration of cells was most pronounced around the vasculature and bronchial airways. By itself, RSV caused significant airspace enlargement and fibrosis in mice and these effects were accentuated with concomitant smoke exposure. Combined stimulation with both smoke and RSV synergistically induced cytokine (IL-1a, IL-17, IFN-c, KC, IL-13, CXCL9, RANTES, MIF and GM-CSF) and protease (MMP-2, -8, -12, -13, -16 and cathepsins E, S, W and Z) expression. In addition, RSV exposure caused marked apoptosis within the airways of infected mice, which was augmented by cigarette smoke exposure. RSV and smoke exposure also reduced protein phosphatase 2A (PP2A) and protein tyrosine phosphates (PTP1B) expression and activity. This is significant as these phosphatases counter smoke-induced inflammation and protease expression. Together, these findings show for the first time that recurrent RSV infection markedly enhances inflammation, apoptosis and tissue destruction in smoke-exposed mice. Indeed, these results indicate that preventing RSV transmission and infection has the potential to significantly impact on COPD severity and progression. © 2014 Foronjy et al.","author":[{"dropping-particle":"","family":"Foronjy","given":"Robert F.","non-dropping-particle":"","parse-names":false,"suffix":""},{"dropping-particle":"","family":"Dabo","given":"Abdoulaye J.","non-dropping-particle":"","parse-names":false,"suffix":""},{"dropping-particle":"","family":"Taggart","given":"Clifford C.","non-dropping-particle":"","parse-names":false,"suffix":""},{"dropping-particle":"","family":"Weldon","given":"Sinead","non-dropping-particle":"","parse-names":false,"suffix":""},{"dropping-particle":"","family":"Geraghty","given":"Patrick","non-dropping-particle":"","parse-names":false,"suffix":""}],"container-title":"PLoS ONE","id":"ITEM-1","issue":"2","issued":{"date-parts":[["2014","2","28"]]},"publisher":"Public Library of Science","title":"Respiratory syncytial virus infections enhance cigarette smoke induced COPD in mice","type":"article-journal","volume":"9"},"uris":["http://www.mendeley.com/documents/?uuid=2939782e-b757-34f0-9f24-1b98542637f1"]}],"mendeley":{"formattedCitation":"(4)","plainTextFormattedCitation":"(4)","previouslyFormattedCitation":"(4)"},"properties":{"noteIndex":0},"schema":"https://github.com/citation-style-language/schema/raw/master/csl-citation.json"}</w:instrText>
      </w:r>
      <w:r w:rsidR="00BA041C" w:rsidRPr="00A552CE">
        <w:rPr>
          <w:rStyle w:val="initial12"/>
          <w:rFonts w:ascii="Verdana" w:hAnsi="Verdana"/>
          <w:sz w:val="22"/>
          <w:szCs w:val="22"/>
          <w:lang w:val="es-ES"/>
        </w:rPr>
        <w:fldChar w:fldCharType="separate"/>
      </w:r>
      <w:r w:rsidR="00BA041C" w:rsidRPr="00A552CE">
        <w:rPr>
          <w:rStyle w:val="initial12"/>
          <w:rFonts w:ascii="Verdana" w:hAnsi="Verdana"/>
          <w:noProof/>
          <w:sz w:val="22"/>
          <w:szCs w:val="22"/>
          <w:lang w:val="es-ES"/>
        </w:rPr>
        <w:t>(4)</w:t>
      </w:r>
      <w:r w:rsidR="00BA041C" w:rsidRPr="00A552CE">
        <w:rPr>
          <w:rStyle w:val="initial12"/>
          <w:rFonts w:ascii="Verdana" w:hAnsi="Verdana"/>
          <w:sz w:val="22"/>
          <w:szCs w:val="22"/>
          <w:lang w:val="es-ES"/>
        </w:rPr>
        <w:fldChar w:fldCharType="end"/>
      </w:r>
      <w:r w:rsidR="00AF488B" w:rsidRPr="00A552CE">
        <w:rPr>
          <w:rStyle w:val="initial12"/>
          <w:rFonts w:ascii="Verdana" w:hAnsi="Verdana"/>
          <w:sz w:val="22"/>
          <w:szCs w:val="22"/>
          <w:lang w:val="es-ES"/>
        </w:rPr>
        <w:t xml:space="preserve"> </w:t>
      </w:r>
      <w:r w:rsidRPr="00A552CE">
        <w:rPr>
          <w:rStyle w:val="initial12"/>
          <w:rFonts w:ascii="Verdana" w:hAnsi="Verdana"/>
          <w:sz w:val="22"/>
          <w:szCs w:val="22"/>
          <w:lang w:val="es-ES"/>
        </w:rPr>
        <w:t>y la Micros</w:t>
      </w:r>
      <w:r w:rsidR="00AF488B" w:rsidRPr="00A552CE">
        <w:rPr>
          <w:rStyle w:val="initial12"/>
          <w:rFonts w:ascii="Verdana" w:hAnsi="Verdana"/>
          <w:sz w:val="22"/>
          <w:szCs w:val="22"/>
          <w:lang w:val="es-ES"/>
        </w:rPr>
        <w:t>copí</w:t>
      </w:r>
      <w:r w:rsidR="00BA041C" w:rsidRPr="00A552CE">
        <w:rPr>
          <w:rStyle w:val="initial12"/>
          <w:rFonts w:ascii="Verdana" w:hAnsi="Verdana"/>
          <w:sz w:val="22"/>
          <w:szCs w:val="22"/>
          <w:lang w:val="es-ES"/>
        </w:rPr>
        <w:t>a Confocal (MC)</w:t>
      </w:r>
      <w:r w:rsidR="00BA041C" w:rsidRPr="00A552CE">
        <w:rPr>
          <w:rStyle w:val="initial12"/>
          <w:rFonts w:ascii="Verdana" w:hAnsi="Verdana"/>
          <w:sz w:val="22"/>
          <w:szCs w:val="22"/>
          <w:lang w:val="es-ES"/>
        </w:rPr>
        <w:fldChar w:fldCharType="begin" w:fldLock="1"/>
      </w:r>
      <w:r w:rsidR="009264D8" w:rsidRPr="00A552CE">
        <w:rPr>
          <w:rStyle w:val="initial12"/>
          <w:rFonts w:ascii="Verdana" w:hAnsi="Verdana"/>
          <w:sz w:val="22"/>
          <w:szCs w:val="22"/>
          <w:lang w:val="es-ES"/>
        </w:rPr>
        <w:instrText>ADDIN CSL_CITATION {"citationItems":[{"id":"ITEM-1","itemData":{"DOI":"10.1016/S0006-291X(03)00884-2","ISSN":"0006291X","PMID":"12767942","abstract":"In this study, 13 samples of liver biopsies from patients with chronic hepatitis C were studied by transmission electron microscopy (EM) and immunoelectron microscopy (IEM). The 13 biopsies showed ultrastructural cell damage typical of acute viral hepatitis. In four of the 13 liver biopsies enveloped virus-like particles (VLPs) inside cytoplasmic vesicles and in the cytoplasm of hepatocytes were observed. We also detected the presence of unenveloped VLPs mainly in the cytoplasm and in the endoplasmic reticulum. IEM using anti-core, E1 and E2 monoclonal antibodies (mAbs) confirmed the specific localization of these proteins, in vivo, inside cytoplasm and endoplasmic reticulum. Thus, this work provided evidence for hepatocellular injury related to HCV infection. It also suggested the presence of HCV-related replicating structures in the cytoplasm of hepatocytes and raised the possibility of hepatitis C virion morphogenesis in intracellular vesicles. © 2003 Elsevier Science (USA). All rights reserved.","author":[{"dropping-particle":"","family":"Falcón","given":"Viviana","non-dropping-particle":"","parse-names":false,"suffix":""},{"dropping-particle":"","family":"Acosta-Rivero","given":"Nelson","non-dropping-particle":"","parse-names":false,"suffix":""},{"dropping-particle":"","family":"Chinea","given":"Glay","non-dropping-particle":"","parse-names":false,"suffix":""},{"dropping-particle":"","family":"Gavilondo","given":"Jorge","non-dropping-particle":"","parse-names":false,"suffix":""},{"dropping-particle":"","family":"la Rosa","given":"María C.","non-dropping-particle":"De","parse-names":false,"suffix":""},{"dropping-particle":"","family":"Menéndez","given":"Ivón","non-dropping-particle":"","parse-names":false,"suffix":""},{"dropping-particle":"","family":"Dueñas-Carrera","given":"Santiago","non-dropping-particle":"","parse-names":false,"suffix":""},{"dropping-particle":"","family":"Viña","given":"Ariel","non-dropping-particle":"","parse-names":false,"suffix":""},{"dropping-particle":"","family":"García","given":"Waldo","non-dropping-particle":"","parse-names":false,"suffix":""},{"dropping-particle":"","family":"Gra","given":"Bienvenido","non-dropping-particle":"","parse-names":false,"suffix":""},{"dropping-particle":"","family":"Noa","given":"Miriam","non-dropping-particle":"","parse-names":false,"suffix":""},{"dropping-particle":"","family":"Reytor","given":"Edel","non-dropping-particle":"","parse-names":false,"suffix":""},{"dropping-particle":"","family":"Barceló","given":"María Teresa","non-dropping-particle":"","parse-names":false,"suffix":""},{"dropping-particle":"","family":"Alvarez","given":"Felix","non-dropping-particle":"","parse-names":false,"suffix":""},{"dropping-particle":"","family":"Morales-Grillo","given":"Juan","non-dropping-particle":"","parse-names":false,"suffix":""}],"container-title":"Biochemical and Biophysical Research Communications","id":"ITEM-1","issue":"4","issued":{"date-parts":[["2003","6","13"]]},"page":"1085-1090","publisher":"Academic Press","title":"Ultrastructural evidences of HCV infection in hepatocytes of chronically HCV-infected patients","type":"article-journal","volume":"305"},"uris":["http://www.mendeley.com/documents/?uuid=c5f73fe3-441b-302b-8982-386e63f458b7"]}],"mendeley":{"formattedCitation":"(5)","plainTextFormattedCitation":"(5)","previouslyFormattedCitation":"(5)"},"properties":{"noteIndex":0},"schema":"https://github.com/citation-style-language/schema/raw/master/csl-citation.json"}</w:instrText>
      </w:r>
      <w:r w:rsidR="00BA041C" w:rsidRPr="00A552CE">
        <w:rPr>
          <w:rStyle w:val="initial12"/>
          <w:rFonts w:ascii="Verdana" w:hAnsi="Verdana"/>
          <w:sz w:val="22"/>
          <w:szCs w:val="22"/>
          <w:lang w:val="es-ES"/>
        </w:rPr>
        <w:fldChar w:fldCharType="separate"/>
      </w:r>
      <w:r w:rsidR="00BA041C" w:rsidRPr="00A552CE">
        <w:rPr>
          <w:rStyle w:val="initial12"/>
          <w:rFonts w:ascii="Verdana" w:hAnsi="Verdana"/>
          <w:noProof/>
          <w:sz w:val="22"/>
          <w:szCs w:val="22"/>
          <w:lang w:val="es-ES"/>
        </w:rPr>
        <w:t>(5)</w:t>
      </w:r>
      <w:r w:rsidR="00BA041C" w:rsidRPr="00A552CE">
        <w:rPr>
          <w:rStyle w:val="initial12"/>
          <w:rFonts w:ascii="Verdana" w:hAnsi="Verdana"/>
          <w:sz w:val="22"/>
          <w:szCs w:val="22"/>
          <w:lang w:val="es-ES"/>
        </w:rPr>
        <w:fldChar w:fldCharType="end"/>
      </w:r>
      <w:r w:rsidRPr="00A552CE">
        <w:rPr>
          <w:rStyle w:val="initial12"/>
          <w:rFonts w:ascii="Verdana" w:hAnsi="Verdana"/>
          <w:sz w:val="22"/>
          <w:szCs w:val="22"/>
          <w:lang w:val="es-ES"/>
        </w:rPr>
        <w:t>. Las muestras se analizaron utilizando el Microscopio de fluorescencia de barrido láser OLYMPUS FV1000 IX81 y el software de imágenes FlowView Viewer v3.1.</w:t>
      </w:r>
    </w:p>
    <w:p w:rsidR="00A81B3A" w:rsidRPr="00A552CE" w:rsidRDefault="00A81B3A" w:rsidP="00A552CE">
      <w:pPr>
        <w:pStyle w:val="heading1"/>
        <w:spacing w:line="360" w:lineRule="auto"/>
        <w:rPr>
          <w:rStyle w:val="AbsatzNormal"/>
          <w:rFonts w:ascii="Verdana" w:hAnsi="Verdana"/>
          <w:sz w:val="22"/>
          <w:szCs w:val="22"/>
        </w:rPr>
      </w:pPr>
      <w:r w:rsidRPr="00A552CE">
        <w:rPr>
          <w:rStyle w:val="AbsatzNormal"/>
          <w:rFonts w:ascii="Verdana" w:hAnsi="Verdana"/>
          <w:sz w:val="22"/>
          <w:szCs w:val="22"/>
        </w:rPr>
        <w:t>Resultados</w:t>
      </w:r>
      <w:r w:rsidR="00A552CE">
        <w:rPr>
          <w:rStyle w:val="AbsatzNormal"/>
          <w:rFonts w:ascii="Verdana" w:hAnsi="Verdana"/>
          <w:sz w:val="22"/>
          <w:szCs w:val="22"/>
        </w:rPr>
        <w:t xml:space="preserve"> y discusión</w:t>
      </w:r>
    </w:p>
    <w:p w:rsidR="00595B9A" w:rsidRPr="00A552CE" w:rsidRDefault="00AF488B" w:rsidP="00A552CE">
      <w:pPr>
        <w:pStyle w:val="Ttulo2"/>
        <w:spacing w:line="360" w:lineRule="auto"/>
        <w:ind w:left="426"/>
        <w:rPr>
          <w:rFonts w:ascii="Verdana" w:hAnsi="Verdana"/>
          <w:sz w:val="22"/>
          <w:szCs w:val="22"/>
        </w:rPr>
      </w:pPr>
      <w:r w:rsidRPr="00A552CE">
        <w:rPr>
          <w:rFonts w:ascii="Verdana" w:hAnsi="Verdana"/>
          <w:sz w:val="22"/>
          <w:szCs w:val="22"/>
        </w:rPr>
        <w:t>PULMÓN</w:t>
      </w:r>
    </w:p>
    <w:p w:rsidR="00595B9A" w:rsidRDefault="00595B9A" w:rsidP="00A552CE">
      <w:pPr>
        <w:spacing w:line="360" w:lineRule="auto"/>
        <w:rPr>
          <w:rFonts w:ascii="Verdana" w:hAnsi="Verdana" w:cs="Arial"/>
          <w:sz w:val="22"/>
          <w:szCs w:val="22"/>
          <w:lang w:val="es-ES"/>
        </w:rPr>
      </w:pPr>
      <w:r w:rsidRPr="00A552CE">
        <w:rPr>
          <w:rFonts w:ascii="Verdana" w:hAnsi="Verdana" w:cs="Arial"/>
          <w:sz w:val="22"/>
          <w:szCs w:val="22"/>
          <w:lang w:val="es-ES"/>
        </w:rPr>
        <w:t xml:space="preserve">Tanto las evidencias clínicas como patológicas indican el desarrollo </w:t>
      </w:r>
      <w:r w:rsidRPr="00A552CE">
        <w:rPr>
          <w:rFonts w:ascii="Verdana" w:hAnsi="Verdana" w:cs="Arial"/>
          <w:color w:val="000000"/>
          <w:sz w:val="22"/>
          <w:szCs w:val="22"/>
          <w:lang w:val="es-ES"/>
        </w:rPr>
        <w:t>del</w:t>
      </w:r>
      <w:r w:rsidRPr="00A552CE">
        <w:rPr>
          <w:rFonts w:ascii="Verdana" w:hAnsi="Verdana" w:cs="Arial"/>
          <w:sz w:val="22"/>
          <w:szCs w:val="22"/>
          <w:lang w:val="es-ES"/>
        </w:rPr>
        <w:t xml:space="preserve"> Síndrome de Dificultad Respiratorio Agudo (SDRA) en todos los pacientes estudiados. Los resultados reflejan en la Figura 1 que el tejido pulmonar mostró evidencias de un patrón distintivo de Daño Alveolar Difuso (DAD) con fases avanzadas predominantes (fases fibroproliferativas y fibróticas). El DAD es el sello patológico del SDRA. La lesión pulmonar directa mediada por el SARSCoV-2 se ha demostrado que es relevante en las primeras etapas de la infección, mientras que las etapas posteriores del desarrollo del DAD se han asociado principalmente con las respuestas del huésped.</w:t>
      </w:r>
    </w:p>
    <w:p w:rsidR="00A552CE" w:rsidRPr="00A552CE" w:rsidRDefault="00A552CE" w:rsidP="00A552CE">
      <w:pPr>
        <w:spacing w:line="360" w:lineRule="auto"/>
        <w:rPr>
          <w:rFonts w:ascii="Verdana" w:hAnsi="Verdana" w:cs="Arial"/>
          <w:sz w:val="22"/>
          <w:szCs w:val="22"/>
          <w:lang w:val="es-ES"/>
        </w:rPr>
      </w:pPr>
      <w:r w:rsidRPr="00A552CE">
        <w:rPr>
          <w:rFonts w:ascii="Verdana" w:hAnsi="Verdana"/>
          <w:sz w:val="22"/>
          <w:szCs w:val="22"/>
          <w:lang w:val="es-ES" w:eastAsia="en-US"/>
        </w:rPr>
        <w:t>Mediante la Tinción Tricrómica de Masson, se muestran evidencias experimentales de las tres fases del Daño Alveolar Difuso (Fases: exudativa, fibroproliferativa y fibrótica), estando interrelacionadas y superpuestas en el desarrollo del DAD. Sin embargo, se identificó un predominio de las etapas más avanzadas del DAD, respecto a la exudativa, en todas las muestras analizadas en este estudio.</w:t>
      </w:r>
    </w:p>
    <w:p w:rsidR="00595B9A" w:rsidRPr="00A552CE" w:rsidRDefault="00EC29ED" w:rsidP="00A552CE">
      <w:pPr>
        <w:spacing w:line="360" w:lineRule="auto"/>
        <w:jc w:val="center"/>
        <w:rPr>
          <w:rFonts w:ascii="Verdana" w:hAnsi="Verdana"/>
          <w:sz w:val="22"/>
          <w:szCs w:val="22"/>
          <w:lang w:val="es-ES" w:eastAsia="en-US"/>
        </w:rPr>
      </w:pPr>
      <w:r w:rsidRPr="00A552CE">
        <w:rPr>
          <w:rFonts w:ascii="Verdana" w:hAnsi="Verdana"/>
          <w:noProof/>
          <w:sz w:val="22"/>
          <w:szCs w:val="22"/>
          <w:lang w:val="es-MX" w:eastAsia="es-MX"/>
        </w:rPr>
        <w:lastRenderedPageBreak/>
        <w:drawing>
          <wp:inline distT="0" distB="0" distL="0" distR="0">
            <wp:extent cx="3078480" cy="2932430"/>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8480" cy="2932430"/>
                    </a:xfrm>
                    <a:prstGeom prst="rect">
                      <a:avLst/>
                    </a:prstGeom>
                    <a:noFill/>
                  </pic:spPr>
                </pic:pic>
              </a:graphicData>
            </a:graphic>
          </wp:inline>
        </w:drawing>
      </w:r>
    </w:p>
    <w:p w:rsidR="00595B9A" w:rsidRPr="00A552CE" w:rsidRDefault="00595B9A" w:rsidP="00A552CE">
      <w:pPr>
        <w:rPr>
          <w:rFonts w:ascii="Verdana" w:hAnsi="Verdana"/>
          <w:sz w:val="22"/>
          <w:szCs w:val="22"/>
          <w:lang w:val="es-ES" w:eastAsia="en-US"/>
        </w:rPr>
      </w:pPr>
      <w:r w:rsidRPr="00A552CE">
        <w:rPr>
          <w:rFonts w:ascii="Verdana" w:hAnsi="Verdana"/>
          <w:b/>
          <w:sz w:val="22"/>
          <w:szCs w:val="22"/>
          <w:lang w:val="es-ES" w:eastAsia="en-US"/>
        </w:rPr>
        <w:t>Figura 1.</w:t>
      </w:r>
      <w:r w:rsidRPr="00A552CE">
        <w:rPr>
          <w:rFonts w:ascii="Verdana" w:hAnsi="Verdana"/>
          <w:sz w:val="22"/>
          <w:szCs w:val="22"/>
          <w:lang w:val="es-ES" w:eastAsia="en-US"/>
        </w:rPr>
        <w:t xml:space="preserve"> Imágenes representativas de la Tinción Tricrómica de Masson 1: Cortes de pulmón del paciente R que muestran: A) fibrosis intersticial (azul) (flechas), B) daño alveolar difuso con rotura de tabiques intraalveolares y destrucción del revestimiento de la pared alveolar con desprendimiento (puntas de flecha); Neumocitos tipo II (NTII) (flechas) que proliferan a lo largo de la superficie de los tabiques alveolares fibrosos; C) Engrosamiento de los tabiques alveolares por proliferación de fibroblastos y depósito de colágeno (flecha). D) Parte del conducto alveolar que contiene membranas hialinas (flechas, teñido de púrpura pastel) y abundantes fibras de colágeno (azul). Obsérvese una yema fibrosa cerca de las membranas hialinas (punta de flecha); E) pérdida de la barrera epitelial alveolar y escape de líquido intersticial al espacio alveolar (flechas). 2: Cortes de pulmón de los pacientes T, J, D y B que muestran fibrosis intersticial. Barras: 50μm.</w:t>
      </w:r>
    </w:p>
    <w:p w:rsidR="00D21136" w:rsidRPr="00A552CE" w:rsidRDefault="00D21136" w:rsidP="00A552CE">
      <w:pPr>
        <w:pStyle w:val="Ttulo2"/>
        <w:spacing w:line="360" w:lineRule="auto"/>
        <w:ind w:left="426"/>
        <w:rPr>
          <w:rFonts w:ascii="Verdana" w:hAnsi="Verdana"/>
          <w:sz w:val="22"/>
          <w:szCs w:val="22"/>
        </w:rPr>
      </w:pPr>
      <w:r w:rsidRPr="00A552CE">
        <w:rPr>
          <w:rFonts w:ascii="Verdana" w:hAnsi="Verdana"/>
          <w:sz w:val="22"/>
          <w:szCs w:val="22"/>
        </w:rPr>
        <w:t>CEREBRO</w:t>
      </w:r>
    </w:p>
    <w:p w:rsidR="00D21136" w:rsidRPr="00A552CE" w:rsidRDefault="00D21136" w:rsidP="00A552CE">
      <w:pPr>
        <w:spacing w:line="360" w:lineRule="auto"/>
        <w:rPr>
          <w:rFonts w:ascii="Verdana" w:hAnsi="Verdana"/>
          <w:sz w:val="22"/>
          <w:szCs w:val="22"/>
          <w:lang w:val="es-ES"/>
        </w:rPr>
      </w:pPr>
      <w:r w:rsidRPr="00A552CE">
        <w:rPr>
          <w:rFonts w:ascii="Verdana" w:hAnsi="Verdana"/>
          <w:sz w:val="22"/>
          <w:szCs w:val="22"/>
          <w:lang w:val="es-ES"/>
        </w:rPr>
        <w:t>En este estudio se reporta mediante el uso de la inmunofluorescencia confocal, la co-localización de la nucleocápside del SARSCoV-2 dentro de neuronas, los astrocitos, los oligodendrocitos y las microglias, en tres casos de fallecidos por COVID-19, de entre 78 y 85 años de edad. La NC viral se detectó junto con su receptor de entrada de células ACE2, así como el Inflamasoma NLRP3 en tejidos corticales cerebrales. Es de destacar que NLRP3 se co-localizó con macrófagos CD68+ en el cerebro y en el pulmón de los fallecidos, lo que sugiere el papel crítico de este tipo de Inflamasoma en las lesiones del Sistema Nervioso Central/Pulmones, por el SARSCoV-2 y respalda su papel potencial como terapéutico</w:t>
      </w:r>
      <w:r w:rsidR="009264D8" w:rsidRPr="00A552CE">
        <w:rPr>
          <w:rFonts w:ascii="Verdana" w:hAnsi="Verdana"/>
          <w:sz w:val="22"/>
          <w:szCs w:val="22"/>
          <w:lang w:val="es-ES"/>
        </w:rPr>
        <w:fldChar w:fldCharType="begin" w:fldLock="1"/>
      </w:r>
      <w:r w:rsidR="009264D8" w:rsidRPr="00A552CE">
        <w:rPr>
          <w:rFonts w:ascii="Verdana" w:hAnsi="Verdana"/>
          <w:sz w:val="22"/>
          <w:szCs w:val="22"/>
          <w:lang w:val="es-ES"/>
        </w:rPr>
        <w:instrText>ADDIN CSL_CITATION {"citationItems":[{"id":"ITEM-1","itemData":{"DOI":"10.1016/j.jneuroim.2021.577728","ISSN":"18728421","PMID":"34619427","abstract":"We herein report, by using confocal immunofluorescence, the colocalization of the SARS-CoV-2 nucleocapsid within neurons, astrocytes, oligodendrocytes and microglia in three deceased COVID-19 cases, of between 78 and 85 years of age at death. The viral nucleocapsid was detected together with its ACE2 cell entry receptor, as well as the NLRP3 inflammasome in cerebral cortical tissues. It is noteworthy that NLRP3 was colocalized with CD68 + macrophages in the brain and lung of the deceased, suggesting the critical role of this type of inflammasome in SARS-CoV-2 lesions of the nervous system/lungs and supporting its potential role as a therapeutic target.","author":[{"dropping-particle":"","family":"Cama","given":"Viviana Falcón","non-dropping-particle":"","parse-names":false,"suffix":""},{"dropping-particle":"","family":"Marín-Prida","given":"Javier","non-dropping-particle":"","parse-names":false,"suffix":""},{"dropping-particle":"","family":"Acosta-Rivero","given":"Nelson","non-dropping-particle":"","parse-names":false,"suffix":""},{"dropping-particle":"","family":"Acosta","given":"Emilio F.","non-dropping-particle":"","parse-names":false,"suffix":""},{"dropping-particle":"","family":"Díaz","given":"Leonardo Oramas","non-dropping-particle":"","parse-names":false,"suffix":""},{"dropping-particle":"V.","family":"Casadesús","given":"Ana","non-dropping-particle":"","parse-names":false,"suffix":""},{"dropping-particle":"","family":"Fernández-Marrero","given":"Briandy","non-dropping-particle":"","parse-names":false,"suffix":""},{"dropping-particle":"","family":"Gilva-Rodríguez","given":"Nathalie","non-dropping-particle":"","parse-names":false,"suffix":""},{"dropping-particle":"","family":"Cremata-García","given":"Daina","non-dropping-particle":"","parse-names":false,"suffix":""},{"dropping-particle":"","family":"Cervantes-Llanos","given":"Majel","non-dropping-particle":"","parse-names":false,"suffix":""},{"dropping-particle":"","family":"Piniella-Matamoros","given":"Beatriz","non-dropping-particle":"","parse-names":false,"suffix":""},{"dropping-particle":"","family":"Sánchez","given":"Daisy","non-dropping-particle":"","parse-names":false,"suffix":""},{"dropping-particle":"","family":"Rosario-Cruz","given":"Leticia","non-dropping-particle":"del","parse-names":false,"suffix":""},{"dropping-particle":"","family":"Borrajero","given":"Israel","non-dropping-particle":"","parse-names":false,"suffix":""},{"dropping-particle":"","family":"Díaz","given":"Angelina","non-dropping-particle":"","parse-names":false,"suffix":""},{"dropping-particle":"","family":"González","given":"Yorexis","non-dropping-particle":"","parse-names":false,"suffix":""},{"dropping-particle":"","family":"Pentón-Arias","given":"Eduardo","non-dropping-particle":"","parse-names":false,"suffix":""},{"dropping-particle":"","family":"Montero-González","given":"Teresita","non-dropping-particle":"","parse-names":false,"suffix":""},{"dropping-particle":"","family":"Guillen-Nieto","given":"Gerardo","non-dropping-particle":"","parse-names":false,"suffix":""},{"dropping-particle":"","family":"Pentón-Rol","given":"Giselle","non-dropping-particle":"","parse-names":false,"suffix":""}],"container-title":"Journal of Neuroimmunology","id":"ITEM-1","issued":{"date-parts":[["2021","9","15"]]},"page":"577728","publisher":"Elsevier","title":"The microglial NLRP3 inflammasome is involved in human SARS-CoV-2 cerebral pathogenicity: A report of three post-mortem cases","type":"article-journal","volume":"361"},"uris":["http://www.mendeley.com/documents/?uuid=d01d677d-35e6-3bdc-ba4a-cacd97cf632b"]}],"mendeley":{"formattedCitation":"(6)","plainTextFormattedCitation":"(6)","previouslyFormattedCitation":"(6)"},"properties":{"noteIndex":0},"schema":"https://github.com/citation-style-language/schema/raw/master/csl-citation.json"}</w:instrText>
      </w:r>
      <w:r w:rsidR="009264D8" w:rsidRPr="00A552CE">
        <w:rPr>
          <w:rFonts w:ascii="Verdana" w:hAnsi="Verdana"/>
          <w:sz w:val="22"/>
          <w:szCs w:val="22"/>
          <w:lang w:val="es-ES"/>
        </w:rPr>
        <w:fldChar w:fldCharType="separate"/>
      </w:r>
      <w:r w:rsidR="009264D8" w:rsidRPr="00A552CE">
        <w:rPr>
          <w:rFonts w:ascii="Verdana" w:hAnsi="Verdana"/>
          <w:noProof/>
          <w:sz w:val="22"/>
          <w:szCs w:val="22"/>
          <w:lang w:val="es-ES"/>
        </w:rPr>
        <w:t>(6)</w:t>
      </w:r>
      <w:r w:rsidR="009264D8" w:rsidRPr="00A552CE">
        <w:rPr>
          <w:rFonts w:ascii="Verdana" w:hAnsi="Verdana"/>
          <w:sz w:val="22"/>
          <w:szCs w:val="22"/>
          <w:lang w:val="es-ES"/>
        </w:rPr>
        <w:fldChar w:fldCharType="end"/>
      </w:r>
      <w:r w:rsidRPr="00A552CE">
        <w:rPr>
          <w:rFonts w:ascii="Verdana" w:hAnsi="Verdana"/>
          <w:sz w:val="22"/>
          <w:szCs w:val="22"/>
          <w:lang w:val="es-ES"/>
        </w:rPr>
        <w:t>.</w:t>
      </w:r>
    </w:p>
    <w:p w:rsidR="00D21136" w:rsidRPr="00A552CE" w:rsidRDefault="00D21136" w:rsidP="00A552CE">
      <w:pPr>
        <w:spacing w:line="360" w:lineRule="auto"/>
        <w:rPr>
          <w:rFonts w:ascii="Verdana" w:hAnsi="Verdana"/>
          <w:sz w:val="22"/>
          <w:szCs w:val="22"/>
          <w:lang w:val="es-ES"/>
        </w:rPr>
      </w:pPr>
      <w:r w:rsidRPr="00A552CE">
        <w:rPr>
          <w:rFonts w:ascii="Verdana" w:hAnsi="Verdana"/>
          <w:sz w:val="22"/>
          <w:szCs w:val="22"/>
          <w:lang w:val="es-ES"/>
        </w:rPr>
        <w:t xml:space="preserve">La proteína de la NC se localizó en una variedad de células típicas del Sistema Nervioso Central (SNC), que fueron identificados usando anticuerpos contra NeuN (neuronas), GFAP (astrocitos), CNPasa (oligodendrocitos) e Iba-1 (microglia) (Figura </w:t>
      </w:r>
      <w:r w:rsidR="00BA0508" w:rsidRPr="00A552CE">
        <w:rPr>
          <w:rFonts w:ascii="Verdana" w:hAnsi="Verdana"/>
          <w:sz w:val="22"/>
          <w:szCs w:val="22"/>
          <w:lang w:val="es-ES"/>
        </w:rPr>
        <w:t>2</w:t>
      </w:r>
      <w:r w:rsidRPr="00A552CE">
        <w:rPr>
          <w:rFonts w:ascii="Verdana" w:hAnsi="Verdana"/>
          <w:sz w:val="22"/>
          <w:szCs w:val="22"/>
          <w:lang w:val="es-ES"/>
        </w:rPr>
        <w:t xml:space="preserve">). Posteriormente, se </w:t>
      </w:r>
      <w:r w:rsidRPr="00A552CE">
        <w:rPr>
          <w:rFonts w:ascii="Verdana" w:hAnsi="Verdana"/>
          <w:sz w:val="22"/>
          <w:szCs w:val="22"/>
          <w:lang w:val="es-ES"/>
        </w:rPr>
        <w:lastRenderedPageBreak/>
        <w:t>identificaron los mediadores potenciales de la patogenicidad de este virus en el SNC humano. Curiosamente, la NC se co-localizó con el receptor de la entrada celular del SARSCoV-2, ACE2. En particular, también se observó co-inmunotinción de la NC con un componente clave del eje neuroinflamatorio: el Inflamasoma NLRP3.</w:t>
      </w:r>
    </w:p>
    <w:p w:rsidR="00D21136" w:rsidRPr="00A552CE" w:rsidRDefault="00EC29ED" w:rsidP="00A552CE">
      <w:pPr>
        <w:spacing w:line="360" w:lineRule="auto"/>
        <w:rPr>
          <w:rFonts w:ascii="Verdana" w:hAnsi="Verdana"/>
          <w:sz w:val="22"/>
          <w:szCs w:val="22"/>
          <w:lang w:val="es-ES"/>
        </w:rPr>
      </w:pPr>
      <w:r w:rsidRPr="00A552CE">
        <w:rPr>
          <w:rFonts w:ascii="Verdana" w:hAnsi="Verdana"/>
          <w:noProof/>
          <w:sz w:val="22"/>
          <w:szCs w:val="22"/>
          <w:lang w:val="es-MX" w:eastAsia="es-MX"/>
        </w:rPr>
        <w:drawing>
          <wp:inline distT="0" distB="0" distL="0" distR="0">
            <wp:extent cx="5709285" cy="45161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9285" cy="4516120"/>
                    </a:xfrm>
                    <a:prstGeom prst="rect">
                      <a:avLst/>
                    </a:prstGeom>
                    <a:noFill/>
                    <a:ln>
                      <a:noFill/>
                    </a:ln>
                  </pic:spPr>
                </pic:pic>
              </a:graphicData>
            </a:graphic>
          </wp:inline>
        </w:drawing>
      </w:r>
    </w:p>
    <w:p w:rsidR="00D21136" w:rsidRPr="00A552CE" w:rsidRDefault="00D21136" w:rsidP="00A552CE">
      <w:pPr>
        <w:rPr>
          <w:rFonts w:ascii="Verdana" w:hAnsi="Verdana"/>
          <w:sz w:val="22"/>
          <w:szCs w:val="22"/>
          <w:lang w:val="es-ES"/>
        </w:rPr>
      </w:pPr>
      <w:r w:rsidRPr="00A552CE">
        <w:rPr>
          <w:rFonts w:ascii="Verdana" w:hAnsi="Verdana"/>
          <w:b/>
          <w:sz w:val="22"/>
          <w:szCs w:val="22"/>
          <w:lang w:val="es-ES"/>
        </w:rPr>
        <w:t xml:space="preserve">Figura </w:t>
      </w:r>
      <w:r w:rsidR="00BA0508" w:rsidRPr="00A552CE">
        <w:rPr>
          <w:rFonts w:ascii="Verdana" w:hAnsi="Verdana"/>
          <w:b/>
          <w:sz w:val="22"/>
          <w:szCs w:val="22"/>
          <w:lang w:val="es-ES"/>
        </w:rPr>
        <w:t>2</w:t>
      </w:r>
      <w:r w:rsidRPr="00A552CE">
        <w:rPr>
          <w:rFonts w:ascii="Verdana" w:hAnsi="Verdana"/>
          <w:b/>
          <w:sz w:val="22"/>
          <w:szCs w:val="22"/>
          <w:lang w:val="es-ES"/>
        </w:rPr>
        <w:t>.</w:t>
      </w:r>
      <w:r w:rsidRPr="00A552CE">
        <w:rPr>
          <w:rFonts w:ascii="Verdana" w:hAnsi="Verdana"/>
          <w:sz w:val="22"/>
          <w:szCs w:val="22"/>
          <w:lang w:val="es-ES"/>
        </w:rPr>
        <w:t xml:space="preserve"> Las imágenes representan la región de interés obtenida a partir del análisis de Microscopía Confocal de la nucleocápside (NC) del SARSCoV-2 y los marcadores de tipo celular en la corteza cerebral de pacientes fallecidos con COVID-19. Los paneles muestran la co-localización de la nucleocápside viral (NC) con Neuronas Neu N (A), astrocitos (GFAP) (B), oligodendrocitos (CNPasa) (C) y microglias (Iba-1) (D). Las flechas apuntan a un Roi que se muestra como una vista ampliada en el espacio 3D (b) y el perfil cuantitativo asociado de la intensidad del vóxel de la imagen de los diferentes tintes a lo largo de un segmento de línea 3D (c) utilizando el software Vaa3D. Análisis de correlación de intensidad de Rois. Barras: 50 μm.</w:t>
      </w:r>
    </w:p>
    <w:p w:rsidR="00BA0508" w:rsidRPr="00A552CE" w:rsidRDefault="00D21136" w:rsidP="00A552CE">
      <w:pPr>
        <w:spacing w:before="360" w:line="360" w:lineRule="auto"/>
        <w:rPr>
          <w:rFonts w:ascii="Verdana" w:hAnsi="Verdana"/>
          <w:sz w:val="22"/>
          <w:szCs w:val="22"/>
          <w:lang w:val="es-ES"/>
        </w:rPr>
      </w:pPr>
      <w:r w:rsidRPr="00A552CE">
        <w:rPr>
          <w:rFonts w:ascii="Verdana" w:hAnsi="Verdana"/>
          <w:sz w:val="22"/>
          <w:szCs w:val="22"/>
          <w:lang w:val="es-ES"/>
        </w:rPr>
        <w:t xml:space="preserve">La neuroinvasión del SARSCoV-2 se ha observado en diferentes modelos experimentales, como los organoides cerebrales humanos y en los ratones transgénicos, que </w:t>
      </w:r>
      <w:r w:rsidR="009264D8" w:rsidRPr="00A552CE">
        <w:rPr>
          <w:rFonts w:ascii="Verdana" w:hAnsi="Verdana"/>
          <w:sz w:val="22"/>
          <w:szCs w:val="22"/>
          <w:lang w:val="es-ES"/>
        </w:rPr>
        <w:t>sobreexpresan la ACE2 humana</w:t>
      </w:r>
      <w:r w:rsidR="009264D8" w:rsidRPr="00A552CE">
        <w:rPr>
          <w:rFonts w:ascii="Verdana" w:hAnsi="Verdana"/>
          <w:sz w:val="22"/>
          <w:szCs w:val="22"/>
          <w:lang w:val="es-ES"/>
        </w:rPr>
        <w:fldChar w:fldCharType="begin" w:fldLock="1"/>
      </w:r>
      <w:r w:rsidR="009264D8" w:rsidRPr="00A552CE">
        <w:rPr>
          <w:rFonts w:ascii="Verdana" w:hAnsi="Verdana"/>
          <w:sz w:val="22"/>
          <w:szCs w:val="22"/>
          <w:lang w:val="es-ES"/>
        </w:rPr>
        <w:instrText>ADDIN CSL_CITATION {"citationItems":[{"id":"ITEM-1","itemData":{"DOI":"10.3389/fimmu.2020.02163","ISSN":"16643224","PMID":"32983181","abstract":"Introduction: The response to the SARS-CoV-2 coronavirus epidemic requires increased research efforts to expand our knowledge of the disease. Questions related to infection rates and mechanisms, the possibility of reinfection, and potential therapeutic approaches require us not only to use the experimental models previously employed for the SARS-CoV and MERS-CoV coronaviruses but also to generate new models to respond to urgent questions. Development: We reviewed the different experimental models used in the study of central nervous system (CNS) involvement in COVID-19 both in different cell lines that have enabled identification of the virus’ action mechanisms and in animal models (mice, rats, hamsters, ferrets, and primates) inoculated with the virus. Specifically, we reviewed models used to assess the presence and effects of SARS-CoV-2 on the CNS, including neural cell lines, animal models such as mouse hepatitis virus CoV (especially the 59 strain), and the use of brain organoids. Conclusion: Given the clear need to increase our understanding of SARS-CoV-2, as well as its potential effects on the CNS, we must endeavor to obtain new information with cellular or animal models, with an appropriate resemblance between models and human patients.","author":[{"dropping-particle":"","family":"Sanclemente-Alaman","given":"Inmaculada","non-dropping-particle":"","parse-names":false,"suffix":""},{"dropping-particle":"","family":"Moreno-Jiménez","given":"Lidia","non-dropping-particle":"","parse-names":false,"suffix":""},{"dropping-particle":"","family":"Benito-Martín","given":"María Soledad","non-dropping-particle":"","parse-names":false,"suffix":""},{"dropping-particle":"","family":"Canales-Aguirre","given":"Alejandro","non-dropping-particle":"","parse-names":false,"suffix":""},{"dropping-particle":"","family":"Matías-Guiu","given":"Jordi A.","non-dropping-particle":"","parse-names":false,"suffix":""},{"dropping-particle":"","family":"Matías-Guiu","given":"Jorge","non-dropping-particle":"","parse-names":false,"suffix":""},{"dropping-particle":"","family":"Gómez-Pinedo","given":"Ulises","non-dropping-particle":"","parse-names":false,"suffix":""}],"container-title":"Frontiers in Immunology","id":"ITEM-1","issued":{"date-parts":[["2020","8","28"]]},"page":"2163","publisher":"Frontiers Media S.A.","title":"Experimental Models for the Study of Central Nervous System Infection by SARS-CoV-2","type":"article","volume":"11"},"uris":["http://www.mendeley.com/documents/?uuid=1eec1eb8-12fd-30be-b739-8e6aac1cc42d"]}],"mendeley":{"formattedCitation":"(7)","plainTextFormattedCitation":"(7)","previouslyFormattedCitation":"(7)"},"properties":{"noteIndex":0},"schema":"https://github.com/citation-style-language/schema/raw/master/csl-citation.json"}</w:instrText>
      </w:r>
      <w:r w:rsidR="009264D8" w:rsidRPr="00A552CE">
        <w:rPr>
          <w:rFonts w:ascii="Verdana" w:hAnsi="Verdana"/>
          <w:sz w:val="22"/>
          <w:szCs w:val="22"/>
          <w:lang w:val="es-ES"/>
        </w:rPr>
        <w:fldChar w:fldCharType="separate"/>
      </w:r>
      <w:r w:rsidR="009264D8" w:rsidRPr="00A552CE">
        <w:rPr>
          <w:rFonts w:ascii="Verdana" w:hAnsi="Verdana"/>
          <w:noProof/>
          <w:sz w:val="22"/>
          <w:szCs w:val="22"/>
          <w:lang w:val="es-ES"/>
        </w:rPr>
        <w:t>(7)</w:t>
      </w:r>
      <w:r w:rsidR="009264D8" w:rsidRPr="00A552CE">
        <w:rPr>
          <w:rFonts w:ascii="Verdana" w:hAnsi="Verdana"/>
          <w:sz w:val="22"/>
          <w:szCs w:val="22"/>
          <w:lang w:val="es-ES"/>
        </w:rPr>
        <w:fldChar w:fldCharType="end"/>
      </w:r>
      <w:r w:rsidRPr="00A552CE">
        <w:rPr>
          <w:rFonts w:ascii="Verdana" w:hAnsi="Verdana"/>
          <w:sz w:val="22"/>
          <w:szCs w:val="22"/>
          <w:lang w:val="es-ES"/>
        </w:rPr>
        <w:t xml:space="preserve">. El presente estudio ilustra que la NC se co-localiza con proteínas </w:t>
      </w:r>
      <w:r w:rsidRPr="00A552CE">
        <w:rPr>
          <w:rFonts w:ascii="Verdana" w:hAnsi="Verdana"/>
          <w:sz w:val="22"/>
          <w:szCs w:val="22"/>
          <w:lang w:val="es-ES"/>
        </w:rPr>
        <w:lastRenderedPageBreak/>
        <w:t>neuronales y gliales específicas en la corteza cerebral, lo que sugiere la posibilidad de que el tropismo celular diverso del SNC del SARSCoV-2 podría ser altamente deletéreo c</w:t>
      </w:r>
      <w:r w:rsidR="009264D8" w:rsidRPr="00A552CE">
        <w:rPr>
          <w:rFonts w:ascii="Verdana" w:hAnsi="Verdana"/>
          <w:sz w:val="22"/>
          <w:szCs w:val="22"/>
          <w:lang w:val="es-ES"/>
        </w:rPr>
        <w:t>omo se propuso anteriormente</w:t>
      </w:r>
      <w:r w:rsidR="009264D8" w:rsidRPr="00A552CE">
        <w:rPr>
          <w:rFonts w:ascii="Verdana" w:hAnsi="Verdana"/>
          <w:sz w:val="22"/>
          <w:szCs w:val="22"/>
          <w:lang w:val="es-ES"/>
        </w:rPr>
        <w:fldChar w:fldCharType="begin" w:fldLock="1"/>
      </w:r>
      <w:r w:rsidR="009264D8" w:rsidRPr="00A552CE">
        <w:rPr>
          <w:rFonts w:ascii="Verdana" w:hAnsi="Verdana"/>
          <w:sz w:val="22"/>
          <w:szCs w:val="22"/>
          <w:lang w:val="es-ES"/>
        </w:rPr>
        <w:instrText>ADDIN CSL_CITATION {"citationItems":[{"id":"ITEM-1","itemData":{"DOI":"10.1073/pnas.2003432117","ISSN":"10916490","PMID":"32571951","abstract":"Neurotropic strains of mouse hepatitis virus (MHV), a coronavirus, cause acute and chronic demyelinating encephalomyelitis with similarities to the human disease multiple sclerosis. Here, using a lineage-tracking system, we show that some cells, primarily oligodendrocytes (OLs) and oligodendrocyte precursor cells (OPCs), survive the acute MHV infection, are associated with regions of demyelination, and persist in the central nervous system (CNS) for at least 150 d. These surviving OLs express major histocompatibility complex (MHC) class I and other genes associated with an inflammatory response. Notably, the extent of inflammatory cell infiltration was variable, dependent on anatomic location within the CNS, and without obvious correlation with numbers of surviving cells. We detected more demyelination in regions with larger numbers of T cells and microglia/macrophages compared to those with fewer infiltrating cells. Conversely, in regions with less inflammation, these previously infected OLs more rapidly extended processes, consistent with normal myelinating function. Together, these results show that OLs are inducers as well as targets of the host immune response and demonstrate how a CNS infection, even after resolution, can induce prolonged inflammatory changes with CNS region-dependent impairment in remyelination.","author":[{"dropping-particle":"","family":"Pan","given":"Ruangang","non-dropping-particle":"","parse-names":false,"suffix":""},{"dropping-particle":"","family":"Zhang","given":"Qinran","non-dropping-particle":"","parse-names":false,"suffix":""},{"dropping-particle":"","family":"Anthony","given":"Scott M.","non-dropping-particle":"","parse-names":false,"suffix":""},{"dropping-particle":"","family":"Zhou","given":"Yu","non-dropping-particle":"","parse-names":false,"suffix":""},{"dropping-particle":"","family":"Zou","given":"Xiufen","non-dropping-particle":"","parse-names":false,"suffix":""},{"dropping-particle":"","family":"Cassell","given":"Martin","non-dropping-particle":"","parse-names":false,"suffix":""},{"dropping-particle":"","family":"Perlman","given":"Stanley","non-dropping-particle":"","parse-names":false,"suffix":""}],"container-title":"Proceedings of the National Academy of Sciences of the United States of America","id":"ITEM-1","issue":"27","issued":{"date-parts":[["2020","7","7"]]},"page":"15902-15910","publisher":"National Academy of Sciences","title":"Oligodendrocytes that survive acute coronavirus infection induce prolonged inflammatory responses in the CNS","type":"article-journal","volume":"117"},"uris":["http://www.mendeley.com/documents/?uuid=0d309264-19da-369f-adcf-7e85678366e2"]}],"mendeley":{"formattedCitation":"(8)","plainTextFormattedCitation":"(8)","previouslyFormattedCitation":"(8)"},"properties":{"noteIndex":0},"schema":"https://github.com/citation-style-language/schema/raw/master/csl-citation.json"}</w:instrText>
      </w:r>
      <w:r w:rsidR="009264D8" w:rsidRPr="00A552CE">
        <w:rPr>
          <w:rFonts w:ascii="Verdana" w:hAnsi="Verdana"/>
          <w:sz w:val="22"/>
          <w:szCs w:val="22"/>
          <w:lang w:val="es-ES"/>
        </w:rPr>
        <w:fldChar w:fldCharType="separate"/>
      </w:r>
      <w:r w:rsidR="009264D8" w:rsidRPr="00A552CE">
        <w:rPr>
          <w:rFonts w:ascii="Verdana" w:hAnsi="Verdana"/>
          <w:noProof/>
          <w:sz w:val="22"/>
          <w:szCs w:val="22"/>
          <w:lang w:val="es-ES"/>
        </w:rPr>
        <w:t>(8)</w:t>
      </w:r>
      <w:r w:rsidR="009264D8" w:rsidRPr="00A552CE">
        <w:rPr>
          <w:rFonts w:ascii="Verdana" w:hAnsi="Verdana"/>
          <w:sz w:val="22"/>
          <w:szCs w:val="22"/>
          <w:lang w:val="es-ES"/>
        </w:rPr>
        <w:fldChar w:fldCharType="end"/>
      </w:r>
      <w:r w:rsidRPr="00A552CE">
        <w:rPr>
          <w:rFonts w:ascii="Verdana" w:hAnsi="Verdana"/>
          <w:sz w:val="22"/>
          <w:szCs w:val="22"/>
          <w:lang w:val="es-ES"/>
        </w:rPr>
        <w:t>. Por otro lado, en una serie de 41 casos post mortem, se encontró activación microglial en el 80,5% de ellos (34/41), lo que confirma el importante papel de este tipo de células del SNC, así como la infiltración de células T (38 / 41 casos) en lesiones cerebrales por SARSCoV-2</w:t>
      </w:r>
      <w:r w:rsidR="009264D8" w:rsidRPr="00A552CE">
        <w:rPr>
          <w:rFonts w:ascii="Verdana" w:hAnsi="Verdana"/>
          <w:sz w:val="22"/>
          <w:szCs w:val="22"/>
          <w:lang w:val="es-ES"/>
        </w:rPr>
        <w:fldChar w:fldCharType="begin" w:fldLock="1"/>
      </w:r>
      <w:r w:rsidR="00E8248C" w:rsidRPr="00A552CE">
        <w:rPr>
          <w:rFonts w:ascii="Verdana" w:hAnsi="Verdana"/>
          <w:sz w:val="22"/>
          <w:szCs w:val="22"/>
          <w:lang w:val="es-ES"/>
        </w:rPr>
        <w:instrText>ADDIN CSL_CITATION {"citationItems":[{"id":"ITEM-1","itemData":{"DOI":"10.1093/brain/awab148","ISSN":"0006-8950","PMID":"33856027","abstract":"Many patients with SARS-CoV-2 infection develop neurological signs and symptoms; although, to date, little evidence exists that primary infection of the brain is a significant contributing factor. We present the clinical, neuropathological and molecular findings of 41 consecutive patients with SARS-CoV-2 infections who died and underwent autopsy in our medical centre. The mean age was 74 years (38-97 years), 27 patients (66%) were male and 34 (83%) were of Hispanic/Latinx ethnicity. Twenty-four patients (59%) were admitted to the intensive care unit. Hospital-associated complications were common, including eight patients (20%) with deep vein thrombosis/pulmonary embolism, seven (17%) with acute kidney injury requiring dialysis and 10 (24%) with positive blood cultures during admission. Eight (20%) patients died within 24 h of hospital admission, while 11 (27%) died more than 4 weeks after hospital admission. Neuropathological examination of 20-30 areas from each brain revealed hypoxic/ischaemic changes in all brains, both global and focal; large and small infarcts, many of which appeared haemorrhagic; and microglial activation with microglial nodules accompanied by neuronophagia, most prominently in the brainstem. We observed sparse T lymphocyte accumulation in either perivascular regions or in the brain parenchyma. Many brains contained atherosclerosis of large arteries and arteriolosclerosis, although none showed evidence of vasculitis. Eighteen patients (44%) exhibited pathologies of neurodegenerative diseases, which was not unexpected given the age range of our patients. We examined multiple fresh frozen and fixed tissues from 28 brains for the presence of viral RNA and protein, using quantitative reverse-transcriptase PCR, RNAscope® and immunocytochemistry with primers, probes and antibodies directed against the spike and nucleocapsid regions. The PCR analysis revealed low to very low, but detectable, viral RNA levels in the majority of brains, although they were far lower than those in the nasal epithelia. RNAscope® and immunocytochemistry failed to detect viral RNA or protein in brains. Our findings indicate that the levels of detectable virus in coronavirus disease 2019 brains are very low and do not correlate with the histopathological alterations. These findings suggest that microglial activation, microglial nodules and neuronophagia, observed in the majority of brains, do not result from direct viral infection of brain parenchyma, but more li…","author":[{"dropping-particle":"","family":"Thakur","given":"Kiran T","non-dropping-particle":"","parse-names":false,"suffix":""},{"dropping-particle":"","family":"Miller","given":"Emily Happy","non-dropping-particle":"","parse-names":false,"suffix":""},{"dropping-particle":"","family":"Glendinning","given":"Michael D","non-dropping-particle":"","parse-names":false,"suffix":""},{"dropping-particle":"","family":"Al-Dalahmah","given":"Osama","non-dropping-particle":"","parse-names":false,"suffix":""},{"dropping-particle":"","family":"Banu","given":"Matei A","non-dropping-particle":"","parse-names":false,"suffix":""},{"dropping-particle":"","family":"Boehme","given":"Amelia K","non-dropping-particle":"","parse-names":false,"suffix":""},{"dropping-particle":"","family":"Boubour","given":"Alexandra L","non-dropping-particle":"","parse-names":false,"suffix":""},{"dropping-particle":"","family":"Bruce","given":"Samuel S","non-dropping-particle":"","parse-names":false,"suffix":""},{"dropping-particle":"","family":"Chong","given":"Alexander M","non-dropping-particle":"","parse-names":false,"suffix":""},{"dropping-particle":"","family":"Claassen","given":"Jan","non-dropping-particle":"","parse-names":false,"suffix":""},{"dropping-particle":"","family":"Faust","given":"Phyllis L","non-dropping-particle":"","parse-names":false,"suffix":""},{"dropping-particle":"","family":"Hargus","given":"Gunnar","non-dropping-particle":"","parse-names":false,"suffix":""},{"dropping-particle":"","family":"Hickman","given":"Richard A","non-dropping-particle":"","parse-names":false,"suffix":""},{"dropping-particle":"","family":"Jambawalikar","given":"Sachin","non-dropping-particle":"","parse-names":false,"suffix":""},{"dropping-particle":"","family":"Khandji","given":"Alexander G","non-dropping-particle":"","parse-names":false,"suffix":""},{"dropping-particle":"","family":"Kim","given":"Carla Y","non-dropping-particle":"","parse-names":false,"suffix":""},{"dropping-particle":"","family":"Klein","given":"Robyn S","non-dropping-particle":"","parse-names":false,"suffix":""},{"dropping-particle":"","family":"Lignelli-Dipple","given":"Angela","non-dropping-particle":"","parse-names":false,"suffix":""},{"dropping-particle":"","family":"Lin","given":"Chun-Chieh","non-dropping-particle":"","parse-names":false,"suffix":""},{"dropping-particle":"","family":"Liu","given":"Yang","non-dropping-particle":"","parse-names":false,"suffix":""},{"dropping-particle":"","family":"Miller","given":"Michael L","non-dropping-particle":"","parse-names":false,"suffix":""},{"dropping-particle":"","family":"Moonis","given":"Gul","non-dropping-particle":"","parse-names":false,"suffix":""},{"dropping-particle":"","family":"Nordvig","given":"Anna S","non-dropping-particle":"","parse-names":false,"suffix":""},{"dropping-particle":"","family":"Overdevest","given":"Jonathan B","non-dropping-particle":"","parse-names":false,"suffix":""},{"dropping-particle":"","family":"Prust","given":"Morgan L","non-dropping-particle":"","parse-names":false,"suffix":""},{"dropping-particle":"","family":"Przedborski","given":"Serge","non-dropping-particle":"","parse-names":false,"suffix":""},{"dropping-particle":"","family":"Roth","given":"William H","non-dropping-particle":"","parse-names":false,"suffix":""},{"dropping-particle":"","family":"Soung","given":"Allison","non-dropping-particle":"","parse-names":false,"suffix":""},{"dropping-particle":"","family":"Tanji","given":"Kurenai","non-dropping-particle":"","parse-names":false,"suffix":""},{"dropping-particle":"","family":"Teich","given":"Andrew F","non-dropping-particle":"","parse-names":false,"suffix":""},{"dropping-particle":"","family":"Agalliu","given":"Dritan","non-dropping-particle":"","parse-names":false,"suffix":""},{"dropping-particle":"","family":"Uhlemann","given":"Anne-Catrin","non-dropping-particle":"","parse-names":false,"suffix":""},{"dropping-particle":"","family":"Goldman","given":"James E","non-dropping-particle":"","parse-names":false,"suffix":""},{"dropping-particle":"","family":"Canoll","given":"Peter","non-dropping-particle":"","parse-names":false,"suffix":""}],"container-title":"Brain","id":"ITEM-1","issue":"9","issued":{"date-parts":[["2021","10","22"]]},"page":"2696-2708","publisher":"Brain","title":"COVID-19 neuropathology at Columbia University Irving Medical Center/New York Presbyterian Hospital","type":"article-journal","volume":"144"},"uris":["http://www.mendeley.com/documents/?uuid=2d481828-8880-361a-8a40-37a8d166a06b"]}],"mendeley":{"formattedCitation":"(9)","plainTextFormattedCitation":"(9)","previouslyFormattedCitation":"(9)"},"properties":{"noteIndex":0},"schema":"https://github.com/citation-style-language/schema/raw/master/csl-citation.json"}</w:instrText>
      </w:r>
      <w:r w:rsidR="009264D8" w:rsidRPr="00A552CE">
        <w:rPr>
          <w:rFonts w:ascii="Verdana" w:hAnsi="Verdana"/>
          <w:sz w:val="22"/>
          <w:szCs w:val="22"/>
          <w:lang w:val="es-ES"/>
        </w:rPr>
        <w:fldChar w:fldCharType="separate"/>
      </w:r>
      <w:r w:rsidR="009264D8" w:rsidRPr="00A552CE">
        <w:rPr>
          <w:rFonts w:ascii="Verdana" w:hAnsi="Verdana"/>
          <w:noProof/>
          <w:sz w:val="22"/>
          <w:szCs w:val="22"/>
          <w:lang w:val="es-ES"/>
        </w:rPr>
        <w:t>(9)</w:t>
      </w:r>
      <w:r w:rsidR="009264D8" w:rsidRPr="00A552CE">
        <w:rPr>
          <w:rFonts w:ascii="Verdana" w:hAnsi="Verdana"/>
          <w:sz w:val="22"/>
          <w:szCs w:val="22"/>
          <w:lang w:val="es-ES"/>
        </w:rPr>
        <w:fldChar w:fldCharType="end"/>
      </w:r>
      <w:r w:rsidR="009264D8" w:rsidRPr="00A552CE">
        <w:rPr>
          <w:rFonts w:ascii="Verdana" w:hAnsi="Verdana"/>
          <w:sz w:val="22"/>
          <w:szCs w:val="22"/>
          <w:lang w:val="es-ES"/>
        </w:rPr>
        <w:t>.</w:t>
      </w:r>
    </w:p>
    <w:p w:rsidR="00D21136" w:rsidRPr="00A552CE" w:rsidRDefault="00D21136" w:rsidP="00A552CE">
      <w:pPr>
        <w:spacing w:line="360" w:lineRule="auto"/>
        <w:rPr>
          <w:rFonts w:ascii="Verdana" w:hAnsi="Verdana"/>
          <w:sz w:val="22"/>
          <w:szCs w:val="22"/>
          <w:lang w:val="es-ES"/>
        </w:rPr>
      </w:pPr>
      <w:r w:rsidRPr="00A552CE">
        <w:rPr>
          <w:rFonts w:ascii="Verdana" w:hAnsi="Verdana"/>
          <w:sz w:val="22"/>
          <w:szCs w:val="22"/>
          <w:lang w:val="es-ES"/>
        </w:rPr>
        <w:t>Este estudio revela que la infección del cerebro por SARSCoV-2 ocurre en múltiples tipos de células del SNC e induce la activación del Inflamasoma NLRP3 en la microglia</w:t>
      </w:r>
      <w:r w:rsidR="00BA0508" w:rsidRPr="00A552CE">
        <w:rPr>
          <w:rFonts w:ascii="Verdana" w:hAnsi="Verdana"/>
          <w:sz w:val="22"/>
          <w:szCs w:val="22"/>
          <w:lang w:val="es-ES"/>
        </w:rPr>
        <w:t xml:space="preserve"> (Figura 3)</w:t>
      </w:r>
      <w:r w:rsidRPr="00A552CE">
        <w:rPr>
          <w:rFonts w:ascii="Verdana" w:hAnsi="Verdana"/>
          <w:sz w:val="22"/>
          <w:szCs w:val="22"/>
          <w:lang w:val="es-ES"/>
        </w:rPr>
        <w:t>, que puede estar involucrado en diversas complicaciones neurológicas relacionadas con COVID-19. Por lo tanto, nuestros datos apuntan a estrategias terapéuticas centradas en la inhibición del Inflamasoma microglial NLRP3 para prevenir las secuelas neurológicas, así como para promover la recuperación neurológica de los pacientes con COVID-19.</w:t>
      </w:r>
    </w:p>
    <w:p w:rsidR="00BA0508" w:rsidRPr="00A552CE" w:rsidRDefault="00EC29ED" w:rsidP="00A552CE">
      <w:pPr>
        <w:spacing w:line="360" w:lineRule="auto"/>
        <w:jc w:val="center"/>
        <w:rPr>
          <w:rFonts w:ascii="Verdana" w:hAnsi="Verdana"/>
          <w:noProof/>
          <w:sz w:val="22"/>
          <w:szCs w:val="22"/>
          <w:lang w:val="es-CU" w:eastAsia="es-CU"/>
        </w:rPr>
      </w:pPr>
      <w:r w:rsidRPr="00A552CE">
        <w:rPr>
          <w:rFonts w:ascii="Verdana" w:hAnsi="Verdana"/>
          <w:noProof/>
          <w:sz w:val="22"/>
          <w:szCs w:val="22"/>
          <w:lang w:val="es-MX" w:eastAsia="es-MX"/>
        </w:rPr>
        <w:drawing>
          <wp:inline distT="0" distB="0" distL="0" distR="0">
            <wp:extent cx="5136515" cy="3172460"/>
            <wp:effectExtent l="0" t="0" r="0" b="0"/>
            <wp:docPr id="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6515" cy="3172460"/>
                    </a:xfrm>
                    <a:prstGeom prst="rect">
                      <a:avLst/>
                    </a:prstGeom>
                    <a:noFill/>
                    <a:ln>
                      <a:noFill/>
                    </a:ln>
                  </pic:spPr>
                </pic:pic>
              </a:graphicData>
            </a:graphic>
          </wp:inline>
        </w:drawing>
      </w:r>
    </w:p>
    <w:p w:rsidR="00BA0508" w:rsidRPr="00A552CE" w:rsidRDefault="00BA0508" w:rsidP="00A552CE">
      <w:pPr>
        <w:rPr>
          <w:rFonts w:ascii="Verdana" w:hAnsi="Verdana"/>
          <w:sz w:val="22"/>
          <w:szCs w:val="22"/>
          <w:lang w:val="es-ES"/>
        </w:rPr>
      </w:pPr>
      <w:r w:rsidRPr="00A552CE">
        <w:rPr>
          <w:rFonts w:ascii="Verdana" w:hAnsi="Verdana"/>
          <w:b/>
          <w:sz w:val="22"/>
          <w:szCs w:val="22"/>
          <w:lang w:val="es-ES"/>
        </w:rPr>
        <w:t>Figura 3.</w:t>
      </w:r>
      <w:r w:rsidRPr="00A552CE">
        <w:rPr>
          <w:rFonts w:ascii="Verdana" w:hAnsi="Verdana"/>
          <w:sz w:val="22"/>
          <w:szCs w:val="22"/>
          <w:lang w:val="es-ES"/>
        </w:rPr>
        <w:t xml:space="preserve"> Microscopía Confocal de la nucleocápside (NC) del SARSCoV-2 y los marcadores de la entrada del huésped viral y la neuroinflamación en la corteza cerebral de pacientes fallecidos con COVID-19. Los paneles muestran la co-localización de la nucleocápside viral (NC) con ACE2 (A) y el Inflamasona (NLRP3) (B) o la detección conjunta de CD68 con NLRP3 (C). Las flechas apuntan a un Roi que se muestra como una vista Zoom-in en el espacio 3D  (b) y el perfil cuantitativo asociado de la intensidad del vóxel de la imagen de los diferentes tintes a lo largo de un segmento de línea 3D (c) utilizando el software Vaa3D. Análisis de correlación de intensidad de Roi. Barras: 50 μm.</w:t>
      </w:r>
    </w:p>
    <w:p w:rsidR="00D21136" w:rsidRPr="00A552CE" w:rsidRDefault="00BA0508" w:rsidP="00A552CE">
      <w:pPr>
        <w:pStyle w:val="Ttulo2"/>
        <w:spacing w:line="360" w:lineRule="auto"/>
        <w:ind w:left="426"/>
        <w:rPr>
          <w:rFonts w:ascii="Verdana" w:hAnsi="Verdana"/>
          <w:sz w:val="22"/>
          <w:szCs w:val="22"/>
          <w:lang w:val="es-ES"/>
        </w:rPr>
      </w:pPr>
      <w:r w:rsidRPr="00A552CE">
        <w:rPr>
          <w:rFonts w:ascii="Verdana" w:hAnsi="Verdana"/>
          <w:sz w:val="22"/>
          <w:szCs w:val="22"/>
        </w:rPr>
        <w:lastRenderedPageBreak/>
        <w:t xml:space="preserve">Fisiopatología y </w:t>
      </w:r>
      <w:r w:rsidR="00D21136" w:rsidRPr="00A552CE">
        <w:rPr>
          <w:rFonts w:ascii="Verdana" w:hAnsi="Verdana"/>
          <w:sz w:val="22"/>
          <w:szCs w:val="22"/>
        </w:rPr>
        <w:t>Potenciales Dianas terapéuticas</w:t>
      </w:r>
    </w:p>
    <w:p w:rsidR="00D21136" w:rsidRPr="00A552CE" w:rsidRDefault="00D21136" w:rsidP="00A552CE">
      <w:pPr>
        <w:spacing w:line="360" w:lineRule="auto"/>
        <w:rPr>
          <w:rFonts w:ascii="Verdana" w:hAnsi="Verdana"/>
          <w:sz w:val="22"/>
          <w:szCs w:val="22"/>
          <w:lang w:val="es-ES"/>
        </w:rPr>
      </w:pPr>
      <w:r w:rsidRPr="00A552CE">
        <w:rPr>
          <w:rFonts w:ascii="Verdana" w:hAnsi="Verdana"/>
          <w:sz w:val="22"/>
          <w:szCs w:val="22"/>
          <w:lang w:val="es-ES"/>
        </w:rPr>
        <w:t>Este trabajo identificó dianas celulares claves que pueden verse afectados por la infección por el SARSCoV-2 con implicaciones para la patogénesis inducida por los virus y la orientación terapéutica. Los resultados proporcionaron evidencias que indicaban: presencia del SARS-CoV 2 en el epitelio pulmonar, en células semejantes a macrófagos (CSM), en Lipofibroblastos (LFB) y en células semejantes a fibroblastos (CSF) en etapas avanzadas del desarrollo del DAD, lo que sugiere una lesión viral sostenida y una desregulación de las funciones de reparación de los tejidos; la NC co-localizada con moléculas claves como: (la fibronectina, el PPARγ y la V</w:t>
      </w:r>
      <w:r w:rsidR="00BA0508" w:rsidRPr="00A552CE">
        <w:rPr>
          <w:rFonts w:ascii="Verdana" w:hAnsi="Verdana"/>
          <w:sz w:val="22"/>
          <w:szCs w:val="22"/>
          <w:lang w:val="es-ES"/>
        </w:rPr>
        <w:t>imentina</w:t>
      </w:r>
      <w:r w:rsidRPr="00A552CE">
        <w:rPr>
          <w:rFonts w:ascii="Verdana" w:hAnsi="Verdana"/>
          <w:sz w:val="22"/>
          <w:szCs w:val="22"/>
          <w:lang w:val="es-ES"/>
        </w:rPr>
        <w:t>) involucradas en las respuestas de reparación de los tejidos y en el ciclo de vida del SARSCoV-2, revelan dianas potenciales para las terapias antivirales. Por otra parte, la inhibición específica del Inflamasoma NLRP3, podría ser un enfoque racional para mejorar las condiciones de gravedad del COVID-19 y sus lesiones asociadas al SNC.</w:t>
      </w:r>
    </w:p>
    <w:p w:rsidR="00D21136" w:rsidRPr="00A552CE" w:rsidRDefault="00D21136" w:rsidP="00A552CE">
      <w:pPr>
        <w:pStyle w:val="Ttulo2"/>
        <w:spacing w:line="360" w:lineRule="auto"/>
        <w:ind w:left="426"/>
        <w:rPr>
          <w:rFonts w:ascii="Verdana" w:hAnsi="Verdana"/>
          <w:sz w:val="22"/>
          <w:szCs w:val="22"/>
          <w:lang w:val="es-ES"/>
        </w:rPr>
      </w:pPr>
      <w:r w:rsidRPr="00A552CE">
        <w:rPr>
          <w:rFonts w:ascii="Verdana" w:hAnsi="Verdana"/>
          <w:sz w:val="22"/>
          <w:szCs w:val="22"/>
          <w:lang w:val="es-ES"/>
        </w:rPr>
        <w:t>FÁRMACOS PROMETEDORES PARA COMBATIR EL SARSCOV-2</w:t>
      </w:r>
    </w:p>
    <w:p w:rsidR="00D21136" w:rsidRPr="00A552CE" w:rsidRDefault="006D3835" w:rsidP="00A552CE">
      <w:pPr>
        <w:spacing w:line="360" w:lineRule="auto"/>
        <w:rPr>
          <w:rFonts w:ascii="Verdana" w:hAnsi="Verdana"/>
          <w:sz w:val="22"/>
          <w:szCs w:val="22"/>
          <w:lang w:val="es-ES"/>
        </w:rPr>
      </w:pPr>
      <w:r w:rsidRPr="00A552CE">
        <w:rPr>
          <w:rFonts w:ascii="Verdana" w:hAnsi="Verdana"/>
          <w:sz w:val="22"/>
          <w:szCs w:val="22"/>
          <w:lang w:val="es-ES"/>
        </w:rPr>
        <w:t>Ficocianobilina (FCB): La evidencia experimental acumulada apoya fuertemente la aplicación segura del compuesto tetrapirrólico natural Ficocianobilina (FCB) para el daño inducido por COVID-19 al Sis</w:t>
      </w:r>
      <w:r w:rsidR="00E8248C" w:rsidRPr="00A552CE">
        <w:rPr>
          <w:rFonts w:ascii="Verdana" w:hAnsi="Verdana"/>
          <w:sz w:val="22"/>
          <w:szCs w:val="22"/>
          <w:lang w:val="es-ES"/>
        </w:rPr>
        <w:t>tema Nervioso Central</w:t>
      </w:r>
      <w:r w:rsidR="00E8248C" w:rsidRPr="00A552CE">
        <w:rPr>
          <w:rFonts w:ascii="Verdana" w:hAnsi="Verdana"/>
          <w:sz w:val="22"/>
          <w:szCs w:val="22"/>
          <w:lang w:val="es-ES"/>
        </w:rPr>
        <w:fldChar w:fldCharType="begin" w:fldLock="1"/>
      </w:r>
      <w:r w:rsidR="00797B5B" w:rsidRPr="00A552CE">
        <w:rPr>
          <w:rFonts w:ascii="Verdana" w:hAnsi="Verdana"/>
          <w:sz w:val="22"/>
          <w:szCs w:val="22"/>
          <w:lang w:val="es-ES"/>
        </w:rPr>
        <w:instrText>ADDIN CSL_CITATION {"citationItems":[{"id":"ITEM-1","itemData":{"DOI":"10.2174/1570159x19666210408123807","ISSN":"1570159X","PMID":"33829974","abstract":"The edible cyanobacterium Spirulina platensis and its chief biliprotein C-Phycocyanin have shown protective activity in animal models of diverse human health diseases, often reflecting antioxidant and anti-inflammatory effects. The beneficial effects of C-Phycocyanin seem likely to be primarily attributable to its covalently attached chromophore Phycocyanobilin (PCB). Within cells, biliverdin is generated from free heme and it is subsequently reduced to bilirubin. Although bilirubin can function as an oxidant scavenger, its potent antioxidant activity reflects its ability to inactivate some isoforms of NADPH oxidase. Free bilirubin can also function as an agonist for the aryl hydrocarbon receptor (AhR); this may explain its ability to promote protective Treg activity in cellular and rodent models of inflammatory disease. AhR agonists also promote transcription of the gene coding for Nrf-2, and hence can up-regulate phase 2 induction of antioxidant enzymes such as HO-1. Hence, it is proposed that C-Phycocyanin/PCB chiefly exert their protective effects via inhibition of NADPH oxidase activity, as well as by AhR agonism that both induces Treg activity and up-regulates phase 2 induction. This simple model may explain their potent antioxidant/anti-inflammatory effects. Additionally, PCB might mimic biliverdin in activating anti-inflammatory signaling mediated by biliverdin reductase. This essay reviews recent research in which C-Phycocyanin and/or PCB, administered orally, parenterally, or intranasally, have achieved marked protective effects in rodent and cell culture models of Ischemic Stroke and Multiple Sclerosis, and suggests that these agents may likewise be protective for Alzheimer's disease, Parkinson's disease, and in COVID-19 and its neurological complications.","author":[{"dropping-particle":"","family":"Pentón-Rol","given":"Giselle","non-dropping-particle":"","parse-names":false,"suffix":""},{"dropping-particle":"","family":"Marín-Prida","given":"Javier","non-dropping-particle":"","parse-names":false,"suffix":""},{"dropping-particle":"","family":"McCarty","given":"Mark F.","non-dropping-particle":"","parse-names":false,"suffix":""}],"container-title":"Current Neuropharmacology","id":"ITEM-1","issued":{"date-parts":[["2021","4","8"]]},"publisher":"Bentham Science Publishers Ltd.","title":"C-Phycocyanin-derived Phycocyanobilin as a Potential Nutraceutical Approach for Major Neurodegenerative Disorders and COVID-19-induced Damage to the Nervous System","type":"article-journal","volume":"19"},"uris":["http://www.mendeley.com/documents/?uuid=b3356118-8640-3ee8-963b-24e029296e49"]}],"mendeley":{"formattedCitation":"(10)","plainTextFormattedCitation":"(10)","previouslyFormattedCitation":"(10)"},"properties":{"noteIndex":0},"schema":"https://github.com/citation-style-language/schema/raw/master/csl-citation.json"}</w:instrText>
      </w:r>
      <w:r w:rsidR="00E8248C" w:rsidRPr="00A552CE">
        <w:rPr>
          <w:rFonts w:ascii="Verdana" w:hAnsi="Verdana"/>
          <w:sz w:val="22"/>
          <w:szCs w:val="22"/>
          <w:lang w:val="es-ES"/>
        </w:rPr>
        <w:fldChar w:fldCharType="separate"/>
      </w:r>
      <w:r w:rsidR="00E8248C" w:rsidRPr="00A552CE">
        <w:rPr>
          <w:rFonts w:ascii="Verdana" w:hAnsi="Verdana"/>
          <w:noProof/>
          <w:sz w:val="22"/>
          <w:szCs w:val="22"/>
          <w:lang w:val="es-ES"/>
        </w:rPr>
        <w:t>(10)</w:t>
      </w:r>
      <w:r w:rsidR="00E8248C" w:rsidRPr="00A552CE">
        <w:rPr>
          <w:rFonts w:ascii="Verdana" w:hAnsi="Verdana"/>
          <w:sz w:val="22"/>
          <w:szCs w:val="22"/>
          <w:lang w:val="es-ES"/>
        </w:rPr>
        <w:fldChar w:fldCharType="end"/>
      </w:r>
      <w:r w:rsidRPr="00A552CE">
        <w:rPr>
          <w:rFonts w:ascii="Verdana" w:hAnsi="Verdana"/>
          <w:sz w:val="22"/>
          <w:szCs w:val="22"/>
          <w:lang w:val="es-ES"/>
        </w:rPr>
        <w:t xml:space="preserve">. A medida que la infección por COVID-19 progresa y comienza con manifestaciones de disfunción pulmonar como hipoxia, inflamación e hipercoagulabilidad, estas pueden afectar indirectamente o directamente al Sistema Nervioso Central. El ambiente hipóxico podría resultar en acidosis metabólica del cerebro, acumulación de ácido láctico, aumento de radicales libres y estrés oxidativo y disminución de la producción </w:t>
      </w:r>
      <w:r w:rsidR="00797B5B" w:rsidRPr="00A552CE">
        <w:rPr>
          <w:rFonts w:ascii="Verdana" w:hAnsi="Verdana"/>
          <w:sz w:val="22"/>
          <w:szCs w:val="22"/>
          <w:lang w:val="es-ES"/>
        </w:rPr>
        <w:t>de ATP en el tejido nervioso</w:t>
      </w:r>
      <w:r w:rsidR="00797B5B" w:rsidRPr="00A552CE">
        <w:rPr>
          <w:rFonts w:ascii="Verdana" w:hAnsi="Verdana"/>
          <w:sz w:val="22"/>
          <w:szCs w:val="22"/>
          <w:lang w:val="es-ES"/>
        </w:rPr>
        <w:fldChar w:fldCharType="begin" w:fldLock="1"/>
      </w:r>
      <w:r w:rsidR="001061EA" w:rsidRPr="00A552CE">
        <w:rPr>
          <w:rFonts w:ascii="Verdana" w:hAnsi="Verdana"/>
          <w:sz w:val="22"/>
          <w:szCs w:val="22"/>
          <w:lang w:val="es-ES"/>
        </w:rPr>
        <w:instrText>ADDIN CSL_CITATION {"citationItems":[{"id":"ITEM-1","itemData":{"DOI":"10.2147/NDT.S251173","ISSN":"11782021","PMID":"32547039","abstract":"The global spread of COVID-19 has caused a substantial societal burden and become a major global public health issue. The COVID-19 elderly population with hyper-tension, diabetes, cardiovascular, and cerebrovascular diseases are at risk. Mortality rates are highest in these individuals if infected with COVID-19. Although the lungs are the main organs involved in acute respiratory distress syndrome caused by COVID-19 infection, COVID-19 triggers inflammatory and immune mechanisms, inducing a “cytokine storm” that aggravates disease progression and may lead to death. Presently, effective drugs are lacking, although current studies have confirmed that drugs with therapeutic potential include redaciclovir, lopinavir/ritonavir combined with interferon-β, convalescent plasma, and mono-clonal antibodies. Currently, the most reasonable and effective way to prevent COVID-19 is to control the source of infection, terminate routes of transmission, and protect susceptible populations. With the rise of COVID-19 in China and worldwide, further prevention, diagnosis, and treatment measures are a critical unmet need. Cerebrovascular disease has high incidence, disability rate, and fatality rate. COVID-19 patient outcomes may also be complicated with acute stroke. This paper summarizes the influence of COVID-19 on cerebrovascular disease and discusses possible pathophysiological mechanisms to provide new angles for the prevention and diagnosis of this disease.","author":[{"dropping-particle":"","family":"Fan","given":"Hongyang","non-dropping-particle":"","parse-names":false,"suffix":""},{"dropping-particle":"","family":"Tang","given":"Xiaojia","non-dropping-particle":"","parse-names":false,"suffix":""},{"dropping-particle":"","family":"Song","given":"Yuxia","non-dropping-particle":"","parse-names":false,"suffix":""},{"dropping-particle":"","family":"Liu","given":"Peipei","non-dropping-particle":"","parse-names":false,"suffix":""},{"dropping-particle":"","family":"Chen","given":"Yingzhu","non-dropping-particle":"","parse-names":false,"suffix":""}],"container-title":"Neuropsychiatric Disease and Treatment","id":"ITEM-1","issued":{"date-parts":[["2020"]]},"page":"1359-1367","publisher":"Neuropsychiatr Dis Treat","title":"Influence of covid-19 on cerebrovascular disease and its possible mechanism","type":"article-journal","volume":"16"},"uris":["http://www.mendeley.com/documents/?uuid=6fd78aaf-bc72-314f-81b8-ebeaa3c6b870"]}],"mendeley":{"formattedCitation":"(11)","plainTextFormattedCitation":"(11)","previouslyFormattedCitation":"(11)"},"properties":{"noteIndex":0},"schema":"https://github.com/citation-style-language/schema/raw/master/csl-citation.json"}</w:instrText>
      </w:r>
      <w:r w:rsidR="00797B5B" w:rsidRPr="00A552CE">
        <w:rPr>
          <w:rFonts w:ascii="Verdana" w:hAnsi="Verdana"/>
          <w:sz w:val="22"/>
          <w:szCs w:val="22"/>
          <w:lang w:val="es-ES"/>
        </w:rPr>
        <w:fldChar w:fldCharType="separate"/>
      </w:r>
      <w:r w:rsidR="00797B5B" w:rsidRPr="00A552CE">
        <w:rPr>
          <w:rFonts w:ascii="Verdana" w:hAnsi="Verdana"/>
          <w:noProof/>
          <w:sz w:val="22"/>
          <w:szCs w:val="22"/>
          <w:lang w:val="es-ES"/>
        </w:rPr>
        <w:t>(11)</w:t>
      </w:r>
      <w:r w:rsidR="00797B5B" w:rsidRPr="00A552CE">
        <w:rPr>
          <w:rFonts w:ascii="Verdana" w:hAnsi="Verdana"/>
          <w:sz w:val="22"/>
          <w:szCs w:val="22"/>
          <w:lang w:val="es-ES"/>
        </w:rPr>
        <w:fldChar w:fldCharType="end"/>
      </w:r>
      <w:r w:rsidRPr="00A552CE">
        <w:rPr>
          <w:rFonts w:ascii="Verdana" w:hAnsi="Verdana"/>
          <w:sz w:val="22"/>
          <w:szCs w:val="22"/>
          <w:lang w:val="es-ES"/>
        </w:rPr>
        <w:t xml:space="preserve">. La inflamación sistémica, que refleja los esfuerzos inmunológicos para restringir la transmisión y la lesión del virus, también está involucrada de manera crítica en el daño inducido por COVID-19 en diferentes órganos, incluido el cerebro. Como consecuencia, el sistema inmunológico del individuo genera una explosión de las células inflamatorias y las citocinas que median una respuesta de defensa que se ha denominado "tormenta de citocinas"; y de manera controvertida, también puede dañar al propio organismo. NLRP3 forma un complejo multimolecular, denominado "Inflamasoma", que da como resultado una oligomerización de receptores, activación de caspasa-1 y liberación enzimática de IL-1β e IL-18, que contribuyen a la </w:t>
      </w:r>
      <w:r w:rsidRPr="00A552CE">
        <w:rPr>
          <w:rFonts w:ascii="Verdana" w:hAnsi="Verdana"/>
          <w:sz w:val="22"/>
          <w:szCs w:val="22"/>
          <w:lang w:val="es-ES"/>
        </w:rPr>
        <w:lastRenderedPageBreak/>
        <w:t>actividad de las células T. En este sentido, una gran cantidad de estudios han documentado las versátiles actividades antiinflamatorias y antioxidantes de la ficocianobilina (FCB), lo que respalda su uso potencial para reducir el estrés relacionado con la hipoxia y la progresión de la tormenta de citocinas.</w:t>
      </w:r>
    </w:p>
    <w:p w:rsidR="004E015A" w:rsidRPr="00A552CE" w:rsidRDefault="004E015A" w:rsidP="00A552CE">
      <w:pPr>
        <w:pStyle w:val="heading1"/>
        <w:spacing w:line="360" w:lineRule="auto"/>
        <w:rPr>
          <w:rStyle w:val="AbsatzNormal"/>
          <w:rFonts w:ascii="Verdana" w:hAnsi="Verdana"/>
          <w:sz w:val="22"/>
          <w:szCs w:val="22"/>
          <w:lang w:val="es-ES"/>
        </w:rPr>
      </w:pPr>
      <w:r w:rsidRPr="00A552CE">
        <w:rPr>
          <w:rStyle w:val="AbsatzNormal"/>
          <w:rFonts w:ascii="Verdana" w:hAnsi="Verdana"/>
          <w:sz w:val="22"/>
          <w:szCs w:val="22"/>
          <w:lang w:val="es-ES"/>
        </w:rPr>
        <w:t>conclusiones</w:t>
      </w:r>
    </w:p>
    <w:p w:rsidR="006D3835" w:rsidRPr="00A552CE" w:rsidRDefault="006D3835" w:rsidP="00A552CE">
      <w:pPr>
        <w:numPr>
          <w:ilvl w:val="0"/>
          <w:numId w:val="40"/>
        </w:numPr>
        <w:spacing w:line="360" w:lineRule="auto"/>
        <w:rPr>
          <w:rFonts w:ascii="Verdana" w:hAnsi="Verdana"/>
          <w:sz w:val="22"/>
          <w:szCs w:val="22"/>
          <w:lang w:val="es-ES" w:eastAsia="en-US"/>
        </w:rPr>
      </w:pPr>
      <w:r w:rsidRPr="00A552CE">
        <w:rPr>
          <w:rFonts w:ascii="Verdana" w:hAnsi="Verdana"/>
          <w:sz w:val="22"/>
          <w:szCs w:val="22"/>
          <w:lang w:val="es-ES" w:eastAsia="en-US"/>
        </w:rPr>
        <w:t>Se identificaron novedosos procesos celulares y fisiopatológicos involucrados en la infección del vi</w:t>
      </w:r>
      <w:r w:rsidR="00BA0508" w:rsidRPr="00A552CE">
        <w:rPr>
          <w:rFonts w:ascii="Verdana" w:hAnsi="Verdana"/>
          <w:sz w:val="22"/>
          <w:szCs w:val="22"/>
          <w:lang w:val="es-ES" w:eastAsia="en-US"/>
        </w:rPr>
        <w:t>rus SARSCoV-2 en pulmón y cerebro a través del uso de la Microscopía.</w:t>
      </w:r>
    </w:p>
    <w:p w:rsidR="006D3835" w:rsidRPr="00A552CE" w:rsidRDefault="006D3835" w:rsidP="00A552CE">
      <w:pPr>
        <w:numPr>
          <w:ilvl w:val="0"/>
          <w:numId w:val="40"/>
        </w:numPr>
        <w:spacing w:line="360" w:lineRule="auto"/>
        <w:rPr>
          <w:rFonts w:ascii="Verdana" w:hAnsi="Verdana"/>
          <w:sz w:val="22"/>
          <w:szCs w:val="22"/>
          <w:lang w:val="es-ES" w:eastAsia="en-US"/>
        </w:rPr>
      </w:pPr>
      <w:r w:rsidRPr="00A552CE">
        <w:rPr>
          <w:rFonts w:ascii="Verdana" w:hAnsi="Verdana"/>
          <w:sz w:val="22"/>
          <w:szCs w:val="22"/>
          <w:lang w:val="es-ES" w:eastAsia="en-US"/>
        </w:rPr>
        <w:t>Mediante la Tinción Tricrómica de Masson, se mostró evidencias experimentales que las tres fases del Daño Alveolar Difuso (DAD) están interrelacionadas y superpuestas y se identificó un predominio de las etapas más avanzadas del DAD (fibroproliferativa y fibrótica), respecto a la exudativa.</w:t>
      </w:r>
    </w:p>
    <w:p w:rsidR="00E87702" w:rsidRPr="00A552CE" w:rsidRDefault="00E87702" w:rsidP="00A552CE">
      <w:pPr>
        <w:numPr>
          <w:ilvl w:val="0"/>
          <w:numId w:val="40"/>
        </w:numPr>
        <w:spacing w:line="360" w:lineRule="auto"/>
        <w:rPr>
          <w:rFonts w:ascii="Verdana" w:hAnsi="Verdana"/>
          <w:sz w:val="22"/>
          <w:szCs w:val="22"/>
          <w:lang w:val="es-ES" w:eastAsia="en-US"/>
        </w:rPr>
      </w:pPr>
      <w:r w:rsidRPr="00A552CE">
        <w:rPr>
          <w:rFonts w:ascii="Verdana" w:hAnsi="Verdana"/>
          <w:sz w:val="22"/>
          <w:szCs w:val="22"/>
          <w:lang w:val="es-ES" w:eastAsia="en-US"/>
        </w:rPr>
        <w:t>Se reporta</w:t>
      </w:r>
      <w:r w:rsidR="00F75A2F" w:rsidRPr="00A552CE">
        <w:rPr>
          <w:rFonts w:ascii="Verdana" w:hAnsi="Verdana"/>
          <w:sz w:val="22"/>
          <w:szCs w:val="22"/>
          <w:lang w:val="es-ES" w:eastAsia="en-US"/>
        </w:rPr>
        <w:t xml:space="preserve"> por primera vez</w:t>
      </w:r>
      <w:r w:rsidRPr="00A552CE">
        <w:rPr>
          <w:rFonts w:ascii="Verdana" w:hAnsi="Verdana"/>
          <w:sz w:val="22"/>
          <w:szCs w:val="22"/>
          <w:lang w:val="es-ES" w:eastAsia="en-US"/>
        </w:rPr>
        <w:t xml:space="preserve"> </w:t>
      </w:r>
      <w:r w:rsidR="00F75A2F" w:rsidRPr="00A552CE">
        <w:rPr>
          <w:rFonts w:ascii="Verdana" w:hAnsi="Verdana"/>
          <w:sz w:val="22"/>
          <w:szCs w:val="22"/>
          <w:lang w:val="es-ES" w:eastAsia="en-US"/>
        </w:rPr>
        <w:t xml:space="preserve">por </w:t>
      </w:r>
      <w:r w:rsidRPr="00A552CE">
        <w:rPr>
          <w:rFonts w:ascii="Verdana" w:hAnsi="Verdana"/>
          <w:sz w:val="22"/>
          <w:szCs w:val="22"/>
          <w:lang w:val="es-ES" w:eastAsia="en-US"/>
        </w:rPr>
        <w:t>inmunofluorescencia confocal, la co-localización de la nucleocápside del SA</w:t>
      </w:r>
      <w:r w:rsidR="00F75A2F" w:rsidRPr="00A552CE">
        <w:rPr>
          <w:rFonts w:ascii="Verdana" w:hAnsi="Verdana"/>
          <w:sz w:val="22"/>
          <w:szCs w:val="22"/>
          <w:lang w:val="es-ES" w:eastAsia="en-US"/>
        </w:rPr>
        <w:t xml:space="preserve">RSCoV-2 en neuronas, astrocitos, </w:t>
      </w:r>
      <w:r w:rsidRPr="00A552CE">
        <w:rPr>
          <w:rFonts w:ascii="Verdana" w:hAnsi="Verdana"/>
          <w:sz w:val="22"/>
          <w:szCs w:val="22"/>
          <w:lang w:val="es-ES" w:eastAsia="en-US"/>
        </w:rPr>
        <w:t>oligo</w:t>
      </w:r>
      <w:r w:rsidR="00F75A2F" w:rsidRPr="00A552CE">
        <w:rPr>
          <w:rFonts w:ascii="Verdana" w:hAnsi="Verdana"/>
          <w:sz w:val="22"/>
          <w:szCs w:val="22"/>
          <w:lang w:val="es-ES" w:eastAsia="en-US"/>
        </w:rPr>
        <w:t xml:space="preserve">dendrocitos y </w:t>
      </w:r>
      <w:r w:rsidRPr="00A552CE">
        <w:rPr>
          <w:rFonts w:ascii="Verdana" w:hAnsi="Verdana"/>
          <w:sz w:val="22"/>
          <w:szCs w:val="22"/>
          <w:lang w:val="es-ES" w:eastAsia="en-US"/>
        </w:rPr>
        <w:t xml:space="preserve">microglias </w:t>
      </w:r>
      <w:r w:rsidR="00BC3F19" w:rsidRPr="00A552CE">
        <w:rPr>
          <w:rFonts w:ascii="Verdana" w:hAnsi="Verdana"/>
          <w:sz w:val="22"/>
          <w:szCs w:val="22"/>
          <w:lang w:val="es-ES" w:eastAsia="en-US"/>
        </w:rPr>
        <w:t xml:space="preserve">del </w:t>
      </w:r>
      <w:r w:rsidR="00C7537B" w:rsidRPr="00A552CE">
        <w:rPr>
          <w:rFonts w:ascii="Verdana" w:hAnsi="Verdana"/>
          <w:sz w:val="22"/>
          <w:szCs w:val="22"/>
          <w:lang w:val="es-ES" w:eastAsia="en-US"/>
        </w:rPr>
        <w:t>Sistema Nervioso Central</w:t>
      </w:r>
      <w:r w:rsidRPr="00A552CE">
        <w:rPr>
          <w:rFonts w:ascii="Verdana" w:hAnsi="Verdana"/>
          <w:sz w:val="22"/>
          <w:szCs w:val="22"/>
          <w:lang w:val="es-ES" w:eastAsia="en-US"/>
        </w:rPr>
        <w:t>.</w:t>
      </w:r>
    </w:p>
    <w:p w:rsidR="006D3835" w:rsidRPr="00A552CE" w:rsidRDefault="006D3835" w:rsidP="00A552CE">
      <w:pPr>
        <w:numPr>
          <w:ilvl w:val="0"/>
          <w:numId w:val="40"/>
        </w:numPr>
        <w:spacing w:line="360" w:lineRule="auto"/>
        <w:rPr>
          <w:rFonts w:ascii="Verdana" w:hAnsi="Verdana"/>
          <w:sz w:val="22"/>
          <w:szCs w:val="22"/>
          <w:lang w:val="es-ES" w:eastAsia="en-US"/>
        </w:rPr>
      </w:pPr>
      <w:r w:rsidRPr="00A552CE">
        <w:rPr>
          <w:rFonts w:ascii="Verdana" w:hAnsi="Verdana"/>
          <w:sz w:val="22"/>
          <w:szCs w:val="22"/>
          <w:lang w:val="es-ES" w:eastAsia="en-US"/>
        </w:rPr>
        <w:t xml:space="preserve">Se detectó la presencia de la proteína de la NC viral conjuntamente con el Inflamasoma NLRP3 en tejidos corticales cerebrales, lo que sugiere el papel crítico de este tipo de Inflamasoma en la </w:t>
      </w:r>
      <w:r w:rsidR="00C7537B" w:rsidRPr="00A552CE">
        <w:rPr>
          <w:rFonts w:ascii="Verdana" w:hAnsi="Verdana"/>
          <w:sz w:val="22"/>
          <w:szCs w:val="22"/>
          <w:lang w:val="es-ES" w:eastAsia="en-US"/>
        </w:rPr>
        <w:t xml:space="preserve">fisiopatología </w:t>
      </w:r>
      <w:r w:rsidRPr="00A552CE">
        <w:rPr>
          <w:rFonts w:ascii="Verdana" w:hAnsi="Verdana"/>
          <w:sz w:val="22"/>
          <w:szCs w:val="22"/>
          <w:lang w:val="es-ES" w:eastAsia="en-US"/>
        </w:rPr>
        <w:t>cerebral del SARSCoV-2 en el Sistema Nervioso Central, constituyendo su inhibición específica un enfoque racional para mejorar las condiciones de gravedad del COVID-19 y una diana terapéutica para fármacos anti-SARSCoV-2.</w:t>
      </w:r>
    </w:p>
    <w:p w:rsidR="00A552CE" w:rsidRDefault="00E87702" w:rsidP="00A552CE">
      <w:pPr>
        <w:numPr>
          <w:ilvl w:val="0"/>
          <w:numId w:val="40"/>
        </w:numPr>
        <w:spacing w:line="360" w:lineRule="auto"/>
        <w:rPr>
          <w:rFonts w:ascii="Verdana" w:hAnsi="Verdana"/>
          <w:sz w:val="22"/>
          <w:szCs w:val="22"/>
          <w:lang w:val="es-ES" w:eastAsia="en-US"/>
        </w:rPr>
      </w:pPr>
      <w:r w:rsidRPr="00A552CE">
        <w:rPr>
          <w:rFonts w:ascii="Verdana" w:hAnsi="Verdana"/>
          <w:sz w:val="22"/>
          <w:szCs w:val="22"/>
          <w:lang w:val="es-ES" w:eastAsia="en-US"/>
        </w:rPr>
        <w:t>La identificación d</w:t>
      </w:r>
      <w:r w:rsidR="006D3835" w:rsidRPr="00A552CE">
        <w:rPr>
          <w:rFonts w:ascii="Verdana" w:hAnsi="Verdana"/>
          <w:sz w:val="22"/>
          <w:szCs w:val="22"/>
          <w:lang w:val="es-ES" w:eastAsia="en-US"/>
        </w:rPr>
        <w:t>el Inflamasoma como potencial</w:t>
      </w:r>
      <w:r w:rsidRPr="00A552CE">
        <w:rPr>
          <w:rFonts w:ascii="Verdana" w:hAnsi="Verdana"/>
          <w:sz w:val="22"/>
          <w:szCs w:val="22"/>
          <w:lang w:val="es-ES" w:eastAsia="en-US"/>
        </w:rPr>
        <w:t xml:space="preserve"> diana</w:t>
      </w:r>
      <w:r w:rsidR="006D3835" w:rsidRPr="00A552CE">
        <w:rPr>
          <w:rFonts w:ascii="Verdana" w:hAnsi="Verdana"/>
          <w:sz w:val="22"/>
          <w:szCs w:val="22"/>
          <w:lang w:val="es-ES" w:eastAsia="en-US"/>
        </w:rPr>
        <w:t xml:space="preserve"> terapéutica del SARSCoV-2, revela su asociación con la Ficocianobilina, como fárma</w:t>
      </w:r>
      <w:r w:rsidRPr="00A552CE">
        <w:rPr>
          <w:rFonts w:ascii="Verdana" w:hAnsi="Verdana"/>
          <w:sz w:val="22"/>
          <w:szCs w:val="22"/>
          <w:lang w:val="es-ES" w:eastAsia="en-US"/>
        </w:rPr>
        <w:t>co</w:t>
      </w:r>
      <w:r w:rsidR="006D3835" w:rsidRPr="00A552CE">
        <w:rPr>
          <w:rFonts w:ascii="Verdana" w:hAnsi="Verdana"/>
          <w:sz w:val="22"/>
          <w:szCs w:val="22"/>
          <w:lang w:val="es-ES" w:eastAsia="en-US"/>
        </w:rPr>
        <w:t xml:space="preserve"> pro</w:t>
      </w:r>
      <w:r w:rsidRPr="00A552CE">
        <w:rPr>
          <w:rFonts w:ascii="Verdana" w:hAnsi="Verdana"/>
          <w:sz w:val="22"/>
          <w:szCs w:val="22"/>
          <w:lang w:val="es-ES" w:eastAsia="en-US"/>
        </w:rPr>
        <w:t>metedor</w:t>
      </w:r>
      <w:r w:rsidR="006D3835" w:rsidRPr="00A552CE">
        <w:rPr>
          <w:rFonts w:ascii="Verdana" w:hAnsi="Verdana"/>
          <w:sz w:val="22"/>
          <w:szCs w:val="22"/>
          <w:lang w:val="es-ES" w:eastAsia="en-US"/>
        </w:rPr>
        <w:t xml:space="preserve"> para combatir la COVID-19 y sus secuelas.</w:t>
      </w:r>
    </w:p>
    <w:p w:rsidR="00A552CE" w:rsidRDefault="00A552CE" w:rsidP="00A552CE">
      <w:pPr>
        <w:pStyle w:val="author"/>
        <w:rPr>
          <w:lang w:val="es-ES" w:eastAsia="en-US"/>
        </w:rPr>
      </w:pPr>
      <w:r>
        <w:rPr>
          <w:lang w:val="es-ES" w:eastAsia="en-US"/>
        </w:rPr>
        <w:br w:type="page"/>
      </w:r>
    </w:p>
    <w:p w:rsidR="000350F0" w:rsidRPr="00A552CE" w:rsidRDefault="000350F0">
      <w:pPr>
        <w:pStyle w:val="heading1withoutNr"/>
        <w:rPr>
          <w:rStyle w:val="AbsatzNormal"/>
          <w:rFonts w:ascii="Verdana" w:hAnsi="Verdana"/>
          <w:sz w:val="22"/>
          <w:szCs w:val="22"/>
          <w:lang w:val="es-ES"/>
        </w:rPr>
      </w:pPr>
      <w:r w:rsidRPr="00A552CE">
        <w:rPr>
          <w:rStyle w:val="initial12"/>
          <w:rFonts w:ascii="Verdana" w:hAnsi="Verdana"/>
          <w:sz w:val="22"/>
          <w:szCs w:val="22"/>
          <w:lang w:val="es-ES"/>
        </w:rPr>
        <w:lastRenderedPageBreak/>
        <w:t>R</w:t>
      </w:r>
      <w:r w:rsidRPr="00A552CE">
        <w:rPr>
          <w:rStyle w:val="AbsatzNormal"/>
          <w:rFonts w:ascii="Verdana" w:hAnsi="Verdana"/>
          <w:sz w:val="22"/>
          <w:szCs w:val="22"/>
          <w:lang w:val="es-ES"/>
        </w:rPr>
        <w:t>EFERE</w:t>
      </w:r>
      <w:r w:rsidR="00156A5B" w:rsidRPr="00A552CE">
        <w:rPr>
          <w:rStyle w:val="AbsatzNormal"/>
          <w:rFonts w:ascii="Verdana" w:hAnsi="Verdana"/>
          <w:sz w:val="22"/>
          <w:szCs w:val="22"/>
          <w:lang w:val="es-ES"/>
        </w:rPr>
        <w:t>NCIa</w:t>
      </w:r>
      <w:r w:rsidRPr="00A552CE">
        <w:rPr>
          <w:rStyle w:val="AbsatzNormal"/>
          <w:rFonts w:ascii="Verdana" w:hAnsi="Verdana"/>
          <w:sz w:val="22"/>
          <w:szCs w:val="22"/>
          <w:lang w:val="es-ES"/>
        </w:rPr>
        <w:t xml:space="preserve">S </w:t>
      </w:r>
    </w:p>
    <w:p w:rsidR="001061EA" w:rsidRPr="00A552CE" w:rsidRDefault="001061EA" w:rsidP="001061EA">
      <w:pPr>
        <w:widowControl w:val="0"/>
        <w:autoSpaceDE w:val="0"/>
        <w:autoSpaceDN w:val="0"/>
        <w:adjustRightInd w:val="0"/>
        <w:ind w:left="641" w:hanging="641"/>
        <w:rPr>
          <w:rFonts w:ascii="Verdana" w:hAnsi="Verdana"/>
          <w:sz w:val="22"/>
          <w:szCs w:val="22"/>
        </w:rPr>
      </w:pPr>
      <w:r w:rsidRPr="00A552CE">
        <w:rPr>
          <w:rFonts w:ascii="Verdana" w:hAnsi="Verdana"/>
          <w:sz w:val="22"/>
          <w:szCs w:val="22"/>
          <w:lang w:val="es-ES"/>
        </w:rPr>
        <w:t xml:space="preserve">1. </w:t>
      </w:r>
      <w:r w:rsidRPr="00A552CE">
        <w:rPr>
          <w:rFonts w:ascii="Verdana" w:hAnsi="Verdana"/>
          <w:sz w:val="22"/>
          <w:szCs w:val="22"/>
          <w:lang w:val="es-ES"/>
        </w:rPr>
        <w:tab/>
        <w:t xml:space="preserve">Wang ZJ, Zhang HJ, Lu J, Xu KW, Peng C, Guo J, et al. </w:t>
      </w:r>
      <w:r w:rsidRPr="00A552CE">
        <w:rPr>
          <w:rFonts w:ascii="Verdana" w:hAnsi="Verdana"/>
          <w:sz w:val="22"/>
          <w:szCs w:val="22"/>
        </w:rPr>
        <w:t>Low toxicity and high immunogenicity of an inactivated vaccine candidate against COVID-19 in different animal models. Emerg Microbes Infect [Internet]. 2020 [cited 2022 Jan 20];9(1):2606–18. Available from: https://www.tandfonline.com/doi/abs/10.1080/22221751.2020.1852059</w:t>
      </w:r>
    </w:p>
    <w:p w:rsidR="001061EA" w:rsidRPr="00A552CE" w:rsidRDefault="001061EA" w:rsidP="001061EA">
      <w:pPr>
        <w:widowControl w:val="0"/>
        <w:autoSpaceDE w:val="0"/>
        <w:autoSpaceDN w:val="0"/>
        <w:adjustRightInd w:val="0"/>
        <w:ind w:left="641" w:hanging="641"/>
        <w:rPr>
          <w:rFonts w:ascii="Verdana" w:hAnsi="Verdana"/>
          <w:sz w:val="22"/>
          <w:szCs w:val="22"/>
        </w:rPr>
      </w:pPr>
      <w:r w:rsidRPr="00A552CE">
        <w:rPr>
          <w:rFonts w:ascii="Verdana" w:hAnsi="Verdana"/>
          <w:sz w:val="22"/>
          <w:szCs w:val="22"/>
        </w:rPr>
        <w:t xml:space="preserve">2. </w:t>
      </w:r>
      <w:r w:rsidRPr="00A552CE">
        <w:rPr>
          <w:rFonts w:ascii="Verdana" w:hAnsi="Verdana"/>
          <w:sz w:val="22"/>
          <w:szCs w:val="22"/>
        </w:rPr>
        <w:tab/>
        <w:t>V’kovski P, Kratzel A, Steiner S, Stalder H, Thiel V. Coronavirus biology and replication: implications for SARS-CoV-2. Nat Rev Microbiol [Internet]. 2021 Mar 28 [cited 2021 Nov 29];19(3):155–70. Available from: https://www.nature.com/articles/s41579-020-00468-6</w:t>
      </w:r>
    </w:p>
    <w:p w:rsidR="001061EA" w:rsidRPr="00A552CE" w:rsidRDefault="001061EA" w:rsidP="001061EA">
      <w:pPr>
        <w:widowControl w:val="0"/>
        <w:autoSpaceDE w:val="0"/>
        <w:autoSpaceDN w:val="0"/>
        <w:adjustRightInd w:val="0"/>
        <w:ind w:left="641" w:hanging="641"/>
        <w:rPr>
          <w:rFonts w:ascii="Verdana" w:hAnsi="Verdana"/>
          <w:sz w:val="22"/>
          <w:szCs w:val="22"/>
        </w:rPr>
      </w:pPr>
      <w:r w:rsidRPr="00A552CE">
        <w:rPr>
          <w:rFonts w:ascii="Verdana" w:hAnsi="Verdana"/>
          <w:sz w:val="22"/>
          <w:szCs w:val="22"/>
        </w:rPr>
        <w:t xml:space="preserve">3. </w:t>
      </w:r>
      <w:r w:rsidRPr="00A552CE">
        <w:rPr>
          <w:rFonts w:ascii="Verdana" w:hAnsi="Verdana"/>
          <w:sz w:val="22"/>
          <w:szCs w:val="22"/>
        </w:rPr>
        <w:tab/>
        <w:t>Bradley BT, Maioli H, Johnston R, Chaudhry I, Fink SL, Xu H, et al. Histopathology and ultrastructural findings of fatal COVID-19 infections in Washington State: a case series. Lancet [Internet]. 2020 Aug 1 [cited 2021 Nov 29];396(10247):320–32. Available from: https://pubmed.ncbi.nlm.nih.gov/32682491/</w:t>
      </w:r>
    </w:p>
    <w:p w:rsidR="001061EA" w:rsidRPr="00A552CE" w:rsidRDefault="001061EA" w:rsidP="001061EA">
      <w:pPr>
        <w:widowControl w:val="0"/>
        <w:autoSpaceDE w:val="0"/>
        <w:autoSpaceDN w:val="0"/>
        <w:adjustRightInd w:val="0"/>
        <w:ind w:left="641" w:hanging="641"/>
        <w:rPr>
          <w:rFonts w:ascii="Verdana" w:hAnsi="Verdana"/>
          <w:sz w:val="22"/>
          <w:szCs w:val="22"/>
        </w:rPr>
      </w:pPr>
      <w:r w:rsidRPr="00A552CE">
        <w:rPr>
          <w:rFonts w:ascii="Verdana" w:hAnsi="Verdana"/>
          <w:sz w:val="22"/>
          <w:szCs w:val="22"/>
        </w:rPr>
        <w:t xml:space="preserve">4. </w:t>
      </w:r>
      <w:r w:rsidRPr="00A552CE">
        <w:rPr>
          <w:rFonts w:ascii="Verdana" w:hAnsi="Verdana"/>
          <w:sz w:val="22"/>
          <w:szCs w:val="22"/>
        </w:rPr>
        <w:tab/>
        <w:t>Foronjy RF, Dabo AJ, Taggart CC, Weldon S, Geraghty P. Respiratory syncytial virus infections enhance cigarette smoke induced COPD in mice. PLoS One [Internet]. 2014 Feb 28 [cited 2021 Nov 29];9(2). Available from: /pmc/articles/PMC3938768/</w:t>
      </w:r>
    </w:p>
    <w:p w:rsidR="001061EA" w:rsidRPr="00A552CE" w:rsidRDefault="001061EA" w:rsidP="001061EA">
      <w:pPr>
        <w:widowControl w:val="0"/>
        <w:autoSpaceDE w:val="0"/>
        <w:autoSpaceDN w:val="0"/>
        <w:adjustRightInd w:val="0"/>
        <w:ind w:left="641" w:hanging="641"/>
        <w:rPr>
          <w:rFonts w:ascii="Verdana" w:hAnsi="Verdana"/>
          <w:sz w:val="22"/>
          <w:szCs w:val="22"/>
          <w:lang w:val="es-ES"/>
        </w:rPr>
      </w:pPr>
      <w:r w:rsidRPr="00A552CE">
        <w:rPr>
          <w:rFonts w:ascii="Verdana" w:hAnsi="Verdana"/>
          <w:sz w:val="22"/>
          <w:szCs w:val="22"/>
          <w:lang w:val="es-ES"/>
        </w:rPr>
        <w:t xml:space="preserve">5. </w:t>
      </w:r>
      <w:r w:rsidRPr="00A552CE">
        <w:rPr>
          <w:rFonts w:ascii="Verdana" w:hAnsi="Verdana"/>
          <w:sz w:val="22"/>
          <w:szCs w:val="22"/>
          <w:lang w:val="es-ES"/>
        </w:rPr>
        <w:tab/>
        <w:t xml:space="preserve">Falcón V, Acosta-Rivero N, Chinea G, Gavilondo J, De la Rosa MC, Menéndez I, et al. </w:t>
      </w:r>
      <w:r w:rsidRPr="00A552CE">
        <w:rPr>
          <w:rFonts w:ascii="Verdana" w:hAnsi="Verdana"/>
          <w:sz w:val="22"/>
          <w:szCs w:val="22"/>
        </w:rPr>
        <w:t xml:space="preserve">Ultrastructural evidences of HCV infection in hepatocytes of chronically HCV-infected patients. </w:t>
      </w:r>
      <w:r w:rsidRPr="00A552CE">
        <w:rPr>
          <w:rFonts w:ascii="Verdana" w:hAnsi="Verdana"/>
          <w:sz w:val="22"/>
          <w:szCs w:val="22"/>
          <w:lang w:val="es-ES"/>
        </w:rPr>
        <w:t xml:space="preserve">Biochem Biophys Res Commun. 2003 Jun 13;305(4):1085–90. </w:t>
      </w:r>
    </w:p>
    <w:p w:rsidR="001061EA" w:rsidRPr="00A552CE" w:rsidRDefault="001061EA" w:rsidP="001061EA">
      <w:pPr>
        <w:widowControl w:val="0"/>
        <w:autoSpaceDE w:val="0"/>
        <w:autoSpaceDN w:val="0"/>
        <w:adjustRightInd w:val="0"/>
        <w:ind w:left="641" w:hanging="641"/>
        <w:rPr>
          <w:rFonts w:ascii="Verdana" w:hAnsi="Verdana"/>
          <w:sz w:val="22"/>
          <w:szCs w:val="22"/>
          <w:lang w:val="es-ES"/>
        </w:rPr>
      </w:pPr>
      <w:r w:rsidRPr="00A552CE">
        <w:rPr>
          <w:rFonts w:ascii="Verdana" w:hAnsi="Verdana"/>
          <w:sz w:val="22"/>
          <w:szCs w:val="22"/>
          <w:lang w:val="es-ES"/>
        </w:rPr>
        <w:t xml:space="preserve">6. </w:t>
      </w:r>
      <w:r w:rsidRPr="00A552CE">
        <w:rPr>
          <w:rFonts w:ascii="Verdana" w:hAnsi="Verdana"/>
          <w:sz w:val="22"/>
          <w:szCs w:val="22"/>
          <w:lang w:val="es-ES"/>
        </w:rPr>
        <w:tab/>
        <w:t xml:space="preserve">Cama VF, Marín-Prida J, Acosta-Rivero N, Acosta EF, Díaz LO, Casadesús A V., et al. </w:t>
      </w:r>
      <w:r w:rsidRPr="00A552CE">
        <w:rPr>
          <w:rFonts w:ascii="Verdana" w:hAnsi="Verdana"/>
          <w:sz w:val="22"/>
          <w:szCs w:val="22"/>
        </w:rPr>
        <w:t xml:space="preserve">The microglial NLRP3 inflammasome is involved in human SARS-CoV-2 cerebral pathogenicity: A report of three post-mortem cases. J Neuroimmunol [Internet]. 2021 Sep 15 [cited 2021 Oct 5];361:577728. </w:t>
      </w:r>
      <w:r w:rsidRPr="00A552CE">
        <w:rPr>
          <w:rFonts w:ascii="Verdana" w:hAnsi="Verdana"/>
          <w:sz w:val="22"/>
          <w:szCs w:val="22"/>
          <w:lang w:val="es-ES"/>
        </w:rPr>
        <w:t>Available from: https://linkinghub.elsevier.com/retrieve/pii/S0165572821002551</w:t>
      </w:r>
    </w:p>
    <w:p w:rsidR="001061EA" w:rsidRPr="00A552CE" w:rsidRDefault="001061EA" w:rsidP="001061EA">
      <w:pPr>
        <w:widowControl w:val="0"/>
        <w:autoSpaceDE w:val="0"/>
        <w:autoSpaceDN w:val="0"/>
        <w:adjustRightInd w:val="0"/>
        <w:ind w:left="641" w:hanging="641"/>
        <w:rPr>
          <w:rFonts w:ascii="Verdana" w:hAnsi="Verdana"/>
          <w:sz w:val="22"/>
          <w:szCs w:val="22"/>
        </w:rPr>
      </w:pPr>
      <w:r w:rsidRPr="00A552CE">
        <w:rPr>
          <w:rFonts w:ascii="Verdana" w:hAnsi="Verdana"/>
          <w:sz w:val="22"/>
          <w:szCs w:val="22"/>
          <w:lang w:val="es-ES"/>
        </w:rPr>
        <w:t xml:space="preserve">7. </w:t>
      </w:r>
      <w:r w:rsidRPr="00A552CE">
        <w:rPr>
          <w:rFonts w:ascii="Verdana" w:hAnsi="Verdana"/>
          <w:sz w:val="22"/>
          <w:szCs w:val="22"/>
          <w:lang w:val="es-ES"/>
        </w:rPr>
        <w:tab/>
        <w:t xml:space="preserve">Sanclemente-Alaman I, Moreno-Jiménez L, Benito-Martín MS, Canales-Aguirre A, Matías-Guiu JA, Matías-Guiu J, et al. </w:t>
      </w:r>
      <w:r w:rsidRPr="00A552CE">
        <w:rPr>
          <w:rFonts w:ascii="Verdana" w:hAnsi="Verdana"/>
          <w:sz w:val="22"/>
          <w:szCs w:val="22"/>
        </w:rPr>
        <w:t xml:space="preserve">Experimental Models for the Study of Central Nervous System Infection by SARS-CoV-2. Vol. 11, Frontiers in Immunology. Frontiers Media S.A.; 2020. p. 2163. </w:t>
      </w:r>
    </w:p>
    <w:p w:rsidR="001061EA" w:rsidRPr="00A552CE" w:rsidRDefault="001061EA" w:rsidP="001061EA">
      <w:pPr>
        <w:widowControl w:val="0"/>
        <w:autoSpaceDE w:val="0"/>
        <w:autoSpaceDN w:val="0"/>
        <w:adjustRightInd w:val="0"/>
        <w:ind w:left="641" w:hanging="641"/>
        <w:rPr>
          <w:rFonts w:ascii="Verdana" w:hAnsi="Verdana"/>
          <w:sz w:val="22"/>
          <w:szCs w:val="22"/>
        </w:rPr>
      </w:pPr>
      <w:r w:rsidRPr="00A552CE">
        <w:rPr>
          <w:rFonts w:ascii="Verdana" w:hAnsi="Verdana"/>
          <w:sz w:val="22"/>
          <w:szCs w:val="22"/>
        </w:rPr>
        <w:t xml:space="preserve">8. </w:t>
      </w:r>
      <w:r w:rsidRPr="00A552CE">
        <w:rPr>
          <w:rFonts w:ascii="Verdana" w:hAnsi="Verdana"/>
          <w:sz w:val="22"/>
          <w:szCs w:val="22"/>
        </w:rPr>
        <w:tab/>
        <w:t>Pan R, Zhang Q, Anthony SM, Zhou Y, Zou X, Cassell M, et al. Oligodendrocytes that survive acute coronavirus infection induce prolonged inflammatory responses in the CNS. Proc Natl Acad Sci U S A [Internet]. 2020 Jul 7 [cited 2021 Nov 29];117(27):15902–10. Available from: https://pubmed.ncbi.nlm.nih.gov/32571951/</w:t>
      </w:r>
    </w:p>
    <w:p w:rsidR="001061EA" w:rsidRPr="00A552CE" w:rsidRDefault="001061EA" w:rsidP="001061EA">
      <w:pPr>
        <w:widowControl w:val="0"/>
        <w:autoSpaceDE w:val="0"/>
        <w:autoSpaceDN w:val="0"/>
        <w:adjustRightInd w:val="0"/>
        <w:ind w:left="641" w:hanging="641"/>
        <w:rPr>
          <w:rFonts w:ascii="Verdana" w:hAnsi="Verdana"/>
          <w:sz w:val="22"/>
          <w:szCs w:val="22"/>
        </w:rPr>
      </w:pPr>
      <w:r w:rsidRPr="00A552CE">
        <w:rPr>
          <w:rFonts w:ascii="Verdana" w:hAnsi="Verdana"/>
          <w:sz w:val="22"/>
          <w:szCs w:val="22"/>
        </w:rPr>
        <w:t xml:space="preserve">9. </w:t>
      </w:r>
      <w:r w:rsidRPr="00A552CE">
        <w:rPr>
          <w:rFonts w:ascii="Verdana" w:hAnsi="Verdana"/>
          <w:sz w:val="22"/>
          <w:szCs w:val="22"/>
        </w:rPr>
        <w:tab/>
        <w:t>Thakur KT, Miller EH, Glendinning MD, Al-Dalahmah O, Banu MA, Boehme AK, et al. COVID-19 neuropathology at Columbia University Irving Medical Center/New York Presbyterian Hospital. Brain [Internet]. 2021 Oct 22 [cited 2021 Nov 29];144(9):2696–708. Available from: https://pubmed.ncbi.nlm.nih.gov/33856027/</w:t>
      </w:r>
    </w:p>
    <w:p w:rsidR="001061EA" w:rsidRPr="00A552CE" w:rsidRDefault="001061EA" w:rsidP="001061EA">
      <w:pPr>
        <w:widowControl w:val="0"/>
        <w:autoSpaceDE w:val="0"/>
        <w:autoSpaceDN w:val="0"/>
        <w:adjustRightInd w:val="0"/>
        <w:ind w:left="641" w:hanging="641"/>
        <w:rPr>
          <w:rFonts w:ascii="Verdana" w:hAnsi="Verdana"/>
          <w:sz w:val="22"/>
          <w:szCs w:val="22"/>
        </w:rPr>
      </w:pPr>
      <w:r w:rsidRPr="00A552CE">
        <w:rPr>
          <w:rFonts w:ascii="Verdana" w:hAnsi="Verdana"/>
          <w:sz w:val="22"/>
          <w:szCs w:val="22"/>
        </w:rPr>
        <w:t xml:space="preserve">10. </w:t>
      </w:r>
      <w:r w:rsidRPr="00A552CE">
        <w:rPr>
          <w:rFonts w:ascii="Verdana" w:hAnsi="Verdana"/>
          <w:sz w:val="22"/>
          <w:szCs w:val="22"/>
        </w:rPr>
        <w:tab/>
        <w:t>Pentón-Rol G, Marín-Prida J, McCarty MF. C-Phycocyanin-derived Phycocyanobilin as a Potential Nutraceutical Approach for Major Neurodegenerative Disorders and COVID-19-induced Damage to the Nervous System. Curr Neuropharmacol [Internet]. 2021 Apr 8 [cited 2021 Nov 29];19. Available from: https://europepmc.org/article/med/33829974</w:t>
      </w:r>
    </w:p>
    <w:p w:rsidR="00EC29ED" w:rsidRPr="001061EA" w:rsidRDefault="001061EA" w:rsidP="00A552CE">
      <w:pPr>
        <w:widowControl w:val="0"/>
        <w:autoSpaceDE w:val="0"/>
        <w:autoSpaceDN w:val="0"/>
        <w:adjustRightInd w:val="0"/>
        <w:ind w:left="641" w:hanging="641"/>
      </w:pPr>
      <w:r w:rsidRPr="00A552CE">
        <w:rPr>
          <w:rFonts w:ascii="Verdana" w:hAnsi="Verdana"/>
          <w:sz w:val="22"/>
          <w:szCs w:val="22"/>
        </w:rPr>
        <w:t xml:space="preserve">11. </w:t>
      </w:r>
      <w:r w:rsidRPr="00A552CE">
        <w:rPr>
          <w:rFonts w:ascii="Verdana" w:hAnsi="Verdana"/>
          <w:sz w:val="22"/>
          <w:szCs w:val="22"/>
        </w:rPr>
        <w:tab/>
        <w:t>Fan H, Tang X, Song Y, Liu P, Chen Y. Influence of covid-19 on cerebrovascular disease and its possible mechanism. Neuropsychiatr Dis Treat [Internet]. 2020 [cited 2021 Nov 29];16:1359–67. Available from: https://pubmed.ncbi.nlm.nih.gov/32547039/</w:t>
      </w:r>
    </w:p>
    <w:p w:rsidR="000350F0" w:rsidRPr="009563E9" w:rsidRDefault="000350F0">
      <w:pPr>
        <w:pStyle w:val="End"/>
      </w:pPr>
    </w:p>
    <w:p w:rsidR="009563E9" w:rsidRDefault="009563E9">
      <w:pPr>
        <w:pStyle w:val="End"/>
      </w:pPr>
    </w:p>
    <w:sectPr w:rsidR="009563E9" w:rsidSect="00A552CE">
      <w:headerReference w:type="default" r:id="rId14"/>
      <w:pgSz w:w="11907" w:h="15819" w:code="218"/>
      <w:pgMar w:top="1417" w:right="794" w:bottom="1560" w:left="1077" w:header="850"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F6C" w:rsidRDefault="00A67F6C">
      <w:r>
        <w:separator/>
      </w:r>
    </w:p>
  </w:endnote>
  <w:endnote w:type="continuationSeparator" w:id="0">
    <w:p w:rsidR="00A67F6C" w:rsidRDefault="00A6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321586"/>
      <w:docPartObj>
        <w:docPartGallery w:val="Page Numbers (Bottom of Page)"/>
        <w:docPartUnique/>
      </w:docPartObj>
    </w:sdtPr>
    <w:sdtEndPr/>
    <w:sdtContent>
      <w:p w:rsidR="00A552CE" w:rsidRDefault="00A552CE" w:rsidP="00A552CE">
        <w:pPr>
          <w:pStyle w:val="Piedepgina"/>
          <w:jc w:val="right"/>
        </w:pPr>
        <w:r>
          <w:fldChar w:fldCharType="begin"/>
        </w:r>
        <w:r>
          <w:instrText>PAGE   \* MERGEFORMAT</w:instrText>
        </w:r>
        <w:r>
          <w:fldChar w:fldCharType="separate"/>
        </w:r>
        <w:r w:rsidR="00C417E8" w:rsidRPr="00C417E8">
          <w:rPr>
            <w:noProof/>
            <w:lang w:val="es-ES"/>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F6C" w:rsidRDefault="00A67F6C">
      <w:pPr>
        <w:pStyle w:val="p1a"/>
      </w:pPr>
      <w:r>
        <w:separator/>
      </w:r>
    </w:p>
  </w:footnote>
  <w:footnote w:type="continuationSeparator" w:id="0">
    <w:p w:rsidR="00A67F6C" w:rsidRDefault="00A67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6C" w:rsidRPr="00A552CE" w:rsidRDefault="00A552CE" w:rsidP="00A552CE">
    <w:pPr>
      <w:tabs>
        <w:tab w:val="left" w:pos="2268"/>
      </w:tabs>
      <w:spacing w:line="360" w:lineRule="auto"/>
      <w:ind w:right="-376"/>
      <w:rPr>
        <w:lang w:val="es-ES"/>
      </w:rPr>
    </w:pPr>
    <w:r w:rsidRPr="003D1BEB">
      <w:rPr>
        <w:b/>
        <w:color w:val="C45911"/>
        <w:sz w:val="32"/>
        <w:szCs w:val="32"/>
        <w:lang w:val="es-ES"/>
      </w:rPr>
      <w:t>Morfovirtual 2022. VI Congreso virtual de Ciencias Morfológicas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2CE" w:rsidRPr="00A552CE" w:rsidRDefault="00A552CE" w:rsidP="00A552C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CB4691C"/>
    <w:lvl w:ilvl="0">
      <w:start w:val="1"/>
      <w:numFmt w:val="decimal"/>
      <w:lvlText w:val="%1."/>
      <w:lvlJc w:val="left"/>
      <w:pPr>
        <w:tabs>
          <w:tab w:val="num" w:pos="1492"/>
        </w:tabs>
        <w:ind w:left="1492" w:hanging="360"/>
      </w:pPr>
    </w:lvl>
  </w:abstractNum>
  <w:abstractNum w:abstractNumId="1">
    <w:nsid w:val="FFFFFF7D"/>
    <w:multiLevelType w:val="singleLevel"/>
    <w:tmpl w:val="0A220B58"/>
    <w:lvl w:ilvl="0">
      <w:start w:val="1"/>
      <w:numFmt w:val="decimal"/>
      <w:lvlText w:val="%1."/>
      <w:lvlJc w:val="left"/>
      <w:pPr>
        <w:tabs>
          <w:tab w:val="num" w:pos="1209"/>
        </w:tabs>
        <w:ind w:left="1209" w:hanging="360"/>
      </w:pPr>
    </w:lvl>
  </w:abstractNum>
  <w:abstractNum w:abstractNumId="2">
    <w:nsid w:val="FFFFFF7E"/>
    <w:multiLevelType w:val="singleLevel"/>
    <w:tmpl w:val="8968C390"/>
    <w:lvl w:ilvl="0">
      <w:start w:val="1"/>
      <w:numFmt w:val="decimal"/>
      <w:lvlText w:val="%1."/>
      <w:lvlJc w:val="left"/>
      <w:pPr>
        <w:tabs>
          <w:tab w:val="num" w:pos="926"/>
        </w:tabs>
        <w:ind w:left="926" w:hanging="360"/>
      </w:pPr>
    </w:lvl>
  </w:abstractNum>
  <w:abstractNum w:abstractNumId="3">
    <w:nsid w:val="FFFFFF7F"/>
    <w:multiLevelType w:val="singleLevel"/>
    <w:tmpl w:val="B67639D8"/>
    <w:lvl w:ilvl="0">
      <w:start w:val="1"/>
      <w:numFmt w:val="decimal"/>
      <w:lvlText w:val="%1."/>
      <w:lvlJc w:val="left"/>
      <w:pPr>
        <w:tabs>
          <w:tab w:val="num" w:pos="643"/>
        </w:tabs>
        <w:ind w:left="643" w:hanging="360"/>
      </w:pPr>
    </w:lvl>
  </w:abstractNum>
  <w:abstractNum w:abstractNumId="4">
    <w:nsid w:val="FFFFFF80"/>
    <w:multiLevelType w:val="singleLevel"/>
    <w:tmpl w:val="F34E8E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5C07C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CA625DC"/>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6F5A2E8C"/>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0FC661D6"/>
    <w:lvl w:ilvl="0">
      <w:start w:val="1"/>
      <w:numFmt w:val="decimal"/>
      <w:lvlText w:val="%1."/>
      <w:lvlJc w:val="left"/>
      <w:pPr>
        <w:tabs>
          <w:tab w:val="num" w:pos="360"/>
        </w:tabs>
        <w:ind w:left="360" w:hanging="360"/>
      </w:pPr>
    </w:lvl>
  </w:abstractNum>
  <w:abstractNum w:abstractNumId="9">
    <w:nsid w:val="FFFFFF89"/>
    <w:multiLevelType w:val="singleLevel"/>
    <w:tmpl w:val="5888E0CC"/>
    <w:lvl w:ilvl="0">
      <w:start w:val="1"/>
      <w:numFmt w:val="bullet"/>
      <w:lvlText w:val=""/>
      <w:lvlJc w:val="left"/>
      <w:pPr>
        <w:tabs>
          <w:tab w:val="num" w:pos="360"/>
        </w:tabs>
        <w:ind w:left="360" w:hanging="360"/>
      </w:pPr>
      <w:rPr>
        <w:rFonts w:ascii="Symbol" w:hAnsi="Symbol" w:hint="default"/>
      </w:rPr>
    </w:lvl>
  </w:abstractNum>
  <w:abstractNum w:abstractNumId="10">
    <w:nsid w:val="01D622E5"/>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59D7E5B"/>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7870756"/>
    <w:multiLevelType w:val="multilevel"/>
    <w:tmpl w:val="1512D6F0"/>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A3A14B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0C9862C1"/>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D1C21C7"/>
    <w:multiLevelType w:val="multilevel"/>
    <w:tmpl w:val="984AE43A"/>
    <w:lvl w:ilvl="0">
      <w:start w:val="1"/>
      <w:numFmt w:val="upperRoman"/>
      <w:pStyle w:val="Ttulo1"/>
      <w:suff w:val="space"/>
      <w:lvlText w:val="%1."/>
      <w:lvlJc w:val="center"/>
      <w:pPr>
        <w:ind w:left="0" w:firstLine="0"/>
      </w:pPr>
      <w:rPr>
        <w:rFonts w:ascii="Times New Roman" w:hAnsi="Times New Roman" w:hint="default"/>
        <w:sz w:val="24"/>
        <w:szCs w:val="20"/>
        <w:lang w:val="es-VE"/>
      </w:rPr>
    </w:lvl>
    <w:lvl w:ilvl="1">
      <w:start w:val="1"/>
      <w:numFmt w:val="upperLetter"/>
      <w:pStyle w:val="Ttulo2"/>
      <w:suff w:val="space"/>
      <w:lvlText w:val="%2."/>
      <w:lvlJc w:val="left"/>
      <w:pPr>
        <w:ind w:left="5324" w:firstLine="0"/>
      </w:pPr>
      <w:rPr>
        <w:rFonts w:hint="default"/>
        <w:sz w:val="24"/>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6">
    <w:nsid w:val="104B44E0"/>
    <w:multiLevelType w:val="multilevel"/>
    <w:tmpl w:val="2E1E94CE"/>
    <w:lvl w:ilvl="0">
      <w:start w:val="1"/>
      <w:numFmt w:val="upperRoman"/>
      <w:suff w:val="space"/>
      <w:lvlText w:val="%1."/>
      <w:lvlJc w:val="center"/>
      <w:pPr>
        <w:ind w:left="0" w:firstLine="0"/>
      </w:pPr>
      <w:rPr>
        <w:rFonts w:hint="default"/>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7">
    <w:nsid w:val="1B5B3AA9"/>
    <w:multiLevelType w:val="multilevel"/>
    <w:tmpl w:val="98962F20"/>
    <w:lvl w:ilvl="0">
      <w:start w:val="1"/>
      <w:numFmt w:val="upperRoman"/>
      <w:suff w:val="space"/>
      <w:lvlText w:val="%1."/>
      <w:lvlJc w:val="center"/>
      <w:pPr>
        <w:ind w:left="0" w:firstLine="288"/>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2AB80C4F"/>
    <w:multiLevelType w:val="multilevel"/>
    <w:tmpl w:val="DBD4FC84"/>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9">
    <w:nsid w:val="2C892D97"/>
    <w:multiLevelType w:val="multilevel"/>
    <w:tmpl w:val="90F23324"/>
    <w:lvl w:ilvl="0">
      <w:start w:val="1"/>
      <w:numFmt w:val="upperRoman"/>
      <w:lvlText w:val="%1)"/>
      <w:lvlJc w:val="center"/>
      <w:pPr>
        <w:tabs>
          <w:tab w:val="num" w:pos="700"/>
        </w:tabs>
        <w:ind w:left="700" w:hanging="72"/>
      </w:pPr>
      <w:rPr>
        <w:rFonts w:hint="default"/>
      </w:rPr>
    </w:lvl>
    <w:lvl w:ilvl="1">
      <w:start w:val="1"/>
      <w:numFmt w:val="upperLetter"/>
      <w:lvlText w:val="%2)"/>
      <w:lvlJc w:val="left"/>
      <w:pPr>
        <w:tabs>
          <w:tab w:val="num" w:pos="1060"/>
        </w:tabs>
        <w:ind w:left="1060" w:hanging="36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0">
    <w:nsid w:val="331019A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nsid w:val="33685599"/>
    <w:multiLevelType w:val="hybridMultilevel"/>
    <w:tmpl w:val="41748F5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2">
    <w:nsid w:val="34FE3BE4"/>
    <w:multiLevelType w:val="multilevel"/>
    <w:tmpl w:val="9246F9D8"/>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35CE5D9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3A877D64"/>
    <w:multiLevelType w:val="singleLevel"/>
    <w:tmpl w:val="74FC88DC"/>
    <w:lvl w:ilvl="0">
      <w:start w:val="1"/>
      <w:numFmt w:val="decimal"/>
      <w:lvlText w:val="%1."/>
      <w:lvlJc w:val="left"/>
      <w:pPr>
        <w:tabs>
          <w:tab w:val="num" w:pos="340"/>
        </w:tabs>
        <w:ind w:left="340" w:hanging="340"/>
      </w:pPr>
      <w:rPr>
        <w:rFonts w:hint="default"/>
      </w:rPr>
    </w:lvl>
  </w:abstractNum>
  <w:abstractNum w:abstractNumId="25">
    <w:nsid w:val="3BC40E7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D674E0F"/>
    <w:multiLevelType w:val="multilevel"/>
    <w:tmpl w:val="0972CC8A"/>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3FED3A76"/>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8">
    <w:nsid w:val="4402336F"/>
    <w:multiLevelType w:val="multilevel"/>
    <w:tmpl w:val="0AF23DB8"/>
    <w:lvl w:ilvl="0">
      <w:start w:val="1"/>
      <w:numFmt w:val="upperRoman"/>
      <w:suff w:val="space"/>
      <w:lvlText w:val="%1."/>
      <w:lvlJc w:val="center"/>
      <w:pPr>
        <w:ind w:left="0" w:firstLine="0"/>
      </w:pPr>
      <w:rPr>
        <w:rFonts w:ascii="Times New Roman" w:hAnsi="Times New Roman" w:hint="default"/>
        <w:sz w:val="22"/>
        <w:szCs w:val="22"/>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9">
    <w:nsid w:val="466D79A3"/>
    <w:multiLevelType w:val="hybridMultilevel"/>
    <w:tmpl w:val="20B297AA"/>
    <w:lvl w:ilvl="0" w:tplc="6706CA0E">
      <w:start w:val="1"/>
      <w:numFmt w:val="upperLetter"/>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30">
    <w:nsid w:val="47E55427"/>
    <w:multiLevelType w:val="hybridMultilevel"/>
    <w:tmpl w:val="3FF05840"/>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start w:val="1"/>
      <w:numFmt w:val="bullet"/>
      <w:lvlText w:val="-"/>
      <w:lvlJc w:val="left"/>
      <w:pPr>
        <w:tabs>
          <w:tab w:val="num" w:pos="1363"/>
        </w:tabs>
        <w:ind w:left="1363" w:hanging="283"/>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4C7724D4"/>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2">
    <w:nsid w:val="51777A4C"/>
    <w:multiLevelType w:val="hybridMultilevel"/>
    <w:tmpl w:val="FC5CD7FA"/>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53AA741D"/>
    <w:multiLevelType w:val="hybridMultilevel"/>
    <w:tmpl w:val="E848D12A"/>
    <w:lvl w:ilvl="0" w:tplc="5C0A0001">
      <w:start w:val="1"/>
      <w:numFmt w:val="bullet"/>
      <w:lvlText w:val=""/>
      <w:lvlJc w:val="left"/>
      <w:pPr>
        <w:ind w:left="947" w:hanging="360"/>
      </w:pPr>
      <w:rPr>
        <w:rFonts w:ascii="Symbol" w:hAnsi="Symbol" w:hint="default"/>
      </w:rPr>
    </w:lvl>
    <w:lvl w:ilvl="1" w:tplc="BDF637A8">
      <w:numFmt w:val="bullet"/>
      <w:lvlText w:val="•"/>
      <w:lvlJc w:val="left"/>
      <w:pPr>
        <w:ind w:left="1667" w:hanging="360"/>
      </w:pPr>
      <w:rPr>
        <w:rFonts w:ascii="Times New Roman" w:eastAsia="Batang" w:hAnsi="Times New Roman" w:cs="Times New Roman" w:hint="default"/>
      </w:rPr>
    </w:lvl>
    <w:lvl w:ilvl="2" w:tplc="5C0A0005" w:tentative="1">
      <w:start w:val="1"/>
      <w:numFmt w:val="bullet"/>
      <w:lvlText w:val=""/>
      <w:lvlJc w:val="left"/>
      <w:pPr>
        <w:ind w:left="2387" w:hanging="360"/>
      </w:pPr>
      <w:rPr>
        <w:rFonts w:ascii="Wingdings" w:hAnsi="Wingdings" w:hint="default"/>
      </w:rPr>
    </w:lvl>
    <w:lvl w:ilvl="3" w:tplc="5C0A0001" w:tentative="1">
      <w:start w:val="1"/>
      <w:numFmt w:val="bullet"/>
      <w:lvlText w:val=""/>
      <w:lvlJc w:val="left"/>
      <w:pPr>
        <w:ind w:left="3107" w:hanging="360"/>
      </w:pPr>
      <w:rPr>
        <w:rFonts w:ascii="Symbol" w:hAnsi="Symbol" w:hint="default"/>
      </w:rPr>
    </w:lvl>
    <w:lvl w:ilvl="4" w:tplc="5C0A0003" w:tentative="1">
      <w:start w:val="1"/>
      <w:numFmt w:val="bullet"/>
      <w:lvlText w:val="o"/>
      <w:lvlJc w:val="left"/>
      <w:pPr>
        <w:ind w:left="3827" w:hanging="360"/>
      </w:pPr>
      <w:rPr>
        <w:rFonts w:ascii="Courier New" w:hAnsi="Courier New" w:cs="Courier New" w:hint="default"/>
      </w:rPr>
    </w:lvl>
    <w:lvl w:ilvl="5" w:tplc="5C0A0005" w:tentative="1">
      <w:start w:val="1"/>
      <w:numFmt w:val="bullet"/>
      <w:lvlText w:val=""/>
      <w:lvlJc w:val="left"/>
      <w:pPr>
        <w:ind w:left="4547" w:hanging="360"/>
      </w:pPr>
      <w:rPr>
        <w:rFonts w:ascii="Wingdings" w:hAnsi="Wingdings" w:hint="default"/>
      </w:rPr>
    </w:lvl>
    <w:lvl w:ilvl="6" w:tplc="5C0A0001" w:tentative="1">
      <w:start w:val="1"/>
      <w:numFmt w:val="bullet"/>
      <w:lvlText w:val=""/>
      <w:lvlJc w:val="left"/>
      <w:pPr>
        <w:ind w:left="5267" w:hanging="360"/>
      </w:pPr>
      <w:rPr>
        <w:rFonts w:ascii="Symbol" w:hAnsi="Symbol" w:hint="default"/>
      </w:rPr>
    </w:lvl>
    <w:lvl w:ilvl="7" w:tplc="5C0A0003" w:tentative="1">
      <w:start w:val="1"/>
      <w:numFmt w:val="bullet"/>
      <w:lvlText w:val="o"/>
      <w:lvlJc w:val="left"/>
      <w:pPr>
        <w:ind w:left="5987" w:hanging="360"/>
      </w:pPr>
      <w:rPr>
        <w:rFonts w:ascii="Courier New" w:hAnsi="Courier New" w:cs="Courier New" w:hint="default"/>
      </w:rPr>
    </w:lvl>
    <w:lvl w:ilvl="8" w:tplc="5C0A0005" w:tentative="1">
      <w:start w:val="1"/>
      <w:numFmt w:val="bullet"/>
      <w:lvlText w:val=""/>
      <w:lvlJc w:val="left"/>
      <w:pPr>
        <w:ind w:left="6707" w:hanging="360"/>
      </w:pPr>
      <w:rPr>
        <w:rFonts w:ascii="Wingdings" w:hAnsi="Wingdings" w:hint="default"/>
      </w:rPr>
    </w:lvl>
  </w:abstractNum>
  <w:abstractNum w:abstractNumId="34">
    <w:nsid w:val="65C1578F"/>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6C647E41"/>
    <w:multiLevelType w:val="hybridMultilevel"/>
    <w:tmpl w:val="BAA85680"/>
    <w:lvl w:ilvl="0" w:tplc="558C73A4">
      <w:start w:val="1"/>
      <w:numFmt w:val="bullet"/>
      <w:lvlText w:val=""/>
      <w:lvlJc w:val="left"/>
      <w:pPr>
        <w:tabs>
          <w:tab w:val="num" w:pos="1790"/>
        </w:tabs>
        <w:ind w:left="1790" w:hanging="360"/>
      </w:pPr>
      <w:rPr>
        <w:rFonts w:ascii="Symbol" w:hAnsi="Symbol" w:hint="default"/>
        <w:sz w:val="20"/>
      </w:rPr>
    </w:lvl>
    <w:lvl w:ilvl="1" w:tplc="A0B24EC4">
      <w:start w:val="1"/>
      <w:numFmt w:val="bullet"/>
      <w:lvlText w:val=""/>
      <w:lvlJc w:val="left"/>
      <w:pPr>
        <w:tabs>
          <w:tab w:val="num" w:pos="2700"/>
        </w:tabs>
        <w:ind w:left="2700" w:hanging="1282"/>
      </w:pPr>
      <w:rPr>
        <w:rFonts w:ascii="Symbol" w:hAnsi="Symbol" w:hint="default"/>
        <w:sz w:val="20"/>
      </w:rPr>
    </w:lvl>
    <w:lvl w:ilvl="2" w:tplc="04070005" w:tentative="1">
      <w:start w:val="1"/>
      <w:numFmt w:val="bullet"/>
      <w:lvlText w:val=""/>
      <w:lvlJc w:val="left"/>
      <w:pPr>
        <w:tabs>
          <w:tab w:val="num" w:pos="3420"/>
        </w:tabs>
        <w:ind w:left="3420" w:hanging="360"/>
      </w:pPr>
      <w:rPr>
        <w:rFonts w:ascii="Wingdings" w:hAnsi="Wingdings" w:hint="default"/>
      </w:rPr>
    </w:lvl>
    <w:lvl w:ilvl="3" w:tplc="04070001" w:tentative="1">
      <w:start w:val="1"/>
      <w:numFmt w:val="bullet"/>
      <w:lvlText w:val=""/>
      <w:lvlJc w:val="left"/>
      <w:pPr>
        <w:tabs>
          <w:tab w:val="num" w:pos="4140"/>
        </w:tabs>
        <w:ind w:left="4140" w:hanging="360"/>
      </w:pPr>
      <w:rPr>
        <w:rFonts w:ascii="Symbol" w:hAnsi="Symbol" w:hint="default"/>
      </w:rPr>
    </w:lvl>
    <w:lvl w:ilvl="4" w:tplc="04070003" w:tentative="1">
      <w:start w:val="1"/>
      <w:numFmt w:val="bullet"/>
      <w:lvlText w:val="o"/>
      <w:lvlJc w:val="left"/>
      <w:pPr>
        <w:tabs>
          <w:tab w:val="num" w:pos="4860"/>
        </w:tabs>
        <w:ind w:left="4860" w:hanging="360"/>
      </w:pPr>
      <w:rPr>
        <w:rFonts w:ascii="Courier New" w:hAnsi="Courier New" w:cs="Courier New" w:hint="default"/>
      </w:rPr>
    </w:lvl>
    <w:lvl w:ilvl="5" w:tplc="04070005" w:tentative="1">
      <w:start w:val="1"/>
      <w:numFmt w:val="bullet"/>
      <w:lvlText w:val=""/>
      <w:lvlJc w:val="left"/>
      <w:pPr>
        <w:tabs>
          <w:tab w:val="num" w:pos="5580"/>
        </w:tabs>
        <w:ind w:left="5580" w:hanging="360"/>
      </w:pPr>
      <w:rPr>
        <w:rFonts w:ascii="Wingdings" w:hAnsi="Wingdings" w:hint="default"/>
      </w:rPr>
    </w:lvl>
    <w:lvl w:ilvl="6" w:tplc="04070001" w:tentative="1">
      <w:start w:val="1"/>
      <w:numFmt w:val="bullet"/>
      <w:lvlText w:val=""/>
      <w:lvlJc w:val="left"/>
      <w:pPr>
        <w:tabs>
          <w:tab w:val="num" w:pos="6300"/>
        </w:tabs>
        <w:ind w:left="6300" w:hanging="360"/>
      </w:pPr>
      <w:rPr>
        <w:rFonts w:ascii="Symbol" w:hAnsi="Symbol" w:hint="default"/>
      </w:rPr>
    </w:lvl>
    <w:lvl w:ilvl="7" w:tplc="04070003" w:tentative="1">
      <w:start w:val="1"/>
      <w:numFmt w:val="bullet"/>
      <w:lvlText w:val="o"/>
      <w:lvlJc w:val="left"/>
      <w:pPr>
        <w:tabs>
          <w:tab w:val="num" w:pos="7020"/>
        </w:tabs>
        <w:ind w:left="7020" w:hanging="360"/>
      </w:pPr>
      <w:rPr>
        <w:rFonts w:ascii="Courier New" w:hAnsi="Courier New" w:cs="Courier New" w:hint="default"/>
      </w:rPr>
    </w:lvl>
    <w:lvl w:ilvl="8" w:tplc="04070005" w:tentative="1">
      <w:start w:val="1"/>
      <w:numFmt w:val="bullet"/>
      <w:lvlText w:val=""/>
      <w:lvlJc w:val="left"/>
      <w:pPr>
        <w:tabs>
          <w:tab w:val="num" w:pos="7740"/>
        </w:tabs>
        <w:ind w:left="7740" w:hanging="360"/>
      </w:pPr>
      <w:rPr>
        <w:rFonts w:ascii="Wingdings" w:hAnsi="Wingdings" w:hint="default"/>
      </w:rPr>
    </w:lvl>
  </w:abstractNum>
  <w:abstractNum w:abstractNumId="36">
    <w:nsid w:val="6E7B21ED"/>
    <w:multiLevelType w:val="multilevel"/>
    <w:tmpl w:val="BFB64BB6"/>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6F171060"/>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6FEB491A"/>
    <w:multiLevelType w:val="multilevel"/>
    <w:tmpl w:val="D0D4FBF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71190B32"/>
    <w:multiLevelType w:val="multilevel"/>
    <w:tmpl w:val="8C3E8B7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2"/>
  </w:num>
  <w:num w:numId="2">
    <w:abstractNumId w:val="24"/>
  </w:num>
  <w:num w:numId="3">
    <w:abstractNumId w:val="22"/>
  </w:num>
  <w:num w:numId="4">
    <w:abstractNumId w:val="19"/>
  </w:num>
  <w:num w:numId="5">
    <w:abstractNumId w:val="17"/>
  </w:num>
  <w:num w:numId="6">
    <w:abstractNumId w:val="39"/>
  </w:num>
  <w:num w:numId="7">
    <w:abstractNumId w:val="38"/>
  </w:num>
  <w:num w:numId="8">
    <w:abstractNumId w:val="15"/>
  </w:num>
  <w:num w:numId="9">
    <w:abstractNumId w:val="16"/>
  </w:num>
  <w:num w:numId="10">
    <w:abstractNumId w:val="28"/>
  </w:num>
  <w:num w:numId="11">
    <w:abstractNumId w:val="18"/>
  </w:num>
  <w:num w:numId="12">
    <w:abstractNumId w:val="31"/>
  </w:num>
  <w:num w:numId="13">
    <w:abstractNumId w:val="4"/>
  </w:num>
  <w:num w:numId="14">
    <w:abstractNumId w:val="6"/>
  </w:num>
  <w:num w:numId="15">
    <w:abstractNumId w:val="5"/>
  </w:num>
  <w:num w:numId="16">
    <w:abstractNumId w:val="9"/>
  </w:num>
  <w:num w:numId="17">
    <w:abstractNumId w:val="7"/>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25"/>
  </w:num>
  <w:num w:numId="25">
    <w:abstractNumId w:val="11"/>
  </w:num>
  <w:num w:numId="26">
    <w:abstractNumId w:val="26"/>
  </w:num>
  <w:num w:numId="27">
    <w:abstractNumId w:val="36"/>
  </w:num>
  <w:num w:numId="28">
    <w:abstractNumId w:val="10"/>
  </w:num>
  <w:num w:numId="29">
    <w:abstractNumId w:val="37"/>
  </w:num>
  <w:num w:numId="30">
    <w:abstractNumId w:val="34"/>
  </w:num>
  <w:num w:numId="31">
    <w:abstractNumId w:val="14"/>
  </w:num>
  <w:num w:numId="32">
    <w:abstractNumId w:val="13"/>
  </w:num>
  <w:num w:numId="33">
    <w:abstractNumId w:val="32"/>
  </w:num>
  <w:num w:numId="34">
    <w:abstractNumId w:val="30"/>
  </w:num>
  <w:num w:numId="35">
    <w:abstractNumId w:val="23"/>
  </w:num>
  <w:num w:numId="36">
    <w:abstractNumId w:val="27"/>
  </w:num>
  <w:num w:numId="37">
    <w:abstractNumId w:val="35"/>
  </w:num>
  <w:num w:numId="38">
    <w:abstractNumId w:val="29"/>
  </w:num>
  <w:num w:numId="39">
    <w:abstractNumId w:val="33"/>
  </w:num>
  <w:num w:numId="40">
    <w:abstractNumId w:val="21"/>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en-US"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ko-KR" w:vendorID="64" w:dllVersion="131077" w:nlCheck="1" w:checkStyle="1"/>
  <w:activeWritingStyle w:appName="MSWord" w:lang="es-VE"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
  <w:hyphenationZone w:val="425"/>
  <w:doNotHyphenateCaps/>
  <w:drawingGridHorizontalSpacing w:val="57"/>
  <w:drawingGridVerticalSpacing w:val="57"/>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F5"/>
    <w:rsid w:val="00000C92"/>
    <w:rsid w:val="0000144B"/>
    <w:rsid w:val="00003A16"/>
    <w:rsid w:val="00003ABA"/>
    <w:rsid w:val="000127AC"/>
    <w:rsid w:val="000159D7"/>
    <w:rsid w:val="00025EA6"/>
    <w:rsid w:val="00032822"/>
    <w:rsid w:val="000350F0"/>
    <w:rsid w:val="00040CE9"/>
    <w:rsid w:val="00052F05"/>
    <w:rsid w:val="00061520"/>
    <w:rsid w:val="0006445C"/>
    <w:rsid w:val="000677AF"/>
    <w:rsid w:val="00073513"/>
    <w:rsid w:val="00082429"/>
    <w:rsid w:val="00090BF7"/>
    <w:rsid w:val="000A10D9"/>
    <w:rsid w:val="000A677E"/>
    <w:rsid w:val="000D2C21"/>
    <w:rsid w:val="000D366A"/>
    <w:rsid w:val="000D3E30"/>
    <w:rsid w:val="000D3FDC"/>
    <w:rsid w:val="000D5476"/>
    <w:rsid w:val="000E31A7"/>
    <w:rsid w:val="000E5A95"/>
    <w:rsid w:val="000F5656"/>
    <w:rsid w:val="001061EA"/>
    <w:rsid w:val="001328B2"/>
    <w:rsid w:val="00134483"/>
    <w:rsid w:val="0013720E"/>
    <w:rsid w:val="00156A5B"/>
    <w:rsid w:val="00161495"/>
    <w:rsid w:val="001632E4"/>
    <w:rsid w:val="00167877"/>
    <w:rsid w:val="00174757"/>
    <w:rsid w:val="00193108"/>
    <w:rsid w:val="001A42AB"/>
    <w:rsid w:val="001B1508"/>
    <w:rsid w:val="001D6484"/>
    <w:rsid w:val="001E0DA6"/>
    <w:rsid w:val="001E2564"/>
    <w:rsid w:val="00204D92"/>
    <w:rsid w:val="00222C46"/>
    <w:rsid w:val="00250157"/>
    <w:rsid w:val="00261997"/>
    <w:rsid w:val="00264651"/>
    <w:rsid w:val="00270E39"/>
    <w:rsid w:val="0027322E"/>
    <w:rsid w:val="00277656"/>
    <w:rsid w:val="0029457B"/>
    <w:rsid w:val="002A6750"/>
    <w:rsid w:val="002A7EC5"/>
    <w:rsid w:val="002B114F"/>
    <w:rsid w:val="002C02E6"/>
    <w:rsid w:val="002E4BAC"/>
    <w:rsid w:val="0030399B"/>
    <w:rsid w:val="0031584B"/>
    <w:rsid w:val="003342AD"/>
    <w:rsid w:val="00337878"/>
    <w:rsid w:val="00344B46"/>
    <w:rsid w:val="00371CA2"/>
    <w:rsid w:val="00386F65"/>
    <w:rsid w:val="0039726B"/>
    <w:rsid w:val="003C7F73"/>
    <w:rsid w:val="003D274F"/>
    <w:rsid w:val="003D6112"/>
    <w:rsid w:val="003E40FA"/>
    <w:rsid w:val="003E7291"/>
    <w:rsid w:val="004140B0"/>
    <w:rsid w:val="00414C58"/>
    <w:rsid w:val="004231AF"/>
    <w:rsid w:val="0042570E"/>
    <w:rsid w:val="00454DEB"/>
    <w:rsid w:val="00465B59"/>
    <w:rsid w:val="0049529E"/>
    <w:rsid w:val="004A48BF"/>
    <w:rsid w:val="004A5B27"/>
    <w:rsid w:val="004B04C8"/>
    <w:rsid w:val="004B1873"/>
    <w:rsid w:val="004B40AD"/>
    <w:rsid w:val="004E015A"/>
    <w:rsid w:val="004E3826"/>
    <w:rsid w:val="004F13C4"/>
    <w:rsid w:val="004F2A7B"/>
    <w:rsid w:val="00500E51"/>
    <w:rsid w:val="00511A2B"/>
    <w:rsid w:val="005142E6"/>
    <w:rsid w:val="00525986"/>
    <w:rsid w:val="005429EF"/>
    <w:rsid w:val="00544AED"/>
    <w:rsid w:val="00562DA4"/>
    <w:rsid w:val="00575744"/>
    <w:rsid w:val="005817C0"/>
    <w:rsid w:val="00585314"/>
    <w:rsid w:val="0059252B"/>
    <w:rsid w:val="00595B9A"/>
    <w:rsid w:val="005A759F"/>
    <w:rsid w:val="005B251F"/>
    <w:rsid w:val="005C529C"/>
    <w:rsid w:val="005D0036"/>
    <w:rsid w:val="005E1542"/>
    <w:rsid w:val="005E62B8"/>
    <w:rsid w:val="005F584A"/>
    <w:rsid w:val="006006CA"/>
    <w:rsid w:val="00603F00"/>
    <w:rsid w:val="006078E5"/>
    <w:rsid w:val="00643E4C"/>
    <w:rsid w:val="00654078"/>
    <w:rsid w:val="00660CD1"/>
    <w:rsid w:val="006649B9"/>
    <w:rsid w:val="00667EF9"/>
    <w:rsid w:val="00694315"/>
    <w:rsid w:val="006B13DC"/>
    <w:rsid w:val="006B21EC"/>
    <w:rsid w:val="006B4600"/>
    <w:rsid w:val="006B7E5B"/>
    <w:rsid w:val="006C038C"/>
    <w:rsid w:val="006D3835"/>
    <w:rsid w:val="006E4BB0"/>
    <w:rsid w:val="007076F6"/>
    <w:rsid w:val="0073299A"/>
    <w:rsid w:val="0075442D"/>
    <w:rsid w:val="00755206"/>
    <w:rsid w:val="0075620A"/>
    <w:rsid w:val="0076227D"/>
    <w:rsid w:val="00770E94"/>
    <w:rsid w:val="00797B5B"/>
    <w:rsid w:val="007B3D77"/>
    <w:rsid w:val="007C7F27"/>
    <w:rsid w:val="007D1ED3"/>
    <w:rsid w:val="007D600E"/>
    <w:rsid w:val="007D7337"/>
    <w:rsid w:val="00815B94"/>
    <w:rsid w:val="008305B7"/>
    <w:rsid w:val="00845FF1"/>
    <w:rsid w:val="008662CE"/>
    <w:rsid w:val="008B0F3A"/>
    <w:rsid w:val="008C7DC5"/>
    <w:rsid w:val="008D4C40"/>
    <w:rsid w:val="008D62C9"/>
    <w:rsid w:val="008F1AD0"/>
    <w:rsid w:val="009007CC"/>
    <w:rsid w:val="009264D8"/>
    <w:rsid w:val="009372AA"/>
    <w:rsid w:val="00947E50"/>
    <w:rsid w:val="00952CA1"/>
    <w:rsid w:val="00953915"/>
    <w:rsid w:val="00955385"/>
    <w:rsid w:val="009563E9"/>
    <w:rsid w:val="00967D51"/>
    <w:rsid w:val="00970E54"/>
    <w:rsid w:val="00974A7C"/>
    <w:rsid w:val="00981748"/>
    <w:rsid w:val="009B3182"/>
    <w:rsid w:val="009B6AE5"/>
    <w:rsid w:val="009D71E7"/>
    <w:rsid w:val="00A03B79"/>
    <w:rsid w:val="00A06E13"/>
    <w:rsid w:val="00A139AF"/>
    <w:rsid w:val="00A552CE"/>
    <w:rsid w:val="00A612A8"/>
    <w:rsid w:val="00A6240F"/>
    <w:rsid w:val="00A67F6C"/>
    <w:rsid w:val="00A70650"/>
    <w:rsid w:val="00A81B3A"/>
    <w:rsid w:val="00A92DF5"/>
    <w:rsid w:val="00AC53C8"/>
    <w:rsid w:val="00AF145B"/>
    <w:rsid w:val="00AF488B"/>
    <w:rsid w:val="00AF4BC1"/>
    <w:rsid w:val="00B05E2C"/>
    <w:rsid w:val="00B1792F"/>
    <w:rsid w:val="00B357FA"/>
    <w:rsid w:val="00B52650"/>
    <w:rsid w:val="00B56A17"/>
    <w:rsid w:val="00B84EE1"/>
    <w:rsid w:val="00BA041C"/>
    <w:rsid w:val="00BA0508"/>
    <w:rsid w:val="00BB41B6"/>
    <w:rsid w:val="00BC07B1"/>
    <w:rsid w:val="00BC3F19"/>
    <w:rsid w:val="00BC71DD"/>
    <w:rsid w:val="00BC7F30"/>
    <w:rsid w:val="00BD71B9"/>
    <w:rsid w:val="00BE44FA"/>
    <w:rsid w:val="00BE734F"/>
    <w:rsid w:val="00BF3DED"/>
    <w:rsid w:val="00BF4D0B"/>
    <w:rsid w:val="00BF6C02"/>
    <w:rsid w:val="00C00B4B"/>
    <w:rsid w:val="00C02F2C"/>
    <w:rsid w:val="00C27702"/>
    <w:rsid w:val="00C417E8"/>
    <w:rsid w:val="00C45C27"/>
    <w:rsid w:val="00C7537B"/>
    <w:rsid w:val="00CA0A85"/>
    <w:rsid w:val="00CA4CD7"/>
    <w:rsid w:val="00D0013D"/>
    <w:rsid w:val="00D13C0A"/>
    <w:rsid w:val="00D21136"/>
    <w:rsid w:val="00D32159"/>
    <w:rsid w:val="00D56DD6"/>
    <w:rsid w:val="00D57035"/>
    <w:rsid w:val="00D64558"/>
    <w:rsid w:val="00D6463F"/>
    <w:rsid w:val="00D77231"/>
    <w:rsid w:val="00D7766C"/>
    <w:rsid w:val="00D938F5"/>
    <w:rsid w:val="00DA18F2"/>
    <w:rsid w:val="00DA7DF9"/>
    <w:rsid w:val="00DB2C05"/>
    <w:rsid w:val="00DC0239"/>
    <w:rsid w:val="00DC3785"/>
    <w:rsid w:val="00DD473A"/>
    <w:rsid w:val="00DF0D0F"/>
    <w:rsid w:val="00E23A41"/>
    <w:rsid w:val="00E33738"/>
    <w:rsid w:val="00E44B97"/>
    <w:rsid w:val="00E55E90"/>
    <w:rsid w:val="00E55EA3"/>
    <w:rsid w:val="00E6228E"/>
    <w:rsid w:val="00E62C6C"/>
    <w:rsid w:val="00E71337"/>
    <w:rsid w:val="00E75BCF"/>
    <w:rsid w:val="00E8227A"/>
    <w:rsid w:val="00E8248C"/>
    <w:rsid w:val="00E87702"/>
    <w:rsid w:val="00E9280B"/>
    <w:rsid w:val="00EB04D8"/>
    <w:rsid w:val="00EB1194"/>
    <w:rsid w:val="00EC29ED"/>
    <w:rsid w:val="00ED4FD6"/>
    <w:rsid w:val="00EE1B33"/>
    <w:rsid w:val="00EE311F"/>
    <w:rsid w:val="00EF222C"/>
    <w:rsid w:val="00F374FD"/>
    <w:rsid w:val="00F671BB"/>
    <w:rsid w:val="00F75A2F"/>
    <w:rsid w:val="00F86D87"/>
    <w:rsid w:val="00FF6E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1B5AF46-CD49-4BDD-A6C8-E9059F13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340"/>
        <w:tab w:val="left" w:pos="680"/>
      </w:tabs>
      <w:ind w:firstLine="227"/>
      <w:jc w:val="both"/>
    </w:pPr>
    <w:rPr>
      <w:lang w:val="en-US" w:eastAsia="de-DE"/>
    </w:rPr>
  </w:style>
  <w:style w:type="paragraph" w:styleId="Ttulo1">
    <w:name w:val="heading 1"/>
    <w:basedOn w:val="Normal"/>
    <w:next w:val="Normal"/>
    <w:qFormat/>
    <w:pPr>
      <w:keepNext/>
      <w:keepLines/>
      <w:numPr>
        <w:numId w:val="8"/>
      </w:numPr>
      <w:suppressAutoHyphens/>
      <w:spacing w:before="400" w:after="200"/>
      <w:jc w:val="center"/>
      <w:outlineLvl w:val="0"/>
    </w:pPr>
    <w:rPr>
      <w:rFonts w:cs="Arial"/>
      <w:bCs/>
      <w:caps/>
      <w:kern w:val="32"/>
      <w:sz w:val="16"/>
      <w:szCs w:val="16"/>
    </w:rPr>
  </w:style>
  <w:style w:type="paragraph" w:styleId="Ttulo2">
    <w:name w:val="heading 2"/>
    <w:basedOn w:val="Ttulo1"/>
    <w:next w:val="Normal"/>
    <w:qFormat/>
    <w:pPr>
      <w:numPr>
        <w:ilvl w:val="1"/>
      </w:numPr>
      <w:spacing w:before="300" w:after="150"/>
      <w:jc w:val="left"/>
      <w:outlineLvl w:val="1"/>
    </w:pPr>
    <w:rPr>
      <w:bCs w:val="0"/>
      <w:i/>
      <w:iCs/>
      <w:caps w:val="0"/>
      <w:sz w:val="20"/>
      <w:szCs w:val="20"/>
    </w:rPr>
  </w:style>
  <w:style w:type="paragraph" w:styleId="Ttulo3">
    <w:name w:val="heading 3"/>
    <w:basedOn w:val="Ttulo2"/>
    <w:next w:val="Normal"/>
    <w:qFormat/>
    <w:pPr>
      <w:numPr>
        <w:ilvl w:val="0"/>
        <w:numId w:val="0"/>
      </w:numPr>
      <w:outlineLvl w:val="2"/>
    </w:pPr>
    <w:rPr>
      <w:bCs/>
      <w:szCs w:val="26"/>
    </w:rPr>
  </w:style>
  <w:style w:type="paragraph" w:styleId="Ttulo4">
    <w:name w:val="heading 4"/>
    <w:basedOn w:val="Ttulo3"/>
    <w:next w:val="Normal"/>
    <w:qFormat/>
    <w:pPr>
      <w:outlineLvl w:val="3"/>
    </w:pPr>
    <w:rPr>
      <w:bCs w:val="0"/>
      <w:szCs w:val="28"/>
    </w:rPr>
  </w:style>
  <w:style w:type="paragraph" w:styleId="Ttulo5">
    <w:name w:val="heading 5"/>
    <w:basedOn w:val="Ttulo3"/>
    <w:next w:val="Normal"/>
    <w:qFormat/>
    <w:pPr>
      <w:outlineLvl w:val="4"/>
    </w:pPr>
    <w:rPr>
      <w:bCs w:val="0"/>
      <w:iCs w:val="0"/>
    </w:rPr>
  </w:style>
  <w:style w:type="paragraph" w:styleId="Ttulo6">
    <w:name w:val="heading 6"/>
    <w:basedOn w:val="Ttulo3"/>
    <w:next w:val="Normal"/>
    <w:qFormat/>
    <w:pPr>
      <w:spacing w:before="240" w:after="60"/>
      <w:outlineLvl w:val="5"/>
    </w:pPr>
    <w:rPr>
      <w:bCs w:val="0"/>
      <w:szCs w:val="22"/>
    </w:rPr>
  </w:style>
  <w:style w:type="paragraph" w:styleId="Ttulo7">
    <w:name w:val="heading 7"/>
    <w:basedOn w:val="Ttulo3"/>
    <w:next w:val="Normal"/>
    <w:qFormat/>
    <w:pPr>
      <w:spacing w:before="240" w:after="60"/>
      <w:outlineLvl w:val="6"/>
    </w:pPr>
    <w:rPr>
      <w:szCs w:val="24"/>
    </w:rPr>
  </w:style>
  <w:style w:type="paragraph" w:styleId="Ttulo8">
    <w:name w:val="heading 8"/>
    <w:basedOn w:val="Ttulo3"/>
    <w:next w:val="Normal"/>
    <w:qFormat/>
    <w:pPr>
      <w:outlineLvl w:val="7"/>
    </w:pPr>
    <w:rPr>
      <w:iCs w:val="0"/>
      <w:szCs w:val="24"/>
    </w:rPr>
  </w:style>
  <w:style w:type="paragraph" w:styleId="Ttulo9">
    <w:name w:val="heading 9"/>
    <w:basedOn w:val="Ttulo3"/>
    <w:next w:val="Normal"/>
    <w:qFormat/>
    <w:pPr>
      <w:outlineLvl w:val="8"/>
    </w:pPr>
    <w:rPr>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next w:val="keywords"/>
    <w:pPr>
      <w:widowControl w:val="0"/>
      <w:spacing w:after="200"/>
      <w:ind w:firstLine="227"/>
      <w:contextualSpacing/>
      <w:jc w:val="both"/>
    </w:pPr>
    <w:rPr>
      <w:b/>
      <w:sz w:val="18"/>
      <w:szCs w:val="18"/>
      <w:lang w:val="en-US" w:eastAsia="de-DE"/>
    </w:rPr>
  </w:style>
  <w:style w:type="paragraph" w:customStyle="1" w:styleId="keywords">
    <w:name w:val="keywords"/>
    <w:next w:val="Normal"/>
    <w:pPr>
      <w:spacing w:after="400"/>
      <w:ind w:firstLine="227"/>
      <w:contextualSpacing/>
      <w:jc w:val="both"/>
    </w:pPr>
    <w:rPr>
      <w:b/>
      <w:sz w:val="18"/>
      <w:szCs w:val="18"/>
      <w:lang w:val="en-US" w:eastAsia="de-DE"/>
    </w:rPr>
  </w:style>
  <w:style w:type="character" w:styleId="Hipervnculovisitado">
    <w:name w:val="FollowedHyperlink"/>
    <w:rPr>
      <w:color w:val="auto"/>
      <w:u w:val="none"/>
    </w:rPr>
  </w:style>
  <w:style w:type="paragraph" w:customStyle="1" w:styleId="authorinfo">
    <w:name w:val="authorinfo"/>
    <w:pPr>
      <w:widowControl w:val="0"/>
      <w:spacing w:after="400"/>
      <w:contextualSpacing/>
      <w:jc w:val="center"/>
    </w:pPr>
    <w:rPr>
      <w:sz w:val="18"/>
      <w:lang w:val="en-US" w:eastAsia="de-DE"/>
    </w:rPr>
  </w:style>
  <w:style w:type="paragraph" w:customStyle="1" w:styleId="figure">
    <w:name w:val="figure"/>
    <w:basedOn w:val="Normal"/>
    <w:next w:val="figlegend"/>
    <w:pPr>
      <w:keepNext/>
      <w:keepLines/>
      <w:spacing w:before="300" w:after="100"/>
      <w:ind w:firstLine="0"/>
      <w:jc w:val="center"/>
    </w:pPr>
    <w:rPr>
      <w:sz w:val="16"/>
    </w:rPr>
  </w:style>
  <w:style w:type="paragraph" w:customStyle="1" w:styleId="figlegend">
    <w:name w:val="figlegend"/>
    <w:next w:val="Normal"/>
    <w:pPr>
      <w:keepLines/>
      <w:spacing w:before="100" w:after="300"/>
      <w:contextualSpacing/>
      <w:jc w:val="center"/>
    </w:pPr>
    <w:rPr>
      <w:snapToGrid w:val="0"/>
      <w:sz w:val="16"/>
      <w:szCs w:val="16"/>
      <w:lang w:val="en-US" w:eastAsia="en-US"/>
    </w:rPr>
  </w:style>
  <w:style w:type="paragraph" w:customStyle="1" w:styleId="referenceavailable">
    <w:name w:val="reference_available"/>
    <w:basedOn w:val="Normal"/>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pPr>
      <w:suppressAutoHyphens/>
      <w:spacing w:after="200"/>
      <w:contextualSpacing/>
      <w:jc w:val="center"/>
    </w:pPr>
    <w:rPr>
      <w:sz w:val="24"/>
      <w:szCs w:val="24"/>
      <w:lang w:val="en-US" w:eastAsia="de-DE"/>
    </w:rPr>
  </w:style>
  <w:style w:type="paragraph" w:customStyle="1" w:styleId="heading1">
    <w:name w:val="heading1"/>
    <w:basedOn w:val="Ttulo1"/>
    <w:next w:val="Normal"/>
    <w:rPr>
      <w:snapToGrid w:val="0"/>
      <w:lang w:eastAsia="en-US"/>
    </w:rPr>
  </w:style>
  <w:style w:type="paragraph" w:customStyle="1" w:styleId="heading2">
    <w:name w:val="heading2"/>
    <w:basedOn w:val="Ttulo2"/>
    <w:next w:val="Normal"/>
  </w:style>
  <w:style w:type="paragraph" w:customStyle="1" w:styleId="heading2heading1">
    <w:name w:val="heading2_heading1"/>
    <w:basedOn w:val="heading2"/>
    <w:pPr>
      <w:spacing w:before="0"/>
    </w:pPr>
  </w:style>
  <w:style w:type="character" w:styleId="Hipervnculo">
    <w:name w:val="Hyperlink"/>
    <w:rPr>
      <w:color w:val="auto"/>
      <w:u w:val="none"/>
    </w:rPr>
  </w:style>
  <w:style w:type="paragraph" w:customStyle="1" w:styleId="Ttulo10">
    <w:name w:val="Título1"/>
    <w:next w:val="author"/>
    <w:pPr>
      <w:keepLines/>
      <w:suppressAutoHyphens/>
      <w:spacing w:after="160"/>
      <w:contextualSpacing/>
      <w:jc w:val="center"/>
    </w:pPr>
    <w:rPr>
      <w:b/>
      <w:sz w:val="28"/>
      <w:szCs w:val="28"/>
      <w:lang w:val="en-US" w:eastAsia="de-DE"/>
    </w:rPr>
  </w:style>
  <w:style w:type="character" w:customStyle="1" w:styleId="italic">
    <w:name w:val="italic"/>
    <w:rPr>
      <w:i/>
      <w:iCs/>
    </w:rPr>
  </w:style>
  <w:style w:type="character" w:customStyle="1" w:styleId="initial12">
    <w:name w:val="initial_12"/>
    <w:rPr>
      <w:sz w:val="24"/>
      <w:szCs w:val="24"/>
    </w:rPr>
  </w:style>
  <w:style w:type="paragraph" w:styleId="Saludo">
    <w:name w:val="Salutation"/>
    <w:basedOn w:val="Normal"/>
    <w:next w:val="Normal"/>
  </w:style>
  <w:style w:type="paragraph" w:customStyle="1" w:styleId="tablelegend">
    <w:name w:val="tablelegend"/>
    <w:basedOn w:val="Normal"/>
    <w:pPr>
      <w:keepNext/>
      <w:keepLines/>
      <w:suppressAutoHyphens/>
      <w:spacing w:before="300" w:after="100"/>
      <w:ind w:firstLine="0"/>
      <w:contextualSpacing/>
      <w:jc w:val="center"/>
    </w:pPr>
    <w:rPr>
      <w:sz w:val="16"/>
      <w:szCs w:val="16"/>
    </w:rPr>
  </w:style>
  <w:style w:type="character" w:customStyle="1" w:styleId="initial10">
    <w:name w:val="initial_10"/>
    <w:rPr>
      <w:sz w:val="20"/>
      <w:szCs w:val="20"/>
      <w:lang w:eastAsia="en-US"/>
    </w:rPr>
  </w:style>
  <w:style w:type="character" w:customStyle="1" w:styleId="bold">
    <w:name w:val="bold"/>
    <w:rPr>
      <w:b/>
    </w:rPr>
  </w:style>
  <w:style w:type="character" w:customStyle="1" w:styleId="initial8">
    <w:name w:val="initial_8"/>
    <w:rPr>
      <w:caps/>
      <w:sz w:val="16"/>
      <w:szCs w:val="16"/>
      <w:lang w:eastAsia="en-US"/>
    </w:rPr>
  </w:style>
  <w:style w:type="paragraph" w:customStyle="1" w:styleId="heading1withoutNr">
    <w:name w:val="heading1_withoutNr"/>
    <w:basedOn w:val="heading1"/>
    <w:next w:val="referenceItem"/>
    <w:pPr>
      <w:numPr>
        <w:numId w:val="0"/>
      </w:numPr>
      <w:spacing w:before="360" w:after="180"/>
    </w:pPr>
  </w:style>
  <w:style w:type="paragraph" w:customStyle="1" w:styleId="referenceItem">
    <w:name w:val="reference_Item"/>
    <w:basedOn w:val="Normal"/>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pPr>
      <w:ind w:firstLine="0"/>
      <w:jc w:val="left"/>
    </w:pPr>
    <w:rPr>
      <w:snapToGrid w:val="0"/>
      <w:sz w:val="16"/>
      <w:lang w:eastAsia="en-US"/>
    </w:rPr>
  </w:style>
  <w:style w:type="paragraph" w:customStyle="1" w:styleId="tabletextcentre">
    <w:name w:val="table_text_centre"/>
    <w:basedOn w:val="tabletext"/>
    <w:pPr>
      <w:jc w:val="center"/>
    </w:pPr>
  </w:style>
  <w:style w:type="paragraph" w:customStyle="1" w:styleId="tabletextright">
    <w:name w:val="table_text_right"/>
    <w:basedOn w:val="tabletext"/>
    <w:pPr>
      <w:jc w:val="right"/>
    </w:pPr>
  </w:style>
  <w:style w:type="paragraph" w:styleId="Listaconvietas">
    <w:name w:val="List Bullet"/>
    <w:basedOn w:val="Normal"/>
    <w:pPr>
      <w:tabs>
        <w:tab w:val="clear" w:pos="340"/>
        <w:tab w:val="num" w:pos="360"/>
      </w:tabs>
      <w:ind w:left="360" w:hanging="360"/>
    </w:pPr>
  </w:style>
  <w:style w:type="character" w:customStyle="1" w:styleId="AufzhlungszeichenZchn1">
    <w:name w:val="Aufzählungszeichen Zchn1"/>
    <w:rPr>
      <w:rFonts w:eastAsia="Batang"/>
      <w:lang w:val="en-US" w:eastAsia="de-DE" w:bidi="ar-SA"/>
    </w:rPr>
  </w:style>
  <w:style w:type="paragraph" w:styleId="Listaconvietas2">
    <w:name w:val="List Bullet 2"/>
    <w:basedOn w:val="Normal"/>
    <w:pPr>
      <w:numPr>
        <w:numId w:val="17"/>
      </w:numPr>
    </w:pPr>
  </w:style>
  <w:style w:type="paragraph" w:styleId="Listaconvietas3">
    <w:name w:val="List Bullet 3"/>
    <w:basedOn w:val="Normal"/>
    <w:pPr>
      <w:numPr>
        <w:numId w:val="14"/>
      </w:numPr>
    </w:pPr>
  </w:style>
  <w:style w:type="paragraph" w:styleId="Textonotapie">
    <w:name w:val="footnote text"/>
    <w:basedOn w:val="Standard-1pt"/>
    <w:semiHidden/>
    <w:pPr>
      <w:tabs>
        <w:tab w:val="clear" w:pos="340"/>
        <w:tab w:val="clear" w:pos="680"/>
        <w:tab w:val="left" w:pos="170"/>
      </w:tabs>
      <w:ind w:left="170" w:hanging="170"/>
    </w:pPr>
  </w:style>
  <w:style w:type="paragraph" w:customStyle="1" w:styleId="equation">
    <w:name w:val="equation"/>
    <w:pPr>
      <w:tabs>
        <w:tab w:val="center" w:pos="2421"/>
        <w:tab w:val="right" w:pos="4848"/>
      </w:tabs>
      <w:spacing w:before="120" w:after="120"/>
    </w:pPr>
    <w:rPr>
      <w:iCs/>
      <w:snapToGrid w:val="0"/>
      <w:lang w:val="en-US" w:eastAsia="en-US"/>
    </w:rPr>
  </w:style>
  <w:style w:type="paragraph" w:customStyle="1" w:styleId="thanks">
    <w:name w:val="thanks"/>
    <w:basedOn w:val="Normal"/>
    <w:pPr>
      <w:framePr w:w="4848" w:h="227" w:vSpace="113" w:wrap="around" w:hAnchor="text" w:yAlign="bottom" w:anchorLock="1"/>
      <w:ind w:firstLine="0"/>
    </w:pPr>
    <w:rPr>
      <w:sz w:val="16"/>
      <w:szCs w:val="16"/>
    </w:rPr>
  </w:style>
  <w:style w:type="paragraph" w:styleId="Listaconvietas4">
    <w:name w:val="List Bullet 4"/>
    <w:basedOn w:val="Normal"/>
    <w:pPr>
      <w:tabs>
        <w:tab w:val="num" w:pos="1209"/>
      </w:tabs>
      <w:ind w:left="1209" w:hanging="360"/>
    </w:pPr>
  </w:style>
  <w:style w:type="paragraph" w:customStyle="1" w:styleId="authoraddressline1">
    <w:name w:val="author_address_line1"/>
    <w:next w:val="authoraddress"/>
    <w:pPr>
      <w:spacing w:before="360" w:after="180"/>
      <w:ind w:left="340"/>
      <w:contextualSpacing/>
    </w:pPr>
    <w:rPr>
      <w:sz w:val="16"/>
      <w:lang w:val="en-US" w:eastAsia="de-DE"/>
    </w:rPr>
  </w:style>
  <w:style w:type="paragraph" w:customStyle="1" w:styleId="authoraddress">
    <w:name w:val="author_address"/>
    <w:pPr>
      <w:tabs>
        <w:tab w:val="left" w:pos="964"/>
      </w:tabs>
      <w:ind w:left="964" w:hanging="624"/>
    </w:pPr>
    <w:rPr>
      <w:snapToGrid w:val="0"/>
      <w:sz w:val="16"/>
      <w:lang w:val="en-US" w:eastAsia="ja-JP"/>
    </w:rPr>
  </w:style>
  <w:style w:type="character" w:customStyle="1" w:styleId="TimesNewRoman">
    <w:name w:val="TimesNewRoman"/>
    <w:rPr>
      <w:rFonts w:ascii="Times New Roman" w:hAnsi="Times New Roman"/>
    </w:rPr>
  </w:style>
  <w:style w:type="paragraph" w:customStyle="1" w:styleId="tablenotes">
    <w:name w:val="tablenotes"/>
    <w:basedOn w:val="tablelegend"/>
    <w:pPr>
      <w:keepNext w:val="0"/>
      <w:spacing w:before="100" w:after="300"/>
      <w:jc w:val="left"/>
    </w:pPr>
  </w:style>
  <w:style w:type="character" w:styleId="Refdenotaalpie">
    <w:name w:val="footnote reference"/>
    <w:semiHidden/>
    <w:rPr>
      <w:vertAlign w:val="superscript"/>
    </w:rPr>
  </w:style>
  <w:style w:type="paragraph" w:styleId="Listaconvietas5">
    <w:name w:val="List Bullet 5"/>
    <w:basedOn w:val="Normal"/>
    <w:pPr>
      <w:tabs>
        <w:tab w:val="num" w:pos="1492"/>
      </w:tabs>
      <w:ind w:left="1492" w:hanging="360"/>
    </w:pPr>
  </w:style>
  <w:style w:type="paragraph" w:styleId="Textodebloque">
    <w:name w:val="Block Text"/>
    <w:basedOn w:val="Normal"/>
  </w:style>
  <w:style w:type="paragraph" w:styleId="Fecha">
    <w:name w:val="Date"/>
    <w:basedOn w:val="Normal"/>
    <w:next w:val="Normal"/>
  </w:style>
  <w:style w:type="paragraph" w:styleId="Mapadeldocumento">
    <w:name w:val="Document Map"/>
    <w:basedOn w:val="Normal"/>
    <w:semiHidden/>
    <w:pPr>
      <w:shd w:val="clear" w:color="auto" w:fill="000080"/>
    </w:pPr>
    <w:rPr>
      <w:rFonts w:ascii="Tahoma" w:hAnsi="Tahoma" w:cs="Tahoma"/>
    </w:rPr>
  </w:style>
  <w:style w:type="paragraph" w:styleId="Encabezadodenota">
    <w:name w:val="Note Heading"/>
    <w:basedOn w:val="Standard-1pt"/>
    <w:next w:val="Normal"/>
    <w:pPr>
      <w:ind w:firstLine="0"/>
    </w:pPr>
  </w:style>
  <w:style w:type="paragraph" w:styleId="Piedepgina">
    <w:name w:val="footer"/>
    <w:basedOn w:val="Standard-1pt"/>
    <w:link w:val="PiedepginaCar"/>
    <w:uiPriority w:val="99"/>
    <w:pPr>
      <w:tabs>
        <w:tab w:val="clear" w:pos="340"/>
        <w:tab w:val="clear" w:pos="680"/>
      </w:tabs>
      <w:ind w:firstLine="0"/>
      <w:jc w:val="left"/>
    </w:pPr>
  </w:style>
  <w:style w:type="paragraph" w:customStyle="1" w:styleId="Standard-1pt">
    <w:name w:val="Standard-1pt"/>
    <w:basedOn w:val="Normal"/>
    <w:rPr>
      <w:sz w:val="18"/>
    </w:rPr>
  </w:style>
  <w:style w:type="paragraph" w:styleId="Cierre">
    <w:name w:val="Closing"/>
    <w:basedOn w:val="Normal"/>
    <w:pPr>
      <w:ind w:left="4252"/>
    </w:pPr>
  </w:style>
  <w:style w:type="character" w:styleId="nfasis">
    <w:name w:val="Emphasis"/>
    <w:qFormat/>
    <w:rPr>
      <w:i/>
      <w:iCs/>
    </w:rPr>
  </w:style>
  <w:style w:type="paragraph" w:styleId="Tabladeilustraciones">
    <w:name w:val="table of figures"/>
    <w:basedOn w:val="Normal"/>
    <w:next w:val="Normal"/>
    <w:semiHidden/>
    <w:pPr>
      <w:tabs>
        <w:tab w:val="clear" w:pos="340"/>
        <w:tab w:val="clear" w:pos="680"/>
      </w:tabs>
    </w:pPr>
  </w:style>
  <w:style w:type="paragraph" w:styleId="Descripcin">
    <w:name w:val="caption"/>
    <w:aliases w:val="Epígrafe,Descripción1"/>
    <w:basedOn w:val="Normal"/>
    <w:next w:val="Normal"/>
    <w:qFormat/>
    <w:rPr>
      <w:bCs/>
    </w:rPr>
  </w:style>
  <w:style w:type="paragraph" w:styleId="Textonotaalfinal">
    <w:name w:val="endnote text"/>
    <w:basedOn w:val="Normal"/>
    <w:semiHidden/>
  </w:style>
  <w:style w:type="character" w:styleId="Refdenotaalfinal">
    <w:name w:val="endnote reference"/>
    <w:semiHidden/>
    <w:rPr>
      <w:vertAlign w:val="superscript"/>
    </w:rPr>
  </w:style>
  <w:style w:type="paragraph" w:styleId="ndice1">
    <w:name w:val="index 1"/>
    <w:basedOn w:val="Normal"/>
    <w:next w:val="Normal"/>
    <w:autoRedefine/>
    <w:semiHidden/>
    <w:pPr>
      <w:tabs>
        <w:tab w:val="clear" w:pos="340"/>
        <w:tab w:val="clear" w:pos="680"/>
      </w:tabs>
      <w:ind w:left="200" w:hanging="200"/>
    </w:pPr>
  </w:style>
  <w:style w:type="paragraph" w:styleId="ndice2">
    <w:name w:val="index 2"/>
    <w:basedOn w:val="Normal"/>
    <w:next w:val="Normal"/>
    <w:autoRedefine/>
    <w:semiHidden/>
    <w:pPr>
      <w:tabs>
        <w:tab w:val="clear" w:pos="340"/>
        <w:tab w:val="clear" w:pos="680"/>
      </w:tabs>
      <w:ind w:left="400" w:hanging="200"/>
    </w:pPr>
  </w:style>
  <w:style w:type="paragraph" w:styleId="ndice3">
    <w:name w:val="index 3"/>
    <w:basedOn w:val="Normal"/>
    <w:next w:val="Normal"/>
    <w:autoRedefine/>
    <w:semiHidden/>
    <w:pPr>
      <w:tabs>
        <w:tab w:val="clear" w:pos="340"/>
        <w:tab w:val="clear" w:pos="680"/>
      </w:tabs>
      <w:ind w:left="600" w:hanging="200"/>
    </w:pPr>
  </w:style>
  <w:style w:type="paragraph" w:styleId="ndice4">
    <w:name w:val="index 4"/>
    <w:basedOn w:val="Normal"/>
    <w:next w:val="Normal"/>
    <w:autoRedefine/>
    <w:semiHidden/>
    <w:pPr>
      <w:tabs>
        <w:tab w:val="clear" w:pos="340"/>
        <w:tab w:val="clear" w:pos="680"/>
      </w:tabs>
      <w:ind w:left="800" w:hanging="200"/>
    </w:pPr>
  </w:style>
  <w:style w:type="paragraph" w:styleId="ndice5">
    <w:name w:val="index 5"/>
    <w:basedOn w:val="Normal"/>
    <w:next w:val="Normal"/>
    <w:autoRedefine/>
    <w:semiHidden/>
    <w:pPr>
      <w:tabs>
        <w:tab w:val="clear" w:pos="340"/>
        <w:tab w:val="clear" w:pos="680"/>
      </w:tabs>
      <w:ind w:left="1000" w:hanging="200"/>
    </w:pPr>
  </w:style>
  <w:style w:type="paragraph" w:styleId="ndice6">
    <w:name w:val="index 6"/>
    <w:basedOn w:val="Normal"/>
    <w:next w:val="Normal"/>
    <w:autoRedefine/>
    <w:semiHidden/>
    <w:pPr>
      <w:tabs>
        <w:tab w:val="clear" w:pos="340"/>
        <w:tab w:val="clear" w:pos="680"/>
      </w:tabs>
      <w:ind w:left="1200" w:hanging="200"/>
    </w:pPr>
  </w:style>
  <w:style w:type="paragraph" w:styleId="Encabezado">
    <w:name w:val="header"/>
    <w:basedOn w:val="Standard-1pt"/>
    <w:pPr>
      <w:tabs>
        <w:tab w:val="clear" w:pos="340"/>
        <w:tab w:val="clear" w:pos="680"/>
        <w:tab w:val="left" w:pos="10036"/>
      </w:tabs>
      <w:ind w:firstLine="0"/>
      <w:jc w:val="left"/>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tabs>
        <w:tab w:val="clear" w:pos="340"/>
        <w:tab w:val="num" w:pos="360"/>
      </w:tabs>
      <w:ind w:left="360" w:hanging="360"/>
    </w:pPr>
  </w:style>
  <w:style w:type="paragraph" w:styleId="Listaconnmeros2">
    <w:name w:val="List Number 2"/>
    <w:basedOn w:val="Normal"/>
    <w:pPr>
      <w:tabs>
        <w:tab w:val="num" w:pos="643"/>
      </w:tabs>
      <w:ind w:left="643" w:hanging="360"/>
    </w:pPr>
  </w:style>
  <w:style w:type="paragraph" w:styleId="Listaconnmeros3">
    <w:name w:val="List Number 3"/>
    <w:basedOn w:val="Normal"/>
    <w:pPr>
      <w:tabs>
        <w:tab w:val="num" w:pos="926"/>
      </w:tabs>
      <w:ind w:left="926" w:hanging="360"/>
    </w:pPr>
  </w:style>
  <w:style w:type="paragraph" w:styleId="Listaconnmeros4">
    <w:name w:val="List Number 4"/>
    <w:basedOn w:val="Normal"/>
    <w:pPr>
      <w:tabs>
        <w:tab w:val="num" w:pos="1209"/>
      </w:tabs>
      <w:ind w:left="1209" w:hanging="360"/>
    </w:pPr>
  </w:style>
  <w:style w:type="paragraph" w:styleId="Listaconnmeros5">
    <w:name w:val="List Number 5"/>
    <w:basedOn w:val="Normal"/>
    <w:pPr>
      <w:tabs>
        <w:tab w:val="num" w:pos="1492"/>
      </w:tabs>
      <w:ind w:left="1492" w:hanging="360"/>
    </w:p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extosinformato">
    <w:name w:val="Plain Text"/>
    <w:basedOn w:val="Normal"/>
    <w:link w:val="TextosinformatoCar"/>
    <w:uiPriority w:val="99"/>
    <w:rPr>
      <w:rFonts w:cs="Courier New"/>
    </w:rPr>
  </w:style>
  <w:style w:type="character" w:styleId="Nmerodepgina">
    <w:name w:val="page number"/>
    <w:basedOn w:val="Fuentedeprrafopredeter"/>
  </w:style>
  <w:style w:type="paragraph" w:styleId="NormalWeb">
    <w:name w:val="Normal (Web)"/>
    <w:basedOn w:val="Normal"/>
    <w:rPr>
      <w:szCs w:val="24"/>
    </w:rPr>
  </w:style>
  <w:style w:type="paragraph" w:styleId="Sangranormal">
    <w:name w:val="Normal Indent"/>
    <w:basedOn w:val="Normal"/>
  </w:style>
  <w:style w:type="paragraph" w:styleId="Textoindependiente">
    <w:name w:val="Body Text"/>
    <w:basedOn w:val="Normal"/>
  </w:style>
  <w:style w:type="paragraph" w:styleId="Textoindependiente2">
    <w:name w:val="Body Text 2"/>
    <w:basedOn w:val="Normal"/>
  </w:style>
  <w:style w:type="paragraph" w:styleId="Textoindependiente3">
    <w:name w:val="Body Text 3"/>
    <w:basedOn w:val="Normal"/>
    <w:rPr>
      <w:szCs w:val="16"/>
    </w:rPr>
  </w:style>
  <w:style w:type="paragraph" w:styleId="Sangra2detindependiente">
    <w:name w:val="Body Text Indent 2"/>
    <w:basedOn w:val="Normal"/>
  </w:style>
  <w:style w:type="paragraph" w:styleId="Sangra3detindependiente">
    <w:name w:val="Body Text Indent 3"/>
    <w:basedOn w:val="Normal"/>
    <w:rPr>
      <w:szCs w:val="16"/>
    </w:rPr>
  </w:style>
  <w:style w:type="paragraph" w:styleId="Textoindependienteprimerasangra">
    <w:name w:val="Body Text First Indent"/>
    <w:basedOn w:val="Normal"/>
  </w:style>
  <w:style w:type="paragraph" w:styleId="Sangradetextonormal">
    <w:name w:val="Body Text Indent"/>
    <w:basedOn w:val="Normal"/>
  </w:style>
  <w:style w:type="paragraph" w:styleId="Textoindependienteprimerasangra2">
    <w:name w:val="Body Text First Indent 2"/>
    <w:basedOn w:val="Normal"/>
  </w:style>
  <w:style w:type="paragraph" w:styleId="Puesto">
    <w:name w:val="Title"/>
    <w:basedOn w:val="Normal"/>
    <w:qFormat/>
    <w:pPr>
      <w:spacing w:before="240" w:after="60"/>
      <w:jc w:val="center"/>
      <w:outlineLvl w:val="0"/>
    </w:pPr>
    <w:rPr>
      <w:rFonts w:ascii="Arial" w:hAnsi="Arial" w:cs="Arial"/>
      <w:b/>
      <w:bCs/>
      <w:kern w:val="28"/>
      <w:sz w:val="32"/>
      <w:szCs w:val="32"/>
    </w:rPr>
  </w:style>
  <w:style w:type="character" w:customStyle="1" w:styleId="symbol">
    <w:name w:val="symbol"/>
    <w:rPr>
      <w:rFonts w:ascii="Symbol" w:hAnsi="Symbol"/>
    </w:rPr>
  </w:style>
  <w:style w:type="character" w:customStyle="1" w:styleId="symbolitalic">
    <w:name w:val="symbol_italic"/>
    <w:rPr>
      <w:rFonts w:ascii="Symbol" w:hAnsi="Symbol"/>
      <w:i/>
    </w:rPr>
  </w:style>
  <w:style w:type="paragraph" w:customStyle="1" w:styleId="itemize">
    <w:name w:val="itemize"/>
    <w:basedOn w:val="Normal"/>
    <w:pPr>
      <w:keepLines/>
      <w:tabs>
        <w:tab w:val="num" w:pos="340"/>
      </w:tabs>
      <w:spacing w:before="120" w:after="120"/>
      <w:ind w:left="340" w:hanging="340"/>
      <w:contextualSpacing/>
    </w:pPr>
    <w:rPr>
      <w:lang w:val="de-DE" w:eastAsia="en-US"/>
    </w:rPr>
  </w:style>
  <w:style w:type="paragraph" w:customStyle="1" w:styleId="enumerate">
    <w:name w:val="enumerate"/>
    <w:basedOn w:val="Normal"/>
    <w:pPr>
      <w:keepLines/>
      <w:tabs>
        <w:tab w:val="num" w:pos="340"/>
      </w:tabs>
      <w:spacing w:before="120" w:after="120"/>
      <w:ind w:left="340" w:hanging="340"/>
      <w:contextualSpacing/>
    </w:pPr>
  </w:style>
  <w:style w:type="paragraph" w:customStyle="1" w:styleId="StandardAN">
    <w:name w:val="StandardAN"/>
    <w:basedOn w:val="Normal"/>
    <w:pPr>
      <w:spacing w:after="300"/>
      <w:contextualSpacing/>
    </w:pPr>
    <w:rPr>
      <w:lang w:val="de-DE"/>
    </w:rPr>
  </w:style>
  <w:style w:type="paragraph" w:customStyle="1" w:styleId="StandardAV">
    <w:name w:val="StandardAV"/>
    <w:basedOn w:val="Normal"/>
    <w:pPr>
      <w:spacing w:before="300"/>
    </w:pPr>
    <w:rPr>
      <w:snapToGrid w:val="0"/>
      <w:lang w:val="de-DE" w:eastAsia="ja-JP"/>
    </w:rPr>
  </w:style>
  <w:style w:type="character" w:customStyle="1" w:styleId="AufzhlungszeichenZchn">
    <w:name w:val="Aufzählungszeichen Zchn"/>
    <w:rPr>
      <w:lang w:val="en-US" w:eastAsia="de-DE" w:bidi="ar-SA"/>
    </w:rPr>
  </w:style>
  <w:style w:type="paragraph" w:customStyle="1" w:styleId="figureOA">
    <w:name w:val="figureOA"/>
    <w:basedOn w:val="figure"/>
    <w:pPr>
      <w:spacing w:before="0" w:after="0"/>
    </w:pPr>
  </w:style>
  <w:style w:type="paragraph" w:customStyle="1" w:styleId="Default">
    <w:name w:val="Default"/>
    <w:pPr>
      <w:autoSpaceDE w:val="0"/>
      <w:autoSpaceDN w:val="0"/>
      <w:adjustRightInd w:val="0"/>
    </w:pPr>
    <w:rPr>
      <w:lang w:val="de-DE" w:eastAsia="de-DE"/>
    </w:rPr>
  </w:style>
  <w:style w:type="paragraph" w:customStyle="1" w:styleId="p1a">
    <w:name w:val="p1a"/>
    <w:basedOn w:val="Normal"/>
    <w:next w:val="Default"/>
    <w:pPr>
      <w:ind w:firstLine="0"/>
    </w:pPr>
    <w:rPr>
      <w:szCs w:val="24"/>
    </w:rPr>
  </w:style>
  <w:style w:type="paragraph" w:customStyle="1" w:styleId="ItemRef">
    <w:name w:val="ItemRef"/>
    <w:basedOn w:val="Normal"/>
    <w:pPr>
      <w:keepNext/>
      <w:spacing w:before="60"/>
      <w:ind w:left="340" w:firstLine="0"/>
    </w:pPr>
    <w:rPr>
      <w:sz w:val="16"/>
      <w:szCs w:val="16"/>
    </w:rPr>
  </w:style>
  <w:style w:type="character" w:customStyle="1" w:styleId="berschrift1Zchn">
    <w:name w:val="Überschrift 1 Zchn"/>
    <w:rPr>
      <w:rFonts w:cs="Arial"/>
      <w:bCs/>
      <w:caps/>
      <w:kern w:val="32"/>
      <w:sz w:val="16"/>
      <w:szCs w:val="16"/>
      <w:lang w:val="en-US" w:eastAsia="de-DE" w:bidi="ar-SA"/>
    </w:rPr>
  </w:style>
  <w:style w:type="character" w:customStyle="1" w:styleId="berschrift2Zchn">
    <w:name w:val="Überschrift 2 Zchn"/>
    <w:rPr>
      <w:rFonts w:cs="Arial"/>
      <w:bCs/>
      <w:i/>
      <w:iCs/>
      <w:caps/>
      <w:kern w:val="32"/>
      <w:sz w:val="16"/>
      <w:szCs w:val="16"/>
      <w:lang w:val="en-US" w:eastAsia="de-DE" w:bidi="ar-SA"/>
    </w:rPr>
  </w:style>
  <w:style w:type="character" w:customStyle="1" w:styleId="heading2Zchn">
    <w:name w:val="heading2 Zchn"/>
    <w:basedOn w:val="berschrift2Zchn"/>
    <w:rPr>
      <w:rFonts w:cs="Arial"/>
      <w:bCs/>
      <w:i/>
      <w:iCs/>
      <w:caps/>
      <w:kern w:val="32"/>
      <w:sz w:val="16"/>
      <w:szCs w:val="16"/>
      <w:lang w:val="en-US" w:eastAsia="de-DE" w:bidi="ar-SA"/>
    </w:rPr>
  </w:style>
  <w:style w:type="character" w:customStyle="1" w:styleId="heading2heading1Zchn">
    <w:name w:val="heading2_heading1 Zchn"/>
    <w:basedOn w:val="heading2Zchn"/>
    <w:rPr>
      <w:rFonts w:cs="Arial"/>
      <w:bCs/>
      <w:i/>
      <w:iCs/>
      <w:caps/>
      <w:kern w:val="32"/>
      <w:sz w:val="16"/>
      <w:szCs w:val="16"/>
      <w:lang w:val="en-US" w:eastAsia="de-DE" w:bidi="ar-SA"/>
    </w:rPr>
  </w:style>
  <w:style w:type="paragraph" w:customStyle="1" w:styleId="End">
    <w:name w:val="End"/>
    <w:pPr>
      <w:spacing w:line="20" w:lineRule="exact"/>
    </w:pPr>
    <w:rPr>
      <w:snapToGrid w:val="0"/>
      <w:sz w:val="2"/>
      <w:szCs w:val="2"/>
      <w:lang w:val="en-US" w:eastAsia="en-US"/>
    </w:rPr>
  </w:style>
  <w:style w:type="paragraph" w:customStyle="1" w:styleId="ItemRefStart">
    <w:name w:val="ItemRefStart"/>
    <w:basedOn w:val="ItemRef"/>
    <w:pPr>
      <w:spacing w:before="120"/>
    </w:pPr>
  </w:style>
  <w:style w:type="character" w:customStyle="1" w:styleId="AbsatzNormal">
    <w:name w:val="AbsatzNormal"/>
    <w:basedOn w:val="Fuentedeprrafopredeter"/>
  </w:style>
  <w:style w:type="paragraph" w:customStyle="1" w:styleId="tablehead">
    <w:name w:val="table_head"/>
    <w:basedOn w:val="tabletext"/>
    <w:pPr>
      <w:spacing w:before="20" w:after="20"/>
      <w:contextualSpacing/>
      <w:jc w:val="center"/>
    </w:pPr>
  </w:style>
  <w:style w:type="paragraph" w:customStyle="1" w:styleId="runningtitle">
    <w:name w:val="runningtitle"/>
    <w:basedOn w:val="Standard-1pt"/>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Pr>
      <w:rFonts w:eastAsia="Times New Roman"/>
    </w:rPr>
  </w:style>
  <w:style w:type="paragraph" w:customStyle="1" w:styleId="FigureColumnLeftTop">
    <w:name w:val="FigureColumnLeftTop"/>
    <w:basedOn w:val="figure"/>
    <w:pPr>
      <w:keepNext w:val="0"/>
      <w:framePr w:w="4876" w:vSpace="238" w:wrap="around" w:hAnchor="margin" w:yAlign="top"/>
      <w:spacing w:before="0"/>
    </w:pPr>
  </w:style>
  <w:style w:type="paragraph" w:customStyle="1" w:styleId="FigureColumnLeftBottom">
    <w:name w:val="FigureColumnLeftBottom"/>
    <w:basedOn w:val="FigureColumnLeftTop"/>
    <w:pPr>
      <w:framePr w:wrap="around" w:yAlign="bottom"/>
      <w:spacing w:before="100" w:after="0"/>
    </w:pPr>
  </w:style>
  <w:style w:type="paragraph" w:customStyle="1" w:styleId="FigureColumnRightTop">
    <w:name w:val="FigureColumnRightTop"/>
    <w:basedOn w:val="FigureColumnLeftTop"/>
    <w:pPr>
      <w:framePr w:wrap="around" w:xAlign="right"/>
    </w:pPr>
  </w:style>
  <w:style w:type="paragraph" w:customStyle="1" w:styleId="FigureColumnRightBottom">
    <w:name w:val="FigureColumnRightBottom"/>
    <w:basedOn w:val="FigureColumnRightTop"/>
    <w:pPr>
      <w:framePr w:wrap="around" w:yAlign="bottom"/>
      <w:spacing w:before="100" w:after="0"/>
    </w:pPr>
  </w:style>
  <w:style w:type="paragraph" w:customStyle="1" w:styleId="FigureSideTop">
    <w:name w:val="FigureSideTop"/>
    <w:basedOn w:val="FigureColumnLeftTop"/>
    <w:pPr>
      <w:framePr w:w="10036" w:wrap="around"/>
    </w:pPr>
  </w:style>
  <w:style w:type="paragraph" w:customStyle="1" w:styleId="FigureSideBottom">
    <w:name w:val="FigureSideBottom"/>
    <w:basedOn w:val="FigureSideTop"/>
    <w:pPr>
      <w:framePr w:wrap="around" w:yAlign="bottom"/>
      <w:spacing w:before="100" w:after="0"/>
    </w:pPr>
  </w:style>
  <w:style w:type="paragraph" w:customStyle="1" w:styleId="Abbildung">
    <w:name w:val="Abbildung"/>
    <w:basedOn w:val="figure"/>
    <w:next w:val="figlegend"/>
  </w:style>
  <w:style w:type="paragraph" w:styleId="ndice7">
    <w:name w:val="index 7"/>
    <w:basedOn w:val="Normal"/>
    <w:next w:val="Normal"/>
    <w:autoRedefine/>
    <w:semiHidden/>
    <w:pPr>
      <w:tabs>
        <w:tab w:val="clear" w:pos="340"/>
        <w:tab w:val="clear" w:pos="680"/>
      </w:tabs>
      <w:ind w:left="1400" w:hanging="200"/>
    </w:pPr>
  </w:style>
  <w:style w:type="paragraph" w:styleId="ndice8">
    <w:name w:val="index 8"/>
    <w:basedOn w:val="Normal"/>
    <w:next w:val="Normal"/>
    <w:autoRedefine/>
    <w:semiHidden/>
    <w:pPr>
      <w:tabs>
        <w:tab w:val="clear" w:pos="340"/>
        <w:tab w:val="clear" w:pos="680"/>
      </w:tabs>
      <w:ind w:left="1600" w:hanging="200"/>
    </w:pPr>
  </w:style>
  <w:style w:type="paragraph" w:styleId="ndice9">
    <w:name w:val="index 9"/>
    <w:basedOn w:val="Normal"/>
    <w:next w:val="Normal"/>
    <w:autoRedefine/>
    <w:semiHidden/>
    <w:pPr>
      <w:tabs>
        <w:tab w:val="clear" w:pos="340"/>
        <w:tab w:val="clear" w:pos="680"/>
      </w:tabs>
      <w:ind w:left="1800" w:hanging="200"/>
    </w:pPr>
  </w:style>
  <w:style w:type="paragraph" w:customStyle="1" w:styleId="StandardZG">
    <w:name w:val="StandardZG"/>
    <w:basedOn w:val="Normal"/>
    <w:pPr>
      <w:spacing w:line="230" w:lineRule="exact"/>
    </w:pPr>
  </w:style>
  <w:style w:type="paragraph" w:styleId="Textocomentario">
    <w:name w:val="annotation text"/>
    <w:basedOn w:val="Normal"/>
    <w:semiHidden/>
  </w:style>
  <w:style w:type="paragraph" w:customStyle="1" w:styleId="Kommentarthema">
    <w:name w:val="Kommentarthema"/>
    <w:basedOn w:val="Textocomentario"/>
    <w:next w:val="Textocomentario"/>
    <w:rPr>
      <w:b/>
      <w:bCs/>
    </w:rPr>
  </w:style>
  <w:style w:type="character" w:styleId="Refdecomentario">
    <w:name w:val="annotation reference"/>
    <w:semiHidden/>
    <w:rPr>
      <w:sz w:val="16"/>
      <w:szCs w:val="16"/>
    </w:r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val="en-US" w:eastAsia="de-DE"/>
    </w:rPr>
  </w:style>
  <w:style w:type="paragraph" w:styleId="Textoconsangra">
    <w:name w:val="table of authorities"/>
    <w:basedOn w:val="Normal"/>
    <w:next w:val="Normal"/>
    <w:semiHidden/>
    <w:pPr>
      <w:tabs>
        <w:tab w:val="clear" w:pos="340"/>
        <w:tab w:val="clear" w:pos="680"/>
      </w:tabs>
    </w:pPr>
  </w:style>
  <w:style w:type="character" w:customStyle="1" w:styleId="superscript">
    <w:name w:val="superscript"/>
    <w:rPr>
      <w:vertAlign w:val="superscript"/>
    </w:rPr>
  </w:style>
  <w:style w:type="paragraph" w:customStyle="1" w:styleId="Sprechblasentext">
    <w:name w:val="Sprechblasentext"/>
    <w:basedOn w:val="Normal"/>
    <w:rPr>
      <w:rFonts w:ascii="Tahoma" w:hAnsi="Tahoma" w:cs="Tahoma"/>
      <w:sz w:val="16"/>
      <w:szCs w:val="16"/>
    </w:rPr>
  </w:style>
  <w:style w:type="paragraph" w:styleId="TDC1">
    <w:name w:val="toc 1"/>
    <w:basedOn w:val="Normal"/>
    <w:next w:val="Normal"/>
    <w:autoRedefine/>
    <w:semiHidden/>
    <w:pPr>
      <w:tabs>
        <w:tab w:val="clear" w:pos="340"/>
        <w:tab w:val="clear" w:pos="680"/>
      </w:tabs>
    </w:pPr>
  </w:style>
  <w:style w:type="paragraph" w:styleId="TDC2">
    <w:name w:val="toc 2"/>
    <w:basedOn w:val="Normal"/>
    <w:next w:val="Normal"/>
    <w:autoRedefine/>
    <w:semiHidden/>
    <w:pPr>
      <w:tabs>
        <w:tab w:val="clear" w:pos="340"/>
        <w:tab w:val="clear" w:pos="680"/>
      </w:tabs>
      <w:ind w:left="200"/>
    </w:pPr>
  </w:style>
  <w:style w:type="paragraph" w:styleId="TDC3">
    <w:name w:val="toc 3"/>
    <w:basedOn w:val="Normal"/>
    <w:next w:val="Normal"/>
    <w:autoRedefine/>
    <w:semiHidden/>
    <w:pPr>
      <w:tabs>
        <w:tab w:val="clear" w:pos="340"/>
        <w:tab w:val="clear" w:pos="680"/>
      </w:tabs>
      <w:ind w:left="400"/>
    </w:pPr>
  </w:style>
  <w:style w:type="paragraph" w:styleId="TDC4">
    <w:name w:val="toc 4"/>
    <w:basedOn w:val="Normal"/>
    <w:next w:val="Normal"/>
    <w:autoRedefine/>
    <w:semiHidden/>
    <w:pPr>
      <w:tabs>
        <w:tab w:val="clear" w:pos="340"/>
        <w:tab w:val="clear" w:pos="680"/>
      </w:tabs>
      <w:ind w:left="600"/>
    </w:pPr>
  </w:style>
  <w:style w:type="paragraph" w:styleId="TDC5">
    <w:name w:val="toc 5"/>
    <w:basedOn w:val="Normal"/>
    <w:next w:val="Normal"/>
    <w:autoRedefine/>
    <w:semiHidden/>
    <w:pPr>
      <w:tabs>
        <w:tab w:val="clear" w:pos="340"/>
        <w:tab w:val="clear" w:pos="680"/>
      </w:tabs>
      <w:ind w:left="800"/>
    </w:pPr>
  </w:style>
  <w:style w:type="paragraph" w:styleId="TDC6">
    <w:name w:val="toc 6"/>
    <w:basedOn w:val="Normal"/>
    <w:next w:val="Normal"/>
    <w:autoRedefine/>
    <w:semiHidden/>
    <w:pPr>
      <w:tabs>
        <w:tab w:val="clear" w:pos="340"/>
        <w:tab w:val="clear" w:pos="680"/>
      </w:tabs>
      <w:ind w:left="1000"/>
    </w:pPr>
  </w:style>
  <w:style w:type="paragraph" w:styleId="TDC7">
    <w:name w:val="toc 7"/>
    <w:basedOn w:val="Normal"/>
    <w:next w:val="Normal"/>
    <w:autoRedefine/>
    <w:semiHidden/>
    <w:pPr>
      <w:tabs>
        <w:tab w:val="clear" w:pos="340"/>
        <w:tab w:val="clear" w:pos="680"/>
      </w:tabs>
      <w:ind w:left="1200"/>
    </w:pPr>
  </w:style>
  <w:style w:type="paragraph" w:styleId="TDC8">
    <w:name w:val="toc 8"/>
    <w:basedOn w:val="Normal"/>
    <w:next w:val="Normal"/>
    <w:autoRedefine/>
    <w:semiHidden/>
    <w:pPr>
      <w:tabs>
        <w:tab w:val="clear" w:pos="340"/>
        <w:tab w:val="clear" w:pos="680"/>
      </w:tabs>
      <w:ind w:left="1400"/>
    </w:pPr>
  </w:style>
  <w:style w:type="paragraph" w:styleId="TDC9">
    <w:name w:val="toc 9"/>
    <w:basedOn w:val="Normal"/>
    <w:next w:val="Normal"/>
    <w:autoRedefine/>
    <w:semiHidden/>
    <w:pPr>
      <w:tabs>
        <w:tab w:val="clear" w:pos="340"/>
        <w:tab w:val="clear" w:pos="680"/>
      </w:tabs>
      <w:ind w:left="1600"/>
    </w:pPr>
  </w:style>
  <w:style w:type="character" w:styleId="AcrnimoHTML">
    <w:name w:val="HTML Acronym"/>
    <w:basedOn w:val="Fuentedeprrafopredeter"/>
  </w:style>
  <w:style w:type="paragraph" w:styleId="HTMLconformatoprevio">
    <w:name w:val="HTML Preformatted"/>
    <w:basedOn w:val="Normal"/>
    <w:pPr>
      <w:ind w:firstLine="0"/>
    </w:pPr>
    <w:rPr>
      <w:rFonts w:ascii="Courier New" w:hAnsi="Courier New" w:cs="Courier New"/>
    </w:rPr>
  </w:style>
  <w:style w:type="paragraph" w:styleId="Textodeglobo">
    <w:name w:val="Balloon Text"/>
    <w:basedOn w:val="Normal"/>
    <w:semiHidden/>
    <w:rsid w:val="00025EA6"/>
    <w:rPr>
      <w:rFonts w:ascii="Tahoma" w:hAnsi="Tahoma" w:cs="Tahoma"/>
      <w:sz w:val="16"/>
      <w:szCs w:val="16"/>
    </w:rPr>
  </w:style>
  <w:style w:type="character" w:styleId="Textoennegrita">
    <w:name w:val="Strong"/>
    <w:qFormat/>
    <w:rsid w:val="00575744"/>
    <w:rPr>
      <w:b/>
      <w:bCs/>
    </w:rPr>
  </w:style>
  <w:style w:type="paragraph" w:styleId="Direccinsobre">
    <w:name w:val="envelope address"/>
    <w:basedOn w:val="Normal"/>
    <w:rPr>
      <w:rFonts w:cs="Arial"/>
      <w:szCs w:val="24"/>
    </w:rPr>
  </w:style>
  <w:style w:type="paragraph" w:styleId="Firma">
    <w:name w:val="Signature"/>
    <w:basedOn w:val="Normal"/>
  </w:style>
  <w:style w:type="paragraph" w:styleId="Subttulo">
    <w:name w:val="Subtitle"/>
    <w:basedOn w:val="Normal"/>
    <w:qFormat/>
    <w:rPr>
      <w:rFonts w:cs="Arial"/>
      <w:szCs w:val="24"/>
    </w:rPr>
  </w:style>
  <w:style w:type="character" w:customStyle="1" w:styleId="subscript">
    <w:name w:val="subscript"/>
    <w:rPr>
      <w:vertAlign w:val="subscript"/>
    </w:rPr>
  </w:style>
  <w:style w:type="character" w:customStyle="1" w:styleId="PiedepginaCar">
    <w:name w:val="Pie de página Car"/>
    <w:link w:val="Piedepgina"/>
    <w:uiPriority w:val="99"/>
    <w:rsid w:val="00981748"/>
    <w:rPr>
      <w:sz w:val="18"/>
      <w:lang w:val="en-US" w:eastAsia="de-DE"/>
    </w:rPr>
  </w:style>
  <w:style w:type="paragraph" w:customStyle="1" w:styleId="tablelegendInTable">
    <w:name w:val="tablelegendInTable"/>
    <w:basedOn w:val="tablelegend"/>
    <w:pPr>
      <w:spacing w:before="0"/>
    </w:pPr>
  </w:style>
  <w:style w:type="paragraph" w:styleId="Prrafodelista">
    <w:name w:val="List Paragraph"/>
    <w:basedOn w:val="Normal"/>
    <w:uiPriority w:val="34"/>
    <w:qFormat/>
    <w:rsid w:val="00595B9A"/>
    <w:pPr>
      <w:tabs>
        <w:tab w:val="clear" w:pos="340"/>
        <w:tab w:val="clear" w:pos="680"/>
      </w:tabs>
      <w:ind w:left="720" w:right="-567" w:firstLine="0"/>
      <w:contextualSpacing/>
    </w:pPr>
    <w:rPr>
      <w:rFonts w:ascii="Calibri" w:eastAsia="Calibri" w:hAnsi="Calibri"/>
      <w:sz w:val="22"/>
      <w:szCs w:val="22"/>
      <w:lang w:val="es-ES" w:eastAsia="en-US"/>
    </w:rPr>
  </w:style>
  <w:style w:type="character" w:customStyle="1" w:styleId="TextosinformatoCar">
    <w:name w:val="Texto sin formato Car"/>
    <w:link w:val="Textosinformato"/>
    <w:uiPriority w:val="99"/>
    <w:rsid w:val="009563E9"/>
    <w:rPr>
      <w:rFonts w:cs="Courier New"/>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73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viana.falcon@cigb.edu.cu"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usy\CONFIG~1\Temp\IFMBE_Proceedings_Template_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2BE3D-330F-4682-882E-91DA7D18E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IFMBE_Proceedings_Template_ES</Template>
  <TotalTime>19</TotalTime>
  <Pages>10</Pages>
  <Words>9603</Words>
  <Characters>52822</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Plantilla VIII Congreso SCB.doc</vt:lpstr>
    </vt:vector>
  </TitlesOfParts>
  <Company/>
  <LinksUpToDate>false</LinksUpToDate>
  <CharactersWithSpaces>62301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VIII Congreso SCB.doc</dc:title>
  <dc:subject/>
  <dc:creator>José Folgueras</dc:creator>
  <cp:keywords/>
  <dc:description/>
  <cp:lastModifiedBy>Usuario de Windows</cp:lastModifiedBy>
  <cp:revision>4</cp:revision>
  <cp:lastPrinted>2022-07-14T13:21:00Z</cp:lastPrinted>
  <dcterms:created xsi:type="dcterms:W3CDTF">2022-11-14T16:43:00Z</dcterms:created>
  <dcterms:modified xsi:type="dcterms:W3CDTF">2022-12-21T18:38:00Z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b0de1d03-7d35-30bb-974f-30ece9c9e6ef</vt:lpwstr>
  </property>
  <property fmtid="{D5CDD505-2E9C-101B-9397-08002B2CF9AE}" pid="24" name="Mendeley Citation Style_1">
    <vt:lpwstr>http://www.zotero.org/styles/vancouver</vt:lpwstr>
  </property>
</Properties>
</file>