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1E" w:rsidRPr="009B5DB1" w:rsidRDefault="00A55C1E" w:rsidP="00A55C1E">
      <w:pPr>
        <w:tabs>
          <w:tab w:val="left" w:pos="2268"/>
        </w:tabs>
        <w:spacing w:after="0" w:line="240" w:lineRule="auto"/>
        <w:ind w:right="-376"/>
        <w:jc w:val="center"/>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A55C1E" w:rsidRPr="009B5DB1" w:rsidRDefault="00A55C1E" w:rsidP="00A55C1E">
      <w:pPr>
        <w:tabs>
          <w:tab w:val="left" w:pos="2268"/>
        </w:tabs>
        <w:spacing w:after="0" w:line="240" w:lineRule="auto"/>
        <w:ind w:right="-376"/>
        <w:jc w:val="center"/>
        <w:rPr>
          <w:b/>
          <w:color w:val="C45911"/>
          <w:sz w:val="32"/>
          <w:szCs w:val="32"/>
        </w:rPr>
      </w:pPr>
      <w:r w:rsidRPr="009B5DB1">
        <w:rPr>
          <w:b/>
          <w:color w:val="C45911"/>
          <w:sz w:val="32"/>
          <w:szCs w:val="32"/>
        </w:rPr>
        <w:t>VI Congreso virtual de Ciencias Morfológicas.</w:t>
      </w:r>
    </w:p>
    <w:p w:rsidR="00A55C1E" w:rsidRPr="009B5DB1" w:rsidRDefault="00A55C1E" w:rsidP="00A55C1E">
      <w:pPr>
        <w:spacing w:after="0" w:line="240" w:lineRule="auto"/>
        <w:ind w:left="-425"/>
        <w:jc w:val="center"/>
        <w:rPr>
          <w:b/>
          <w:color w:val="C45911"/>
          <w:sz w:val="32"/>
          <w:szCs w:val="32"/>
        </w:rPr>
      </w:pPr>
      <w:r w:rsidRPr="009B5DB1">
        <w:rPr>
          <w:b/>
          <w:color w:val="C45911"/>
          <w:sz w:val="32"/>
          <w:szCs w:val="32"/>
        </w:rPr>
        <w:t>Sexta Jornada Científica de la Cátedra Santiago Ramón y Cajal.</w:t>
      </w:r>
    </w:p>
    <w:p w:rsidR="00F07182" w:rsidRPr="00A55C1E" w:rsidRDefault="00F07182" w:rsidP="00A55C1E">
      <w:pPr>
        <w:spacing w:after="0" w:line="360" w:lineRule="auto"/>
        <w:jc w:val="both"/>
        <w:rPr>
          <w:rFonts w:ascii="Verdana" w:hAnsi="Verdana" w:cs="Tahoma"/>
          <w:b/>
        </w:rPr>
      </w:pPr>
      <w:bookmarkStart w:id="0" w:name="_GoBack"/>
      <w:bookmarkEnd w:id="0"/>
    </w:p>
    <w:p w:rsidR="005C5565" w:rsidRPr="00A55C1E" w:rsidRDefault="00A55C1E" w:rsidP="00A55C1E">
      <w:pPr>
        <w:spacing w:after="0" w:line="360" w:lineRule="auto"/>
        <w:jc w:val="both"/>
        <w:rPr>
          <w:rFonts w:ascii="Verdana" w:hAnsi="Verdana" w:cs="Tahoma"/>
          <w:b/>
          <w:sz w:val="28"/>
        </w:rPr>
      </w:pPr>
      <w:r w:rsidRPr="00A55C1E">
        <w:rPr>
          <w:rFonts w:ascii="Verdana" w:hAnsi="Verdana" w:cs="Tahoma"/>
          <w:b/>
          <w:sz w:val="28"/>
        </w:rPr>
        <w:t>CARACTERIZACIÓN DE PACIENTES INGRESADOS CON NEUMONÍA Y PRUEBA DIAGNÓSTICA DE COVID-19 NEGATIVA EN UNIDAD DE CUIDADOS INTENSIVOS</w:t>
      </w:r>
    </w:p>
    <w:p w:rsidR="005C5565" w:rsidRPr="00A55C1E" w:rsidRDefault="00A55C1E" w:rsidP="00A55C1E">
      <w:pPr>
        <w:spacing w:after="0" w:line="360" w:lineRule="auto"/>
        <w:jc w:val="both"/>
        <w:rPr>
          <w:rFonts w:ascii="Verdana" w:hAnsi="Verdana" w:cs="Tahoma"/>
          <w:b/>
          <w:i/>
          <w:sz w:val="28"/>
          <w:lang w:val="en-US"/>
        </w:rPr>
      </w:pPr>
      <w:r w:rsidRPr="00A55C1E">
        <w:rPr>
          <w:rFonts w:ascii="Verdana" w:hAnsi="Verdana" w:cs="Tahoma"/>
          <w:b/>
          <w:i/>
          <w:sz w:val="28"/>
          <w:lang w:val="en-US"/>
        </w:rPr>
        <w:t>CHARACTERIZATION OF PATIENTS ADMITTED WITH PNEUMONIA AND A NEGATIVE DIAGNOSTIC TEST FOR COVID-19 IN THE INTENSIVE CARE UNIT</w:t>
      </w:r>
    </w:p>
    <w:p w:rsidR="00BD7BC4" w:rsidRPr="00A55C1E" w:rsidRDefault="00BD7BC4" w:rsidP="00A55C1E">
      <w:pPr>
        <w:spacing w:after="0" w:line="360" w:lineRule="auto"/>
        <w:jc w:val="both"/>
        <w:rPr>
          <w:rFonts w:ascii="Verdana" w:hAnsi="Verdana" w:cs="Tahoma"/>
          <w:b/>
          <w:highlight w:val="yellow"/>
          <w:lang w:val="en-US"/>
        </w:rPr>
      </w:pPr>
    </w:p>
    <w:p w:rsidR="00BD7BC4" w:rsidRPr="00A55C1E" w:rsidRDefault="00BD7BC4" w:rsidP="00A55C1E">
      <w:pPr>
        <w:spacing w:after="0" w:line="360" w:lineRule="auto"/>
        <w:jc w:val="both"/>
        <w:rPr>
          <w:rFonts w:ascii="Verdana" w:hAnsi="Verdana" w:cs="Tahoma"/>
          <w:lang w:val="en-US"/>
        </w:rPr>
      </w:pPr>
      <w:r w:rsidRPr="00A55C1E">
        <w:rPr>
          <w:rFonts w:ascii="Verdana" w:hAnsi="Verdana" w:cs="Tahoma"/>
        </w:rPr>
        <w:t xml:space="preserve">Rodolfo Javier Rivero Morey </w:t>
      </w:r>
      <w:r w:rsidRPr="00A55C1E">
        <w:rPr>
          <w:rFonts w:ascii="Verdana" w:hAnsi="Verdana" w:cs="Tahoma"/>
          <w:vertAlign w:val="superscript"/>
        </w:rPr>
        <w:t>1</w:t>
      </w:r>
      <w:r w:rsidRPr="00A55C1E">
        <w:rPr>
          <w:rFonts w:ascii="Verdana" w:hAnsi="Verdana" w:cs="Tahoma"/>
          <w:b/>
        </w:rPr>
        <w:t>*</w:t>
      </w:r>
      <w:r w:rsidRPr="00A55C1E">
        <w:rPr>
          <w:rFonts w:ascii="Verdana" w:hAnsi="Verdana" w:cs="Tahoma"/>
          <w:vertAlign w:val="superscript"/>
        </w:rPr>
        <w:t xml:space="preserve"> </w:t>
      </w:r>
      <w:hyperlink r:id="rId5" w:history="1">
        <w:r w:rsidRPr="00A55C1E">
          <w:rPr>
            <w:rStyle w:val="Hipervnculo"/>
            <w:rFonts w:ascii="Verdana" w:hAnsi="Verdana" w:cs="Tahoma"/>
          </w:rPr>
          <w:t>https://orcid.org/0000-0003-2484-9597</w:t>
        </w:r>
      </w:hyperlink>
    </w:p>
    <w:p w:rsidR="00BD7BC4" w:rsidRPr="00A55C1E" w:rsidRDefault="00BD7BC4" w:rsidP="00A55C1E">
      <w:pPr>
        <w:spacing w:after="0" w:line="360" w:lineRule="auto"/>
        <w:jc w:val="both"/>
        <w:rPr>
          <w:rFonts w:ascii="Verdana" w:hAnsi="Verdana" w:cs="Tahoma"/>
          <w:lang w:val="en-US"/>
        </w:rPr>
      </w:pPr>
      <w:r w:rsidRPr="00A55C1E">
        <w:rPr>
          <w:rFonts w:ascii="Verdana" w:hAnsi="Verdana" w:cs="Tahoma"/>
          <w:lang w:val="en-US"/>
        </w:rPr>
        <w:t xml:space="preserve">Lietter Aguilar Jure </w:t>
      </w:r>
      <w:r w:rsidRPr="00A55C1E">
        <w:rPr>
          <w:rFonts w:ascii="Verdana" w:hAnsi="Verdana" w:cs="Tahoma"/>
          <w:vertAlign w:val="superscript"/>
          <w:lang w:val="en-US"/>
        </w:rPr>
        <w:t xml:space="preserve">2 </w:t>
      </w:r>
      <w:hyperlink r:id="rId6" w:history="1">
        <w:r w:rsidRPr="00A55C1E">
          <w:rPr>
            <w:rStyle w:val="Hipervnculo"/>
            <w:rFonts w:ascii="Verdana" w:hAnsi="Verdana" w:cs="Tahoma"/>
            <w:lang w:val="en-US"/>
          </w:rPr>
          <w:t>https://orcid.org/0000-0001-8608-955X</w:t>
        </w:r>
      </w:hyperlink>
      <w:r w:rsidRPr="00A55C1E">
        <w:rPr>
          <w:rFonts w:ascii="Verdana" w:hAnsi="Verdana" w:cs="Tahoma"/>
          <w:lang w:val="en-US"/>
        </w:rPr>
        <w:t xml:space="preserve"> </w:t>
      </w:r>
    </w:p>
    <w:p w:rsidR="00BD7BC4" w:rsidRPr="00A55C1E" w:rsidRDefault="00BD7BC4" w:rsidP="00A55C1E">
      <w:pPr>
        <w:spacing w:after="0" w:line="360" w:lineRule="auto"/>
        <w:jc w:val="both"/>
        <w:rPr>
          <w:rFonts w:ascii="Verdana" w:hAnsi="Verdana" w:cs="Tahoma"/>
        </w:rPr>
      </w:pPr>
      <w:proofErr w:type="spellStart"/>
      <w:r w:rsidRPr="00A55C1E">
        <w:rPr>
          <w:rFonts w:ascii="Verdana" w:hAnsi="Verdana" w:cs="Tahoma"/>
        </w:rPr>
        <w:t>Yenisel</w:t>
      </w:r>
      <w:proofErr w:type="spellEnd"/>
      <w:r w:rsidRPr="00A55C1E">
        <w:rPr>
          <w:rFonts w:ascii="Verdana" w:hAnsi="Verdana" w:cs="Tahoma"/>
        </w:rPr>
        <w:t xml:space="preserve"> Chang Cuesta </w:t>
      </w:r>
      <w:r w:rsidRPr="00A55C1E">
        <w:rPr>
          <w:rFonts w:ascii="Verdana" w:hAnsi="Verdana" w:cs="Tahoma"/>
          <w:vertAlign w:val="superscript"/>
        </w:rPr>
        <w:t>2</w:t>
      </w:r>
      <w:r w:rsidRPr="00A55C1E">
        <w:rPr>
          <w:rFonts w:ascii="Verdana" w:hAnsi="Verdana" w:cs="Tahoma"/>
        </w:rPr>
        <w:t xml:space="preserve"> </w:t>
      </w:r>
      <w:hyperlink r:id="rId7" w:history="1">
        <w:r w:rsidRPr="00A55C1E">
          <w:rPr>
            <w:rStyle w:val="Hipervnculo"/>
            <w:rFonts w:ascii="Verdana" w:hAnsi="Verdana" w:cs="Tahoma"/>
          </w:rPr>
          <w:t>https://orcid.org/0000-0002-6357-6045</w:t>
        </w:r>
      </w:hyperlink>
      <w:r w:rsidRPr="00A55C1E">
        <w:rPr>
          <w:rFonts w:ascii="Verdana" w:hAnsi="Verdana" w:cs="Tahoma"/>
        </w:rPr>
        <w:t xml:space="preserve"> </w:t>
      </w:r>
    </w:p>
    <w:p w:rsidR="00BD7BC4" w:rsidRPr="00A55C1E" w:rsidRDefault="00BD7BC4" w:rsidP="00A55C1E">
      <w:pPr>
        <w:spacing w:after="0" w:line="360" w:lineRule="auto"/>
        <w:jc w:val="both"/>
        <w:rPr>
          <w:rFonts w:ascii="Verdana" w:hAnsi="Verdana" w:cs="Tahoma"/>
        </w:rPr>
      </w:pPr>
      <w:proofErr w:type="spellStart"/>
      <w:r w:rsidRPr="00A55C1E">
        <w:rPr>
          <w:rFonts w:ascii="Verdana" w:hAnsi="Verdana" w:cs="Tahoma"/>
        </w:rPr>
        <w:t>Inte</w:t>
      </w:r>
      <w:proofErr w:type="spellEnd"/>
      <w:r w:rsidRPr="00A55C1E">
        <w:rPr>
          <w:rFonts w:ascii="Verdana" w:hAnsi="Verdana" w:cs="Tahoma"/>
        </w:rPr>
        <w:t xml:space="preserve"> Santana </w:t>
      </w:r>
      <w:proofErr w:type="spellStart"/>
      <w:r w:rsidRPr="00A55C1E">
        <w:rPr>
          <w:rFonts w:ascii="Verdana" w:hAnsi="Verdana" w:cs="Tahoma"/>
        </w:rPr>
        <w:t>Carballosa</w:t>
      </w:r>
      <w:proofErr w:type="spellEnd"/>
      <w:r w:rsidRPr="00A55C1E">
        <w:rPr>
          <w:rFonts w:ascii="Verdana" w:hAnsi="Verdana" w:cs="Tahoma"/>
        </w:rPr>
        <w:t xml:space="preserve"> </w:t>
      </w:r>
      <w:r w:rsidRPr="00A55C1E">
        <w:rPr>
          <w:rFonts w:ascii="Verdana" w:hAnsi="Verdana" w:cs="Tahoma"/>
          <w:vertAlign w:val="superscript"/>
        </w:rPr>
        <w:t>2</w:t>
      </w:r>
      <w:r w:rsidRPr="00A55C1E">
        <w:rPr>
          <w:rFonts w:ascii="Verdana" w:hAnsi="Verdana" w:cs="Tahoma"/>
        </w:rPr>
        <w:t xml:space="preserve"> </w:t>
      </w:r>
      <w:hyperlink r:id="rId8" w:history="1">
        <w:r w:rsidRPr="00A55C1E">
          <w:rPr>
            <w:rStyle w:val="Hipervnculo"/>
            <w:rFonts w:ascii="Verdana" w:hAnsi="Verdana" w:cs="Tahoma"/>
          </w:rPr>
          <w:t>https://orcid.org/0000-0003-4869-928X</w:t>
        </w:r>
      </w:hyperlink>
      <w:r w:rsidRPr="00A55C1E">
        <w:rPr>
          <w:rFonts w:ascii="Verdana" w:hAnsi="Verdana" w:cs="Tahoma"/>
        </w:rPr>
        <w:t xml:space="preserve"> </w:t>
      </w:r>
    </w:p>
    <w:p w:rsidR="00BD7BC4" w:rsidRPr="00A55C1E" w:rsidRDefault="00BD7BC4" w:rsidP="00A55C1E">
      <w:pPr>
        <w:spacing w:after="0" w:line="360" w:lineRule="auto"/>
        <w:jc w:val="both"/>
        <w:rPr>
          <w:rFonts w:ascii="Verdana" w:hAnsi="Verdana" w:cs="Tahoma"/>
        </w:rPr>
      </w:pPr>
      <w:r w:rsidRPr="00A55C1E">
        <w:rPr>
          <w:rFonts w:ascii="Verdana" w:hAnsi="Verdana" w:cs="Tahoma"/>
        </w:rPr>
        <w:t xml:space="preserve">Víctor René Navarro Machado </w:t>
      </w:r>
      <w:r w:rsidRPr="00A55C1E">
        <w:rPr>
          <w:rFonts w:ascii="Verdana" w:hAnsi="Verdana" w:cs="Tahoma"/>
          <w:vertAlign w:val="superscript"/>
        </w:rPr>
        <w:t>3</w:t>
      </w:r>
      <w:r w:rsidRPr="00A55C1E">
        <w:rPr>
          <w:rFonts w:ascii="Verdana" w:hAnsi="Verdana" w:cs="Tahoma"/>
        </w:rPr>
        <w:t xml:space="preserve"> </w:t>
      </w:r>
      <w:hyperlink r:id="rId9" w:tgtFrame="_blank" w:history="1">
        <w:r w:rsidRPr="00A55C1E">
          <w:rPr>
            <w:rStyle w:val="Hipervnculo"/>
            <w:rFonts w:ascii="Verdana" w:hAnsi="Verdana" w:cs="Tahoma"/>
          </w:rPr>
          <w:t>http://orcid.org/0000-0003-1826-3928</w:t>
        </w:r>
      </w:hyperlink>
      <w:r w:rsidRPr="00A55C1E">
        <w:rPr>
          <w:rStyle w:val="Hipervnculo"/>
          <w:rFonts w:ascii="Verdana" w:eastAsia="Times New Roman" w:hAnsi="Verdana" w:cs="Tahoma"/>
          <w:color w:val="auto"/>
        </w:rPr>
        <w:t xml:space="preserve"> </w:t>
      </w:r>
    </w:p>
    <w:p w:rsidR="00BD7BC4" w:rsidRPr="00A55C1E" w:rsidRDefault="00BD7BC4" w:rsidP="00A55C1E">
      <w:pPr>
        <w:spacing w:after="0" w:line="360" w:lineRule="auto"/>
        <w:jc w:val="both"/>
        <w:rPr>
          <w:rFonts w:ascii="Verdana" w:hAnsi="Verdana" w:cs="Tahoma"/>
        </w:rPr>
      </w:pPr>
      <w:r w:rsidRPr="00A55C1E">
        <w:rPr>
          <w:rFonts w:ascii="Verdana" w:hAnsi="Verdana" w:cs="Tahoma"/>
        </w:rPr>
        <w:t>Lya del Rosario Magariño Abreus</w:t>
      </w:r>
      <w:r w:rsidRPr="00A55C1E">
        <w:rPr>
          <w:rFonts w:ascii="Verdana" w:hAnsi="Verdana" w:cs="Tahoma"/>
          <w:vertAlign w:val="superscript"/>
        </w:rPr>
        <w:t xml:space="preserve"> 4 </w:t>
      </w:r>
      <w:hyperlink r:id="rId10" w:history="1">
        <w:r w:rsidRPr="00A55C1E">
          <w:rPr>
            <w:rStyle w:val="Hipervnculo"/>
            <w:rFonts w:ascii="Verdana" w:eastAsia="Times New Roman" w:hAnsi="Verdana" w:cs="Tahoma"/>
          </w:rPr>
          <w:t>https://orcid.org/0000-0002-9933-5323</w:t>
        </w:r>
      </w:hyperlink>
      <w:r w:rsidRPr="00A55C1E">
        <w:rPr>
          <w:rFonts w:ascii="Verdana" w:eastAsia="Times New Roman" w:hAnsi="Verdana" w:cs="Tahoma"/>
        </w:rPr>
        <w:t xml:space="preserve"> </w:t>
      </w:r>
    </w:p>
    <w:p w:rsidR="00BD7BC4" w:rsidRPr="00A55C1E" w:rsidRDefault="00BD7BC4" w:rsidP="00A55C1E">
      <w:pPr>
        <w:spacing w:after="0" w:line="360" w:lineRule="auto"/>
        <w:jc w:val="both"/>
        <w:rPr>
          <w:rFonts w:ascii="Verdana" w:hAnsi="Verdana" w:cs="Tahoma"/>
        </w:rPr>
      </w:pPr>
    </w:p>
    <w:p w:rsidR="00BD7BC4" w:rsidRPr="00A55C1E" w:rsidRDefault="00BD7BC4" w:rsidP="00A55C1E">
      <w:pPr>
        <w:spacing w:after="0" w:line="360" w:lineRule="auto"/>
        <w:jc w:val="both"/>
        <w:rPr>
          <w:rFonts w:ascii="Verdana" w:hAnsi="Verdana" w:cs="Tahoma"/>
        </w:rPr>
      </w:pPr>
      <w:r w:rsidRPr="00A55C1E">
        <w:rPr>
          <w:rFonts w:ascii="Verdana" w:hAnsi="Verdana" w:cs="Tahoma"/>
          <w:vertAlign w:val="superscript"/>
        </w:rPr>
        <w:t xml:space="preserve">1 </w:t>
      </w:r>
      <w:r w:rsidRPr="00A55C1E">
        <w:rPr>
          <w:rFonts w:ascii="Verdana" w:hAnsi="Verdana" w:cs="Tahoma"/>
        </w:rPr>
        <w:t xml:space="preserve">Universidad de Ciencias Médicas de Cienfuegos. Facultad de Medicina. Cienfuegos, Cuba. </w:t>
      </w:r>
    </w:p>
    <w:p w:rsidR="00BD7BC4" w:rsidRPr="00A55C1E" w:rsidRDefault="00BD7BC4" w:rsidP="00A55C1E">
      <w:pPr>
        <w:spacing w:after="0" w:line="360" w:lineRule="auto"/>
        <w:jc w:val="both"/>
        <w:rPr>
          <w:rFonts w:ascii="Verdana" w:hAnsi="Verdana" w:cs="Tahoma"/>
        </w:rPr>
      </w:pPr>
      <w:r w:rsidRPr="00A55C1E">
        <w:rPr>
          <w:rFonts w:ascii="Verdana" w:hAnsi="Verdana" w:cs="Tahoma"/>
          <w:vertAlign w:val="superscript"/>
        </w:rPr>
        <w:t xml:space="preserve">2 </w:t>
      </w:r>
      <w:r w:rsidRPr="00A55C1E">
        <w:rPr>
          <w:rFonts w:ascii="Verdana" w:hAnsi="Verdana" w:cs="Tahoma"/>
        </w:rPr>
        <w:t>Hospital Provincial ¨Dr. Gustavo Aldereguía Lima¨. Cienfuegos, Cuba.</w:t>
      </w:r>
    </w:p>
    <w:p w:rsidR="00BD7BC4" w:rsidRPr="00A55C1E" w:rsidRDefault="00BD7BC4" w:rsidP="00A55C1E">
      <w:pPr>
        <w:spacing w:after="0" w:line="360" w:lineRule="auto"/>
        <w:jc w:val="both"/>
        <w:rPr>
          <w:rFonts w:ascii="Verdana" w:hAnsi="Verdana" w:cs="Tahoma"/>
        </w:rPr>
      </w:pPr>
      <w:r w:rsidRPr="00A55C1E">
        <w:rPr>
          <w:rFonts w:ascii="Verdana" w:hAnsi="Verdana" w:cs="Tahoma"/>
          <w:vertAlign w:val="superscript"/>
        </w:rPr>
        <w:t>3</w:t>
      </w:r>
      <w:r w:rsidRPr="00A55C1E">
        <w:rPr>
          <w:rFonts w:ascii="Verdana" w:hAnsi="Verdana" w:cs="Tahoma"/>
        </w:rPr>
        <w:t xml:space="preserve"> Universidad de Ciencias Médicas de Cienfuegos. Cienfuegos, Cuba. </w:t>
      </w:r>
    </w:p>
    <w:p w:rsidR="00BD7BC4" w:rsidRPr="00A55C1E" w:rsidRDefault="00BD7BC4" w:rsidP="00A55C1E">
      <w:pPr>
        <w:spacing w:after="0" w:line="360" w:lineRule="auto"/>
        <w:jc w:val="both"/>
        <w:rPr>
          <w:rFonts w:ascii="Verdana" w:hAnsi="Verdana" w:cs="Tahoma"/>
        </w:rPr>
      </w:pPr>
      <w:r w:rsidRPr="00A55C1E">
        <w:rPr>
          <w:rFonts w:ascii="Verdana" w:hAnsi="Verdana" w:cs="Tahoma"/>
          <w:vertAlign w:val="superscript"/>
        </w:rPr>
        <w:t xml:space="preserve">4 </w:t>
      </w:r>
      <w:r w:rsidRPr="00A55C1E">
        <w:rPr>
          <w:rFonts w:ascii="Verdana" w:hAnsi="Verdana" w:cs="Tahoma"/>
        </w:rPr>
        <w:t xml:space="preserve">Universidad de Ciencias Médicas de Cienfuegos. Facultad de Medicina. Cienfuegos, Cuba. </w:t>
      </w:r>
    </w:p>
    <w:p w:rsidR="00BD7BC4" w:rsidRPr="00A55C1E" w:rsidRDefault="00BD7BC4" w:rsidP="00A55C1E">
      <w:pPr>
        <w:spacing w:after="0" w:line="360" w:lineRule="auto"/>
        <w:jc w:val="both"/>
        <w:rPr>
          <w:rFonts w:ascii="Verdana" w:hAnsi="Verdana" w:cs="Tahoma"/>
        </w:rPr>
      </w:pPr>
    </w:p>
    <w:p w:rsidR="00BD7BC4" w:rsidRPr="00A55C1E" w:rsidRDefault="00BD7BC4" w:rsidP="00A55C1E">
      <w:pPr>
        <w:spacing w:after="0" w:line="360" w:lineRule="auto"/>
        <w:rPr>
          <w:rFonts w:ascii="Verdana" w:hAnsi="Verdana" w:cs="Tahoma"/>
        </w:rPr>
      </w:pPr>
      <w:r w:rsidRPr="00A55C1E">
        <w:rPr>
          <w:rFonts w:ascii="Verdana" w:hAnsi="Verdana" w:cs="Tahoma"/>
          <w:b/>
        </w:rPr>
        <w:t xml:space="preserve">*Autor para la correspondencia: </w:t>
      </w:r>
      <w:r w:rsidRPr="00A55C1E">
        <w:rPr>
          <w:rFonts w:ascii="Verdana" w:hAnsi="Verdana" w:cs="Tahoma"/>
        </w:rPr>
        <w:t xml:space="preserve">Rodolfo Javier Rivero Morey </w:t>
      </w:r>
      <w:hyperlink r:id="rId11" w:history="1">
        <w:r w:rsidRPr="00A55C1E">
          <w:rPr>
            <w:rStyle w:val="Hipervnculo"/>
            <w:rFonts w:ascii="Verdana" w:hAnsi="Verdana" w:cs="Tahoma"/>
          </w:rPr>
          <w:t>javiermorey98@</w:t>
        </w:r>
      </w:hyperlink>
      <w:r w:rsidRPr="00A55C1E">
        <w:rPr>
          <w:rStyle w:val="Hipervnculo"/>
          <w:rFonts w:ascii="Verdana" w:hAnsi="Verdana" w:cs="Tahoma"/>
        </w:rPr>
        <w:t>gmail.com</w:t>
      </w:r>
      <w:r w:rsidRPr="00A55C1E">
        <w:rPr>
          <w:rFonts w:ascii="Verdana" w:hAnsi="Verdana" w:cs="Tahoma"/>
        </w:rPr>
        <w:t xml:space="preserve"> 58350854 </w:t>
      </w:r>
    </w:p>
    <w:p w:rsidR="00571B34" w:rsidRPr="00A55C1E" w:rsidRDefault="00571B34" w:rsidP="00A55C1E">
      <w:pPr>
        <w:spacing w:after="0" w:line="360" w:lineRule="auto"/>
        <w:jc w:val="both"/>
        <w:rPr>
          <w:rFonts w:ascii="Verdana" w:hAnsi="Verdana" w:cs="Tahoma"/>
        </w:rPr>
      </w:pPr>
    </w:p>
    <w:p w:rsidR="00BD7BC4" w:rsidRPr="00A55C1E" w:rsidRDefault="00BD7BC4" w:rsidP="00A55C1E">
      <w:pPr>
        <w:tabs>
          <w:tab w:val="left" w:pos="927"/>
        </w:tabs>
        <w:spacing w:line="360" w:lineRule="auto"/>
        <w:jc w:val="both"/>
        <w:rPr>
          <w:rFonts w:ascii="Verdana" w:hAnsi="Verdana" w:cs="Tahoma"/>
        </w:rPr>
      </w:pPr>
      <w:r w:rsidRPr="00A55C1E">
        <w:rPr>
          <w:rFonts w:ascii="Verdana" w:hAnsi="Verdana" w:cs="Tahoma"/>
          <w:b/>
        </w:rPr>
        <w:t>CONFLICTO DE INTERESES</w:t>
      </w:r>
      <w:r w:rsidRPr="00A55C1E">
        <w:rPr>
          <w:rFonts w:ascii="Verdana" w:hAnsi="Verdana" w:cs="Tahoma"/>
        </w:rPr>
        <w:t xml:space="preserve"> Los autores declaran que no existe conflicto de intereses. </w:t>
      </w:r>
    </w:p>
    <w:p w:rsidR="00BD7BC4" w:rsidRPr="00A55C1E" w:rsidRDefault="00BD7BC4" w:rsidP="00A55C1E">
      <w:pPr>
        <w:tabs>
          <w:tab w:val="left" w:pos="927"/>
        </w:tabs>
        <w:spacing w:after="0" w:line="360" w:lineRule="auto"/>
        <w:jc w:val="both"/>
        <w:rPr>
          <w:rFonts w:ascii="Verdana" w:hAnsi="Verdana" w:cs="Tahoma"/>
          <w:b/>
        </w:rPr>
      </w:pPr>
      <w:r w:rsidRPr="00A55C1E">
        <w:rPr>
          <w:rFonts w:ascii="Verdana" w:hAnsi="Verdana" w:cs="Tahoma"/>
          <w:b/>
        </w:rPr>
        <w:lastRenderedPageBreak/>
        <w:t>CONTRIBUCIÓN DE AUTORÍA</w:t>
      </w:r>
    </w:p>
    <w:p w:rsidR="00BD7BC4" w:rsidRPr="00A55C1E" w:rsidRDefault="00BD7BC4" w:rsidP="00A55C1E">
      <w:pPr>
        <w:spacing w:after="0" w:line="360" w:lineRule="auto"/>
        <w:jc w:val="both"/>
        <w:rPr>
          <w:rFonts w:ascii="Verdana" w:hAnsi="Verdana" w:cs="Tahoma"/>
        </w:rPr>
      </w:pPr>
      <w:r w:rsidRPr="00A55C1E">
        <w:rPr>
          <w:rFonts w:ascii="Verdana" w:hAnsi="Verdana" w:cs="Tahoma"/>
        </w:rPr>
        <w:t>Conceptualización: LAJ, YST, IST, LRMA</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Curación de datos: IST, LRMA</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Análisis formal: LAJ, YST, IST, LRMA</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Investigación: RJRM, LAJ</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 xml:space="preserve">Metodología: VRNM, RJRM </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Administración del proyecto: VRNM, RJRM</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Supervisión: LAJ, YST</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 xml:space="preserve">Validación: LAJ </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Visualización: IST, LRMA</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Redacción-borrador original: VRNM, RJRM, LAJ.</w:t>
      </w:r>
    </w:p>
    <w:p w:rsidR="00BD7BC4" w:rsidRPr="00A55C1E" w:rsidRDefault="00BD7BC4" w:rsidP="00A55C1E">
      <w:pPr>
        <w:tabs>
          <w:tab w:val="left" w:pos="927"/>
        </w:tabs>
        <w:spacing w:after="0" w:line="360" w:lineRule="auto"/>
        <w:jc w:val="both"/>
        <w:rPr>
          <w:rFonts w:ascii="Verdana" w:hAnsi="Verdana" w:cs="Tahoma"/>
        </w:rPr>
      </w:pPr>
      <w:r w:rsidRPr="00A55C1E">
        <w:rPr>
          <w:rFonts w:ascii="Verdana" w:hAnsi="Verdana" w:cs="Tahoma"/>
        </w:rPr>
        <w:t>Redacción-revisión y edición: VRNM, RJRM, LAJ</w:t>
      </w:r>
    </w:p>
    <w:p w:rsidR="00BD7BC4" w:rsidRPr="00A55C1E" w:rsidRDefault="00BD7BC4" w:rsidP="00A55C1E">
      <w:pPr>
        <w:tabs>
          <w:tab w:val="left" w:pos="927"/>
        </w:tabs>
        <w:spacing w:after="0" w:line="360" w:lineRule="auto"/>
        <w:jc w:val="both"/>
        <w:rPr>
          <w:rFonts w:ascii="Verdana" w:hAnsi="Verdana" w:cs="Tahoma"/>
        </w:rPr>
      </w:pPr>
    </w:p>
    <w:p w:rsidR="00BD7BC4" w:rsidRPr="00A55C1E" w:rsidRDefault="00BD7BC4" w:rsidP="00A55C1E">
      <w:pPr>
        <w:tabs>
          <w:tab w:val="left" w:pos="927"/>
        </w:tabs>
        <w:spacing w:line="360" w:lineRule="auto"/>
        <w:jc w:val="both"/>
        <w:rPr>
          <w:rFonts w:ascii="Verdana" w:hAnsi="Verdana" w:cs="Tahoma"/>
        </w:rPr>
      </w:pPr>
      <w:r w:rsidRPr="00A55C1E">
        <w:rPr>
          <w:rFonts w:ascii="Verdana" w:hAnsi="Verdana" w:cs="Tahoma"/>
          <w:b/>
        </w:rPr>
        <w:t>FINANCIACIÓN</w:t>
      </w:r>
      <w:r w:rsidRPr="00A55C1E">
        <w:rPr>
          <w:rFonts w:ascii="Verdana" w:hAnsi="Verdana" w:cs="Tahoma"/>
        </w:rPr>
        <w:t xml:space="preserve"> Los autores no recibieron financiación para el desarrollo de la presente investigación.</w:t>
      </w:r>
    </w:p>
    <w:p w:rsidR="00B12101" w:rsidRPr="00A55C1E" w:rsidRDefault="00B12101" w:rsidP="00A55C1E">
      <w:pPr>
        <w:spacing w:after="0" w:line="360" w:lineRule="auto"/>
        <w:jc w:val="both"/>
        <w:rPr>
          <w:rFonts w:ascii="Verdana" w:hAnsi="Verdana" w:cs="Tahoma"/>
          <w:b/>
        </w:rPr>
      </w:pPr>
    </w:p>
    <w:p w:rsidR="00B12101" w:rsidRPr="00A55C1E" w:rsidRDefault="00B12101" w:rsidP="00A55C1E">
      <w:pPr>
        <w:spacing w:after="0" w:line="360" w:lineRule="auto"/>
        <w:jc w:val="both"/>
        <w:rPr>
          <w:rFonts w:ascii="Verdana" w:hAnsi="Verdana" w:cs="Tahoma"/>
          <w:b/>
        </w:rPr>
      </w:pPr>
    </w:p>
    <w:p w:rsidR="00571B34" w:rsidRPr="00A55C1E" w:rsidRDefault="0045322E" w:rsidP="00A55C1E">
      <w:pPr>
        <w:spacing w:after="0" w:line="360" w:lineRule="auto"/>
        <w:jc w:val="both"/>
        <w:rPr>
          <w:rFonts w:ascii="Verdana" w:hAnsi="Verdana" w:cs="Tahoma"/>
          <w:b/>
        </w:rPr>
      </w:pPr>
      <w:r w:rsidRPr="00A55C1E">
        <w:rPr>
          <w:rFonts w:ascii="Verdana" w:hAnsi="Verdana" w:cs="Tahoma"/>
          <w:b/>
        </w:rPr>
        <w:t>RESUMEN</w:t>
      </w:r>
    </w:p>
    <w:p w:rsidR="003209F3" w:rsidRPr="00A55C1E" w:rsidRDefault="0045322E" w:rsidP="00A55C1E">
      <w:pPr>
        <w:spacing w:after="0" w:line="360" w:lineRule="auto"/>
        <w:jc w:val="both"/>
        <w:rPr>
          <w:rFonts w:ascii="Verdana" w:hAnsi="Verdana" w:cs="Tahoma"/>
        </w:rPr>
      </w:pPr>
      <w:r w:rsidRPr="00A55C1E">
        <w:rPr>
          <w:rFonts w:ascii="Verdana" w:hAnsi="Verdana" w:cs="Tahoma"/>
          <w:b/>
        </w:rPr>
        <w:t>Introducción:</w:t>
      </w:r>
      <w:r w:rsidRPr="00A55C1E">
        <w:rPr>
          <w:rFonts w:ascii="Verdana" w:hAnsi="Verdana" w:cs="Tahoma"/>
        </w:rPr>
        <w:t xml:space="preserve"> </w:t>
      </w:r>
      <w:r w:rsidR="004D3370" w:rsidRPr="00A55C1E">
        <w:rPr>
          <w:rFonts w:ascii="Verdana" w:hAnsi="Verdana" w:cs="Tahoma"/>
        </w:rPr>
        <w:t xml:space="preserve">la epidemia de la COVID-19 ha constituido un reto para los profesionales de la salud cubanos. </w:t>
      </w:r>
    </w:p>
    <w:p w:rsidR="003209F3" w:rsidRPr="00A55C1E" w:rsidRDefault="0045322E" w:rsidP="00A55C1E">
      <w:pPr>
        <w:spacing w:after="0" w:line="360" w:lineRule="auto"/>
        <w:jc w:val="both"/>
        <w:rPr>
          <w:rFonts w:ascii="Verdana" w:hAnsi="Verdana" w:cs="Tahoma"/>
        </w:rPr>
      </w:pPr>
      <w:r w:rsidRPr="00A55C1E">
        <w:rPr>
          <w:rFonts w:ascii="Verdana" w:hAnsi="Verdana" w:cs="Tahoma"/>
          <w:b/>
        </w:rPr>
        <w:t>Objetivo:</w:t>
      </w:r>
      <w:r w:rsidRPr="00A55C1E">
        <w:rPr>
          <w:rFonts w:ascii="Verdana" w:hAnsi="Verdana" w:cs="Tahoma"/>
        </w:rPr>
        <w:t xml:space="preserve"> </w:t>
      </w:r>
      <w:r w:rsidR="003B76E4" w:rsidRPr="00A55C1E">
        <w:rPr>
          <w:rFonts w:ascii="Verdana" w:hAnsi="Verdana" w:cs="Tahoma"/>
        </w:rPr>
        <w:t>caracterizar a los pacientes ingresados en unidad de cuidados intensivos con diagnóstico de neumonía adquirida en la comunidad y negativos a COVID-19.</w:t>
      </w:r>
    </w:p>
    <w:p w:rsidR="00FD5D9C" w:rsidRPr="00A55C1E" w:rsidRDefault="0045322E" w:rsidP="00A55C1E">
      <w:pPr>
        <w:spacing w:after="0" w:line="360" w:lineRule="auto"/>
        <w:jc w:val="both"/>
        <w:rPr>
          <w:rFonts w:ascii="Verdana" w:hAnsi="Verdana" w:cs="Tahoma"/>
        </w:rPr>
      </w:pPr>
      <w:r w:rsidRPr="00A55C1E">
        <w:rPr>
          <w:rFonts w:ascii="Verdana" w:hAnsi="Verdana" w:cs="Tahoma"/>
          <w:b/>
        </w:rPr>
        <w:t xml:space="preserve">Material y método: </w:t>
      </w:r>
      <w:r w:rsidR="00B838C4" w:rsidRPr="00A55C1E">
        <w:rPr>
          <w:rFonts w:ascii="Verdana" w:hAnsi="Verdana" w:cs="Tahoma"/>
        </w:rPr>
        <w:t>estudio descriptivo y transversal en una serie de 338 pacientes ingresados en la Unidad de Cuidados Intensivos con el antecedente de reacción en cadena de la polimerasa negativo a COVID-19 pero diagnóstico de neumonía adquirida en la comunidad</w:t>
      </w:r>
      <w:r w:rsidR="00FD5D9C" w:rsidRPr="00A55C1E">
        <w:rPr>
          <w:rFonts w:ascii="Verdana" w:hAnsi="Verdana" w:cs="Tahoma"/>
        </w:rPr>
        <w:t>. Se analizaron variables como: edad, sexo, mes del ingreso, requerimiento de ventilación artificial mecánica, estado al egreso. Se realizó el procesamiento estadístico a partir del SPSS 21.0 para mejor representación de los resultados.</w:t>
      </w:r>
    </w:p>
    <w:p w:rsidR="000F4C6B" w:rsidRPr="00A55C1E" w:rsidRDefault="0045322E" w:rsidP="00A55C1E">
      <w:pPr>
        <w:spacing w:after="0" w:line="360" w:lineRule="auto"/>
        <w:jc w:val="both"/>
        <w:rPr>
          <w:rFonts w:ascii="Verdana" w:hAnsi="Verdana" w:cs="Tahoma"/>
        </w:rPr>
      </w:pPr>
      <w:r w:rsidRPr="00A55C1E">
        <w:rPr>
          <w:rFonts w:ascii="Verdana" w:hAnsi="Verdana" w:cs="Tahoma"/>
          <w:b/>
        </w:rPr>
        <w:t>Resultados:</w:t>
      </w:r>
      <w:r w:rsidRPr="00A55C1E">
        <w:rPr>
          <w:rFonts w:ascii="Verdana" w:hAnsi="Verdana" w:cs="Tahoma"/>
        </w:rPr>
        <w:t xml:space="preserve"> </w:t>
      </w:r>
      <w:r w:rsidR="000F4C6B" w:rsidRPr="00A55C1E">
        <w:rPr>
          <w:rFonts w:ascii="Verdana" w:hAnsi="Verdana" w:cs="Tahoma"/>
        </w:rPr>
        <w:t>el 60,3% correspondían al sexo masculino y el grupo de edad de 60 a 79 años (50,3%)</w:t>
      </w:r>
      <w:r w:rsidR="003B4E52" w:rsidRPr="00A55C1E">
        <w:rPr>
          <w:rFonts w:ascii="Verdana" w:hAnsi="Verdana" w:cs="Tahoma"/>
        </w:rPr>
        <w:t xml:space="preserve"> fue representativo</w:t>
      </w:r>
      <w:r w:rsidR="000F4C6B" w:rsidRPr="00A55C1E">
        <w:rPr>
          <w:rFonts w:ascii="Verdana" w:hAnsi="Verdana" w:cs="Tahoma"/>
        </w:rPr>
        <w:t>. El 31,7% requirió ventilación artificial mecánica y</w:t>
      </w:r>
      <w:r w:rsidR="004225BA" w:rsidRPr="00A55C1E">
        <w:rPr>
          <w:rFonts w:ascii="Verdana" w:hAnsi="Verdana" w:cs="Tahoma"/>
        </w:rPr>
        <w:t xml:space="preserve"> el </w:t>
      </w:r>
      <w:r w:rsidR="000F4C6B" w:rsidRPr="00A55C1E">
        <w:rPr>
          <w:rFonts w:ascii="Verdana" w:hAnsi="Verdana" w:cs="Tahoma"/>
        </w:rPr>
        <w:t xml:space="preserve">61,8% </w:t>
      </w:r>
      <w:r w:rsidR="004225BA" w:rsidRPr="00A55C1E">
        <w:rPr>
          <w:rFonts w:ascii="Verdana" w:hAnsi="Verdana" w:cs="Tahoma"/>
        </w:rPr>
        <w:t>lo estuvo</w:t>
      </w:r>
      <w:r w:rsidR="000F4C6B" w:rsidRPr="00A55C1E">
        <w:rPr>
          <w:rFonts w:ascii="Verdana" w:hAnsi="Verdana" w:cs="Tahoma"/>
        </w:rPr>
        <w:t xml:space="preserve"> menos de 48 horas.</w:t>
      </w:r>
      <w:r w:rsidR="004225BA" w:rsidRPr="00A55C1E">
        <w:rPr>
          <w:rFonts w:ascii="Verdana" w:hAnsi="Verdana" w:cs="Tahoma"/>
        </w:rPr>
        <w:t xml:space="preserve"> El </w:t>
      </w:r>
      <w:r w:rsidR="000F4C6B" w:rsidRPr="00A55C1E">
        <w:rPr>
          <w:rFonts w:ascii="Verdana" w:hAnsi="Verdana" w:cs="Tahoma"/>
        </w:rPr>
        <w:t xml:space="preserve">61,6% fueron egresados </w:t>
      </w:r>
      <w:r w:rsidR="000F4C6B" w:rsidRPr="00A55C1E">
        <w:rPr>
          <w:rFonts w:ascii="Verdana" w:hAnsi="Verdana" w:cs="Tahoma"/>
        </w:rPr>
        <w:lastRenderedPageBreak/>
        <w:t>vivos con un promedio de estadía de 6,31 ± 10,62 días</w:t>
      </w:r>
      <w:r w:rsidR="004225BA" w:rsidRPr="00A55C1E">
        <w:rPr>
          <w:rFonts w:ascii="Verdana" w:hAnsi="Verdana" w:cs="Tahoma"/>
        </w:rPr>
        <w:t xml:space="preserve">. </w:t>
      </w:r>
      <w:r w:rsidR="000F4C6B" w:rsidRPr="00A55C1E">
        <w:rPr>
          <w:rFonts w:ascii="Verdana" w:hAnsi="Verdana" w:cs="Tahoma"/>
        </w:rPr>
        <w:t xml:space="preserve">Hubo 218 </w:t>
      </w:r>
      <w:r w:rsidR="004225BA" w:rsidRPr="00A55C1E">
        <w:rPr>
          <w:rFonts w:ascii="Verdana" w:hAnsi="Verdana" w:cs="Tahoma"/>
        </w:rPr>
        <w:t>pacientes que ingresaron con un</w:t>
      </w:r>
      <w:r w:rsidR="000F4C6B" w:rsidRPr="00A55C1E">
        <w:rPr>
          <w:rFonts w:ascii="Verdana" w:hAnsi="Verdana" w:cs="Tahoma"/>
        </w:rPr>
        <w:t xml:space="preserve"> periodo mayor de 10 días desde el inicio de los síntomas y la realización del </w:t>
      </w:r>
      <w:r w:rsidR="004225BA" w:rsidRPr="00A55C1E">
        <w:rPr>
          <w:rFonts w:ascii="Verdana" w:hAnsi="Verdana" w:cs="Tahoma"/>
        </w:rPr>
        <w:t>test</w:t>
      </w:r>
      <w:r w:rsidR="000F4C6B" w:rsidRPr="00A55C1E">
        <w:rPr>
          <w:rFonts w:ascii="Verdana" w:hAnsi="Verdana" w:cs="Tahoma"/>
        </w:rPr>
        <w:t xml:space="preserve"> diagnóstico de COVID-19</w:t>
      </w:r>
      <w:r w:rsidR="004225BA" w:rsidRPr="00A55C1E">
        <w:rPr>
          <w:rFonts w:ascii="Verdana" w:hAnsi="Verdana" w:cs="Tahoma"/>
        </w:rPr>
        <w:t xml:space="preserve">. </w:t>
      </w:r>
    </w:p>
    <w:p w:rsidR="004D3370" w:rsidRPr="00A55C1E" w:rsidRDefault="0045322E" w:rsidP="00A55C1E">
      <w:pPr>
        <w:spacing w:after="0" w:line="360" w:lineRule="auto"/>
        <w:jc w:val="both"/>
        <w:rPr>
          <w:rFonts w:ascii="Verdana" w:hAnsi="Verdana" w:cs="Tahoma"/>
        </w:rPr>
      </w:pPr>
      <w:r w:rsidRPr="00A55C1E">
        <w:rPr>
          <w:rFonts w:ascii="Verdana" w:hAnsi="Verdana" w:cs="Tahoma"/>
          <w:b/>
        </w:rPr>
        <w:t xml:space="preserve">Conclusiones: </w:t>
      </w:r>
      <w:r w:rsidR="005C5565" w:rsidRPr="00A55C1E">
        <w:rPr>
          <w:rFonts w:ascii="Verdana" w:hAnsi="Verdana" w:cs="Tahoma"/>
        </w:rPr>
        <w:t>e</w:t>
      </w:r>
      <w:r w:rsidR="00C120AC" w:rsidRPr="00A55C1E">
        <w:rPr>
          <w:rFonts w:ascii="Verdana" w:hAnsi="Verdana" w:cs="Tahoma"/>
        </w:rPr>
        <w:t>n medio de la situación epidemiológica causada por la COVID-19 ingresaron pacientes en unidades de cuidados intensivos con diagnóstico de neumonía adquirida en la comunidad no relacionada al virus del S</w:t>
      </w:r>
      <w:r w:rsidR="006A44F9" w:rsidRPr="00A55C1E">
        <w:rPr>
          <w:rFonts w:ascii="Verdana" w:hAnsi="Verdana" w:cs="Tahoma"/>
        </w:rPr>
        <w:t>ARS</w:t>
      </w:r>
      <w:r w:rsidR="00C120AC" w:rsidRPr="00A55C1E">
        <w:rPr>
          <w:rFonts w:ascii="Verdana" w:hAnsi="Verdana" w:cs="Tahoma"/>
        </w:rPr>
        <w:t xml:space="preserve">-Cov-2. El tratamiento oportuno en algunos casos ventilación mecánica artificial incluso prolongada, contribuyó a que existiera una baja letalidad y egresaran con una calidad de vida mejor.  </w:t>
      </w:r>
    </w:p>
    <w:p w:rsidR="003209F3" w:rsidRPr="00A55C1E" w:rsidRDefault="0045322E" w:rsidP="00A55C1E">
      <w:pPr>
        <w:spacing w:after="0" w:line="360" w:lineRule="auto"/>
        <w:jc w:val="both"/>
        <w:rPr>
          <w:rFonts w:ascii="Verdana" w:hAnsi="Verdana" w:cs="Tahoma"/>
        </w:rPr>
      </w:pPr>
      <w:r w:rsidRPr="00A55C1E">
        <w:rPr>
          <w:rFonts w:ascii="Verdana" w:hAnsi="Verdana" w:cs="Tahoma"/>
          <w:b/>
        </w:rPr>
        <w:t>Palabras clave:</w:t>
      </w:r>
      <w:r w:rsidRPr="00A55C1E">
        <w:rPr>
          <w:rFonts w:ascii="Verdana" w:hAnsi="Verdana" w:cs="Tahoma"/>
        </w:rPr>
        <w:t xml:space="preserve"> </w:t>
      </w:r>
      <w:r w:rsidR="00196950" w:rsidRPr="00A55C1E">
        <w:rPr>
          <w:rFonts w:ascii="Verdana" w:hAnsi="Verdana" w:cs="Tahoma"/>
        </w:rPr>
        <w:t xml:space="preserve">unidad de cuidados intensivos, SARS-Cov-2, COVID-19, </w:t>
      </w:r>
      <w:r w:rsidR="004D3370" w:rsidRPr="00A55C1E">
        <w:rPr>
          <w:rFonts w:ascii="Verdana" w:hAnsi="Verdana" w:cs="Tahoma"/>
        </w:rPr>
        <w:t xml:space="preserve">neumonía asocida a la comunidad. </w:t>
      </w:r>
    </w:p>
    <w:p w:rsidR="004D3370" w:rsidRPr="00A55C1E" w:rsidRDefault="004D3370" w:rsidP="00A55C1E">
      <w:pPr>
        <w:spacing w:after="160" w:line="360" w:lineRule="auto"/>
        <w:jc w:val="both"/>
        <w:rPr>
          <w:rFonts w:ascii="Verdana" w:hAnsi="Verdana" w:cs="Tahoma"/>
          <w:b/>
          <w:highlight w:val="yellow"/>
        </w:rPr>
      </w:pPr>
    </w:p>
    <w:p w:rsidR="005C5565" w:rsidRPr="00A55C1E" w:rsidRDefault="005C5565" w:rsidP="00A55C1E">
      <w:pPr>
        <w:spacing w:after="160" w:line="360" w:lineRule="auto"/>
        <w:jc w:val="both"/>
        <w:rPr>
          <w:rFonts w:ascii="Verdana" w:hAnsi="Verdana" w:cs="Tahoma"/>
          <w:b/>
          <w:i/>
          <w:lang w:val="en-US"/>
        </w:rPr>
      </w:pPr>
      <w:r w:rsidRPr="00A55C1E">
        <w:rPr>
          <w:rFonts w:ascii="Verdana" w:hAnsi="Verdana" w:cs="Tahoma"/>
          <w:b/>
          <w:i/>
          <w:lang w:val="en-US"/>
        </w:rPr>
        <w:t>ABSTRACT</w:t>
      </w:r>
    </w:p>
    <w:p w:rsidR="005C5565" w:rsidRPr="00A55C1E" w:rsidRDefault="005C5565" w:rsidP="00A55C1E">
      <w:pPr>
        <w:spacing w:after="0" w:line="360" w:lineRule="auto"/>
        <w:jc w:val="both"/>
        <w:rPr>
          <w:rFonts w:ascii="Verdana" w:hAnsi="Verdana" w:cs="Tahoma"/>
          <w:b/>
          <w:i/>
          <w:lang w:val="en-US"/>
        </w:rPr>
      </w:pPr>
      <w:r w:rsidRPr="00A55C1E">
        <w:rPr>
          <w:rFonts w:ascii="Verdana" w:hAnsi="Verdana" w:cs="Tahoma"/>
          <w:b/>
          <w:i/>
          <w:lang w:val="en-US"/>
        </w:rPr>
        <w:t xml:space="preserve">Introduction: </w:t>
      </w:r>
      <w:r w:rsidRPr="00A55C1E">
        <w:rPr>
          <w:rFonts w:ascii="Verdana" w:hAnsi="Verdana" w:cs="Tahoma"/>
          <w:i/>
          <w:lang w:val="en-US"/>
        </w:rPr>
        <w:t>the COVID-19 epidemic has been a challenge for Cuban health professionals.</w:t>
      </w:r>
    </w:p>
    <w:p w:rsidR="005C5565" w:rsidRPr="00A55C1E" w:rsidRDefault="005C5565" w:rsidP="00A55C1E">
      <w:pPr>
        <w:spacing w:after="0" w:line="360" w:lineRule="auto"/>
        <w:jc w:val="both"/>
        <w:rPr>
          <w:rFonts w:ascii="Verdana" w:hAnsi="Verdana" w:cs="Tahoma"/>
          <w:i/>
          <w:lang w:val="en-US"/>
        </w:rPr>
      </w:pPr>
      <w:r w:rsidRPr="00A55C1E">
        <w:rPr>
          <w:rFonts w:ascii="Verdana" w:hAnsi="Verdana" w:cs="Tahoma"/>
          <w:b/>
          <w:i/>
          <w:lang w:val="en-US"/>
        </w:rPr>
        <w:t xml:space="preserve">Objective: </w:t>
      </w:r>
      <w:r w:rsidRPr="00A55C1E">
        <w:rPr>
          <w:rFonts w:ascii="Verdana" w:hAnsi="Verdana" w:cs="Tahoma"/>
          <w:i/>
          <w:lang w:val="en-US"/>
        </w:rPr>
        <w:t>to characterize patients admitted to the intensive care unit with a diagnosis of community-acquired pneumonia and negative for COVID-19.</w:t>
      </w:r>
    </w:p>
    <w:p w:rsidR="005C5565" w:rsidRPr="00A55C1E" w:rsidRDefault="005C5565" w:rsidP="00A55C1E">
      <w:pPr>
        <w:spacing w:after="0" w:line="360" w:lineRule="auto"/>
        <w:jc w:val="both"/>
        <w:rPr>
          <w:rFonts w:ascii="Verdana" w:hAnsi="Verdana" w:cs="Tahoma"/>
          <w:b/>
          <w:i/>
          <w:lang w:val="en-US"/>
        </w:rPr>
      </w:pPr>
      <w:r w:rsidRPr="00A55C1E">
        <w:rPr>
          <w:rFonts w:ascii="Verdana" w:hAnsi="Verdana" w:cs="Tahoma"/>
          <w:b/>
          <w:i/>
          <w:lang w:val="en-US"/>
        </w:rPr>
        <w:t xml:space="preserve">Material and method: </w:t>
      </w:r>
      <w:r w:rsidRPr="00A55C1E">
        <w:rPr>
          <w:rFonts w:ascii="Verdana" w:hAnsi="Verdana" w:cs="Tahoma"/>
          <w:i/>
          <w:lang w:val="en-US"/>
        </w:rPr>
        <w:t>descriptive and cross-sectional study in a series of 338 patients admitted to the Intensive Care Unit with a history of negative polymerase chain reaction to COVID-19 but a diagnosis of community-acquired pneumonia. Variables such as: age, sex, month of admission, requirement of mechanical artificial ventilation, status at discharge were analyzed. Statistical processing was performed from SPSS 21.0 for a better representation of the results.</w:t>
      </w:r>
    </w:p>
    <w:p w:rsidR="005C5565" w:rsidRPr="00A55C1E" w:rsidRDefault="005C5565" w:rsidP="00A55C1E">
      <w:pPr>
        <w:spacing w:after="0" w:line="360" w:lineRule="auto"/>
        <w:jc w:val="both"/>
        <w:rPr>
          <w:rFonts w:ascii="Verdana" w:hAnsi="Verdana" w:cs="Tahoma"/>
          <w:i/>
          <w:lang w:val="en-US"/>
        </w:rPr>
      </w:pPr>
      <w:r w:rsidRPr="00A55C1E">
        <w:rPr>
          <w:rFonts w:ascii="Verdana" w:hAnsi="Verdana" w:cs="Tahoma"/>
          <w:b/>
          <w:i/>
          <w:lang w:val="en-US"/>
        </w:rPr>
        <w:t xml:space="preserve">Results: </w:t>
      </w:r>
      <w:r w:rsidRPr="00A55C1E">
        <w:rPr>
          <w:rFonts w:ascii="Verdana" w:hAnsi="Verdana" w:cs="Tahoma"/>
          <w:i/>
          <w:lang w:val="en-US"/>
        </w:rPr>
        <w:t>60.3% corresponded to the male sex and the age group from 60 to 79 years (50.3%) was representative. 31.7% required mechanical artificial ventilation and 61.8% required less than 48 hours. 61.6% were discharged alive with an average stay of 6.31 ± 10.62 days. There were 218 patients who were admitted with a period greater than 10 days from the onset of symptoms and the completion of the COVID-19 diagnostic test.</w:t>
      </w:r>
    </w:p>
    <w:p w:rsidR="005C5565" w:rsidRPr="00A55C1E" w:rsidRDefault="005C5565" w:rsidP="00A55C1E">
      <w:pPr>
        <w:spacing w:after="0" w:line="360" w:lineRule="auto"/>
        <w:jc w:val="both"/>
        <w:rPr>
          <w:rFonts w:ascii="Verdana" w:hAnsi="Verdana" w:cs="Tahoma"/>
          <w:b/>
          <w:i/>
          <w:lang w:val="en-US"/>
        </w:rPr>
      </w:pPr>
      <w:r w:rsidRPr="00A55C1E">
        <w:rPr>
          <w:rFonts w:ascii="Verdana" w:hAnsi="Verdana" w:cs="Tahoma"/>
          <w:b/>
          <w:i/>
          <w:lang w:val="en-US"/>
        </w:rPr>
        <w:t xml:space="preserve">Conclusions: </w:t>
      </w:r>
      <w:r w:rsidR="000D52A7" w:rsidRPr="00A55C1E">
        <w:rPr>
          <w:rFonts w:ascii="Verdana" w:hAnsi="Verdana" w:cs="Tahoma"/>
          <w:i/>
          <w:lang w:val="en-US"/>
        </w:rPr>
        <w:t>i</w:t>
      </w:r>
      <w:r w:rsidRPr="00A55C1E">
        <w:rPr>
          <w:rFonts w:ascii="Verdana" w:hAnsi="Verdana" w:cs="Tahoma"/>
          <w:i/>
          <w:lang w:val="en-US"/>
        </w:rPr>
        <w:t>n the midst of the epidemiological situation caused by COVID-19, patients were admitted to intensive care units with a diagnosis of community-</w:t>
      </w:r>
      <w:r w:rsidRPr="00A55C1E">
        <w:rPr>
          <w:rFonts w:ascii="Verdana" w:hAnsi="Verdana" w:cs="Tahoma"/>
          <w:i/>
          <w:lang w:val="en-US"/>
        </w:rPr>
        <w:lastRenderedPageBreak/>
        <w:t>acquired pneumonia not related to the SARS-Cov-2 virus. Timely treatment in some cases, even prolonged artificial mechanical ventilation, contributed to a low mortality rate and they were discharged with a better quality of life.</w:t>
      </w:r>
    </w:p>
    <w:p w:rsidR="005C5565" w:rsidRPr="00A55C1E" w:rsidRDefault="005C5565" w:rsidP="00A55C1E">
      <w:pPr>
        <w:spacing w:after="0" w:line="360" w:lineRule="auto"/>
        <w:jc w:val="both"/>
        <w:rPr>
          <w:rFonts w:ascii="Verdana" w:hAnsi="Verdana" w:cs="Tahoma"/>
          <w:b/>
          <w:i/>
          <w:lang w:val="en-US"/>
        </w:rPr>
      </w:pPr>
      <w:r w:rsidRPr="00A55C1E">
        <w:rPr>
          <w:rFonts w:ascii="Verdana" w:hAnsi="Verdana" w:cs="Tahoma"/>
          <w:b/>
          <w:i/>
          <w:lang w:val="en-US"/>
        </w:rPr>
        <w:t xml:space="preserve">Keywords: </w:t>
      </w:r>
      <w:r w:rsidRPr="00A55C1E">
        <w:rPr>
          <w:rFonts w:ascii="Verdana" w:hAnsi="Verdana" w:cs="Tahoma"/>
          <w:i/>
          <w:lang w:val="en-US"/>
        </w:rPr>
        <w:t>intensive care unit, SARS-Cov-2, COVID-19, community-associated pneumonia</w:t>
      </w:r>
    </w:p>
    <w:p w:rsidR="005C5565" w:rsidRPr="00A55C1E" w:rsidRDefault="005C5565" w:rsidP="00A55C1E">
      <w:pPr>
        <w:spacing w:after="0" w:line="360" w:lineRule="auto"/>
        <w:jc w:val="both"/>
        <w:rPr>
          <w:rFonts w:ascii="Verdana" w:hAnsi="Verdana" w:cs="Tahoma"/>
          <w:b/>
          <w:lang w:val="en-US"/>
        </w:rPr>
      </w:pPr>
    </w:p>
    <w:p w:rsidR="00571B34" w:rsidRPr="00A55C1E" w:rsidRDefault="0045322E" w:rsidP="00A55C1E">
      <w:pPr>
        <w:spacing w:after="0" w:line="360" w:lineRule="auto"/>
        <w:jc w:val="both"/>
        <w:rPr>
          <w:rFonts w:ascii="Verdana" w:hAnsi="Verdana" w:cs="Tahoma"/>
          <w:b/>
        </w:rPr>
      </w:pPr>
      <w:r w:rsidRPr="00A55C1E">
        <w:rPr>
          <w:rFonts w:ascii="Verdana" w:hAnsi="Verdana" w:cs="Tahoma"/>
          <w:b/>
        </w:rPr>
        <w:t>NTRODUCCIÓN</w:t>
      </w:r>
    </w:p>
    <w:p w:rsidR="00181D53" w:rsidRPr="00A55C1E" w:rsidRDefault="00181D53" w:rsidP="00A55C1E">
      <w:pPr>
        <w:spacing w:line="360" w:lineRule="auto"/>
        <w:jc w:val="both"/>
        <w:rPr>
          <w:rFonts w:ascii="Verdana" w:hAnsi="Verdana" w:cs="Tahoma"/>
          <w:b/>
        </w:rPr>
      </w:pPr>
      <w:r w:rsidRPr="00A55C1E">
        <w:rPr>
          <w:rFonts w:ascii="Verdana" w:hAnsi="Verdana" w:cs="Tahoma"/>
        </w:rPr>
        <w:t xml:space="preserve">La nueva enfermedad asociada al coronavirus, originada en China en 2019 y denominada enfermedad por coronavirus de 2019 (COVID-19, por sus siglas en inglés), es causada por un nuevo virus, llamado coronavirus de tipo 2 causante del síndrome respiratorio agudo grave (SARS-CoV-2, por sus siglas en inglés). Se caracteriza por su contagio directo, aparición de neumonía grave y peor evolución en adultos mayores o pacientes con comorbilidades como hipertensión, obesidad, diabetes o inmunosupresión, y por su rápida diseminación en el mundo, siendo considerada pandemia por la Organización Mundial de la Salud el 11 de marzo del 2020. </w:t>
      </w:r>
      <w:r w:rsidRPr="00A55C1E">
        <w:rPr>
          <w:rFonts w:ascii="Verdana" w:hAnsi="Verdana" w:cs="Tahoma"/>
          <w:vertAlign w:val="superscript"/>
        </w:rPr>
        <w:t>(1)</w:t>
      </w:r>
    </w:p>
    <w:p w:rsidR="00316690" w:rsidRPr="00A55C1E" w:rsidRDefault="00316690" w:rsidP="00A55C1E">
      <w:pPr>
        <w:spacing w:line="360" w:lineRule="auto"/>
        <w:jc w:val="both"/>
        <w:rPr>
          <w:rFonts w:ascii="Verdana" w:hAnsi="Verdana" w:cs="Tahoma"/>
        </w:rPr>
      </w:pPr>
      <w:r w:rsidRPr="00A55C1E">
        <w:rPr>
          <w:rFonts w:ascii="Verdana" w:hAnsi="Verdana" w:cs="Tahoma"/>
        </w:rPr>
        <w:t xml:space="preserve">La historia natural de la COVID-19, así como sus manifestaciones clínicas han sido descritas ampliamente en la literatura médica. </w:t>
      </w:r>
      <w:r w:rsidRPr="00A55C1E">
        <w:rPr>
          <w:rFonts w:ascii="Verdana" w:hAnsi="Verdana" w:cs="Tahoma"/>
          <w:vertAlign w:val="superscript"/>
        </w:rPr>
        <w:t>(2, 3, 4)</w:t>
      </w:r>
      <w:r w:rsidRPr="00A55C1E">
        <w:rPr>
          <w:rFonts w:ascii="Verdana" w:hAnsi="Verdana" w:cs="Tahoma"/>
        </w:rPr>
        <w:t xml:space="preserve"> Es bien conocido que el espectro clínico comprende desde la infección asintomática hasta el compromiso respiratorio severo que conlleva al síndrome de dificultad respiratoria aguda (SDRA), eventos </w:t>
      </w:r>
      <w:proofErr w:type="spellStart"/>
      <w:r w:rsidRPr="00A55C1E">
        <w:rPr>
          <w:rFonts w:ascii="Verdana" w:hAnsi="Verdana" w:cs="Tahoma"/>
        </w:rPr>
        <w:t>protrombóticos</w:t>
      </w:r>
      <w:proofErr w:type="spellEnd"/>
      <w:r w:rsidRPr="00A55C1E">
        <w:rPr>
          <w:rFonts w:ascii="Verdana" w:hAnsi="Verdana" w:cs="Tahoma"/>
        </w:rPr>
        <w:t>, falla orgánica y, fin</w:t>
      </w:r>
      <w:r w:rsidR="0053120D" w:rsidRPr="00A55C1E">
        <w:rPr>
          <w:rFonts w:ascii="Verdana" w:hAnsi="Verdana" w:cs="Tahoma"/>
        </w:rPr>
        <w:t xml:space="preserve">almente, la muerte. </w:t>
      </w:r>
      <w:r w:rsidRPr="00A55C1E">
        <w:rPr>
          <w:rFonts w:ascii="Verdana" w:hAnsi="Verdana" w:cs="Tahoma"/>
        </w:rPr>
        <w:t>Sin embargo, cada vez son más los reportes que hablan sobre un</w:t>
      </w:r>
      <w:r w:rsidR="0053120D" w:rsidRPr="00A55C1E">
        <w:rPr>
          <w:rFonts w:ascii="Verdana" w:hAnsi="Verdana" w:cs="Tahoma"/>
        </w:rPr>
        <w:t xml:space="preserve"> posible </w:t>
      </w:r>
      <w:r w:rsidRPr="00A55C1E">
        <w:rPr>
          <w:rFonts w:ascii="Verdana" w:hAnsi="Verdana" w:cs="Tahoma"/>
        </w:rPr>
        <w:t xml:space="preserve">síndrome pos-COVID-19. </w:t>
      </w:r>
      <w:r w:rsidR="00721338" w:rsidRPr="00A55C1E">
        <w:rPr>
          <w:rFonts w:ascii="Verdana" w:hAnsi="Verdana" w:cs="Tahoma"/>
          <w:vertAlign w:val="superscript"/>
        </w:rPr>
        <w:t>(5)</w:t>
      </w:r>
    </w:p>
    <w:p w:rsidR="001B1EA0" w:rsidRPr="00A55C1E" w:rsidRDefault="001B1EA0" w:rsidP="00A55C1E">
      <w:pPr>
        <w:spacing w:line="360" w:lineRule="auto"/>
        <w:jc w:val="both"/>
        <w:rPr>
          <w:rFonts w:ascii="Verdana" w:hAnsi="Verdana" w:cs="Tahoma"/>
        </w:rPr>
      </w:pPr>
      <w:r w:rsidRPr="00A55C1E">
        <w:rPr>
          <w:rFonts w:ascii="Verdana" w:hAnsi="Verdana" w:cs="Tahoma"/>
        </w:rPr>
        <w:t xml:space="preserve">Afortunadamente, en 80 % de los casos la enfermedad es leve, hasta el punto de confundirse con gripes o resfriados; sin embargo, un 15 % de los pacientes muestra síntomas graves que requieren hospitalización y un 5 % desarrolla síntomas muy graves que deben tratarse en unidades de cuidados intensivos. Con la neumonía leve, en el curso de la infección por SARS-CoV-2, los pacientes pueden presentar fiebre, tos (que puede ser productiva, polipnea, con estertores húmedos crepitantes), o padecer de una neumonía, atípica, pero sin signos de gravedad y </w:t>
      </w:r>
      <w:r w:rsidRPr="00A55C1E">
        <w:rPr>
          <w:rFonts w:ascii="Verdana" w:hAnsi="Verdana" w:cs="Tahoma"/>
        </w:rPr>
        <w:lastRenderedPageBreak/>
        <w:t xml:space="preserve">con una SpO2 con aire ambiental &gt; 90 %. No existen signos de insuficiencia respiratoria ni de gravedad. </w:t>
      </w:r>
      <w:r w:rsidRPr="00A55C1E">
        <w:rPr>
          <w:rFonts w:ascii="Verdana" w:hAnsi="Verdana" w:cs="Tahoma"/>
          <w:vertAlign w:val="superscript"/>
        </w:rPr>
        <w:t>(6, 7)</w:t>
      </w:r>
    </w:p>
    <w:p w:rsidR="00316690" w:rsidRPr="00A55C1E" w:rsidRDefault="00B85EB5" w:rsidP="00A55C1E">
      <w:pPr>
        <w:spacing w:line="360" w:lineRule="auto"/>
        <w:jc w:val="both"/>
        <w:rPr>
          <w:rFonts w:ascii="Verdana" w:hAnsi="Verdana" w:cs="Tahoma"/>
        </w:rPr>
      </w:pPr>
      <w:r w:rsidRPr="00A55C1E">
        <w:rPr>
          <w:rFonts w:ascii="Verdana" w:hAnsi="Verdana" w:cs="Tahoma"/>
        </w:rPr>
        <w:t>En lo referente a la epidemiología</w:t>
      </w:r>
      <w:r w:rsidR="00316690" w:rsidRPr="00A55C1E">
        <w:rPr>
          <w:rFonts w:ascii="Verdana" w:hAnsi="Verdana" w:cs="Tahoma"/>
        </w:rPr>
        <w:t xml:space="preserve"> se han registrado</w:t>
      </w:r>
      <w:r w:rsidRPr="00A55C1E">
        <w:rPr>
          <w:rFonts w:ascii="Verdana" w:hAnsi="Verdana" w:cs="Tahoma"/>
        </w:rPr>
        <w:t xml:space="preserve"> hasta noviembre de 2021</w:t>
      </w:r>
      <w:r w:rsidR="00316690" w:rsidRPr="00A55C1E">
        <w:rPr>
          <w:rFonts w:ascii="Verdana" w:hAnsi="Verdana" w:cs="Tahoma"/>
        </w:rPr>
        <w:t xml:space="preserve"> </w:t>
      </w:r>
      <w:r w:rsidR="009E6D24" w:rsidRPr="00A55C1E">
        <w:rPr>
          <w:rFonts w:ascii="Verdana" w:hAnsi="Verdana" w:cs="Tahoma"/>
        </w:rPr>
        <w:t>más de 250</w:t>
      </w:r>
      <w:r w:rsidR="00316690" w:rsidRPr="00A55C1E">
        <w:rPr>
          <w:rFonts w:ascii="Verdana" w:hAnsi="Verdana" w:cs="Tahoma"/>
        </w:rPr>
        <w:t xml:space="preserve"> millones de personas infectadas, con</w:t>
      </w:r>
      <w:r w:rsidR="009E6D24" w:rsidRPr="00A55C1E">
        <w:rPr>
          <w:rFonts w:ascii="Verdana" w:hAnsi="Verdana" w:cs="Tahoma"/>
        </w:rPr>
        <w:t xml:space="preserve"> un total de aproximadamente de 5,27 millones de</w:t>
      </w:r>
      <w:r w:rsidR="00316690" w:rsidRPr="00A55C1E">
        <w:rPr>
          <w:rFonts w:ascii="Verdana" w:hAnsi="Verdana" w:cs="Tahoma"/>
        </w:rPr>
        <w:t xml:space="preserve"> personas fallecidas. En </w:t>
      </w:r>
      <w:r w:rsidR="009E6D24" w:rsidRPr="00A55C1E">
        <w:rPr>
          <w:rFonts w:ascii="Verdana" w:hAnsi="Verdana" w:cs="Tahoma"/>
        </w:rPr>
        <w:t>la región de las Américas se encuentra más de 35% de los casos diagnosticados en el mundo, los países con mayor incidencia y decesos por la enfermedad son</w:t>
      </w:r>
      <w:r w:rsidR="00316690" w:rsidRPr="00A55C1E">
        <w:rPr>
          <w:rFonts w:ascii="Verdana" w:hAnsi="Verdana" w:cs="Tahoma"/>
        </w:rPr>
        <w:t xml:space="preserve"> </w:t>
      </w:r>
      <w:r w:rsidR="009E6D24" w:rsidRPr="00A55C1E">
        <w:rPr>
          <w:rFonts w:ascii="Verdana" w:hAnsi="Verdana" w:cs="Tahoma"/>
        </w:rPr>
        <w:t xml:space="preserve">Estados Unidos y Brasil, con más de 700 000 y 600 0000 </w:t>
      </w:r>
      <w:r w:rsidR="001C2D5E" w:rsidRPr="00A55C1E">
        <w:rPr>
          <w:rFonts w:ascii="Verdana" w:hAnsi="Verdana" w:cs="Tahoma"/>
        </w:rPr>
        <w:t>fallecidos respectivamente. En C</w:t>
      </w:r>
      <w:r w:rsidR="009E6D24" w:rsidRPr="00A55C1E">
        <w:rPr>
          <w:rFonts w:ascii="Verdana" w:hAnsi="Verdana" w:cs="Tahoma"/>
        </w:rPr>
        <w:t xml:space="preserve">uba se han reportado más de 950 000 casos positivos a la COVID-19 con una letalidad inferior a la unidad (0,86), menor comparado con la estadística del orbe. </w:t>
      </w:r>
    </w:p>
    <w:p w:rsidR="005B105B" w:rsidRPr="00A55C1E" w:rsidRDefault="005B105B" w:rsidP="00A55C1E">
      <w:pPr>
        <w:spacing w:line="360" w:lineRule="auto"/>
        <w:jc w:val="both"/>
        <w:rPr>
          <w:rFonts w:ascii="Verdana" w:hAnsi="Verdana" w:cs="Tahoma"/>
        </w:rPr>
      </w:pPr>
      <w:r w:rsidRPr="00A55C1E">
        <w:rPr>
          <w:rFonts w:ascii="Verdana" w:hAnsi="Verdana" w:cs="Tahoma"/>
        </w:rPr>
        <w:t>La prueba estándar para detectar SARS-CoV-2 es la reacción en cadena de la polimerasa con transcriptasa inversa (RT-PCR) obtenida habitualmente de muestra nasofaríngea o de secreciones respiratorias. La RT-PCR se cree que es altamente específica, pero la sensibilidad puede oscilar del 60-70%19 al 95-97%20, por lo que los falsos negativos son un problema clínico real, especialmente en las fases precoces. La sensibilidad varía según el tiempo transcurrido desde la exposición al SARS-CoV-2, con una tasa de falsos negativos del 100% el primer día después de la exposición. Las pruebas de imagen tienen un papel importante en la detección y manejo de estos pacientes y se han utilizado para apoyar el diagnóstico, determinar la gravedad de la enfermedad, guiar el tratamiento y valorar la respuesta terapéutica. La recomendación actual de la gran mayoría de las sociedades científicas y asociaciones radiológicas es que las pruebas de imagen no deben emplearse como herramientas de detección de la enfermedad, sino que deben reservarse para la evaluación de complicaciones</w:t>
      </w:r>
      <w:r w:rsidR="0036163A" w:rsidRPr="00A55C1E">
        <w:rPr>
          <w:rFonts w:ascii="Verdana" w:hAnsi="Verdana" w:cs="Tahoma"/>
        </w:rPr>
        <w:t xml:space="preserve">. </w:t>
      </w:r>
      <w:r w:rsidR="0036163A" w:rsidRPr="00A55C1E">
        <w:rPr>
          <w:rFonts w:ascii="Verdana" w:hAnsi="Verdana" w:cs="Tahoma"/>
          <w:vertAlign w:val="superscript"/>
        </w:rPr>
        <w:t>(8, 9, 10)</w:t>
      </w:r>
    </w:p>
    <w:p w:rsidR="003B76E4" w:rsidRPr="00A55C1E" w:rsidRDefault="00047E4D" w:rsidP="00A55C1E">
      <w:pPr>
        <w:spacing w:line="360" w:lineRule="auto"/>
        <w:jc w:val="both"/>
        <w:rPr>
          <w:rFonts w:ascii="Verdana" w:hAnsi="Verdana" w:cs="Tahoma"/>
        </w:rPr>
      </w:pPr>
      <w:r w:rsidRPr="00A55C1E">
        <w:rPr>
          <w:rFonts w:ascii="Verdana" w:hAnsi="Verdana" w:cs="Tahoma"/>
        </w:rPr>
        <w:t>La epidemia de la COVID19 ha constituido un reto para los profesionales de la salud cubanos. Ha sido enfrentada a través de un proceso investigación acción, incluido el mejoramiento del conocimiento acerca de la enfermedad, su manejo clínico y las estrategias de prevención y control en la comunidad, y en l</w:t>
      </w:r>
      <w:r w:rsidR="00B345FA" w:rsidRPr="00A55C1E">
        <w:rPr>
          <w:rFonts w:ascii="Verdana" w:hAnsi="Verdana" w:cs="Tahoma"/>
        </w:rPr>
        <w:t>as instituciones de salud.</w:t>
      </w:r>
      <w:r w:rsidRPr="00A55C1E">
        <w:rPr>
          <w:rFonts w:ascii="Verdana" w:hAnsi="Verdana" w:cs="Tahoma"/>
        </w:rPr>
        <w:t xml:space="preserve"> La evidencia inicial ha mostrado que las infecciones bacterianas secundarias, son un factor de riesgo importante para los resultados adversos de la entidad. </w:t>
      </w:r>
      <w:r w:rsidR="00B345FA" w:rsidRPr="00A55C1E">
        <w:rPr>
          <w:rFonts w:ascii="Verdana" w:hAnsi="Verdana" w:cs="Tahoma"/>
          <w:vertAlign w:val="superscript"/>
        </w:rPr>
        <w:t>(</w:t>
      </w:r>
      <w:r w:rsidR="005B105B" w:rsidRPr="00A55C1E">
        <w:rPr>
          <w:rFonts w:ascii="Verdana" w:hAnsi="Verdana" w:cs="Tahoma"/>
          <w:vertAlign w:val="superscript"/>
        </w:rPr>
        <w:t>11, 12</w:t>
      </w:r>
      <w:r w:rsidR="00B345FA" w:rsidRPr="00A55C1E">
        <w:rPr>
          <w:rFonts w:ascii="Verdana" w:hAnsi="Verdana" w:cs="Tahoma"/>
          <w:vertAlign w:val="superscript"/>
        </w:rPr>
        <w:t>)</w:t>
      </w:r>
      <w:r w:rsidR="0036163A" w:rsidRPr="00A55C1E">
        <w:rPr>
          <w:rFonts w:ascii="Verdana" w:hAnsi="Verdana" w:cs="Tahoma"/>
        </w:rPr>
        <w:t xml:space="preserve"> </w:t>
      </w:r>
      <w:r w:rsidR="00FD5D9C" w:rsidRPr="00A55C1E">
        <w:rPr>
          <w:rFonts w:ascii="Verdana" w:hAnsi="Verdana" w:cs="Tahoma"/>
        </w:rPr>
        <w:t xml:space="preserve">Consecuentes con esa realidad es que se decide realizar esta investigación cuyo </w:t>
      </w:r>
      <w:r w:rsidR="00FD5D9C" w:rsidRPr="00A55C1E">
        <w:rPr>
          <w:rFonts w:ascii="Verdana" w:hAnsi="Verdana" w:cs="Tahoma"/>
        </w:rPr>
        <w:lastRenderedPageBreak/>
        <w:t xml:space="preserve">objetivo es </w:t>
      </w:r>
      <w:r w:rsidR="00B838C4" w:rsidRPr="00A55C1E">
        <w:rPr>
          <w:rFonts w:ascii="Verdana" w:hAnsi="Verdana" w:cs="Tahoma"/>
        </w:rPr>
        <w:t>caracterizar a los pacientes ingresados en unidad de cuidados intensivos con diagnóstico de neumonía adquirida en la comunidad y negativos a COVID-19.</w:t>
      </w:r>
    </w:p>
    <w:p w:rsidR="003B76E4" w:rsidRPr="00A55C1E" w:rsidRDefault="003B76E4" w:rsidP="00A55C1E">
      <w:pPr>
        <w:spacing w:line="360" w:lineRule="auto"/>
        <w:jc w:val="both"/>
        <w:rPr>
          <w:rFonts w:ascii="Verdana" w:hAnsi="Verdana" w:cs="Tahoma"/>
          <w:b/>
          <w:highlight w:val="yellow"/>
        </w:rPr>
      </w:pPr>
    </w:p>
    <w:p w:rsidR="00571B34" w:rsidRPr="00A55C1E" w:rsidRDefault="0045322E" w:rsidP="00A55C1E">
      <w:pPr>
        <w:spacing w:after="0" w:line="360" w:lineRule="auto"/>
        <w:jc w:val="both"/>
        <w:rPr>
          <w:rFonts w:ascii="Verdana" w:hAnsi="Verdana" w:cs="Tahoma"/>
          <w:b/>
        </w:rPr>
      </w:pPr>
      <w:r w:rsidRPr="00A55C1E">
        <w:rPr>
          <w:rFonts w:ascii="Verdana" w:hAnsi="Verdana" w:cs="Tahoma"/>
          <w:b/>
        </w:rPr>
        <w:t>MATERIAL Y MÉTODO</w:t>
      </w:r>
    </w:p>
    <w:p w:rsidR="00290398" w:rsidRPr="00A55C1E" w:rsidRDefault="00290398" w:rsidP="00A55C1E">
      <w:pPr>
        <w:spacing w:after="0" w:line="360" w:lineRule="auto"/>
        <w:jc w:val="both"/>
        <w:rPr>
          <w:rFonts w:ascii="Verdana" w:hAnsi="Verdana" w:cs="Tahoma"/>
        </w:rPr>
      </w:pPr>
      <w:r w:rsidRPr="00A55C1E">
        <w:rPr>
          <w:rFonts w:ascii="Verdana" w:hAnsi="Verdana" w:cs="Tahoma"/>
        </w:rPr>
        <w:t xml:space="preserve">Se realizó un estudio observacional, descriptivo y transversal en una serie de pacientes ingresados con diagnóstico de neumonía adquirida en la comunidad </w:t>
      </w:r>
      <w:r w:rsidR="005B5647" w:rsidRPr="00A55C1E">
        <w:rPr>
          <w:rFonts w:ascii="Verdana" w:hAnsi="Verdana" w:cs="Tahoma"/>
        </w:rPr>
        <w:t>(NAC)</w:t>
      </w:r>
      <w:r w:rsidR="00344194" w:rsidRPr="00A55C1E">
        <w:rPr>
          <w:rFonts w:ascii="Verdana" w:hAnsi="Verdana" w:cs="Tahoma"/>
        </w:rPr>
        <w:t xml:space="preserve"> en el hospital provincial de Cienfuegos</w:t>
      </w:r>
      <w:r w:rsidRPr="00A55C1E">
        <w:rPr>
          <w:rFonts w:ascii="Verdana" w:hAnsi="Verdana" w:cs="Tahoma"/>
        </w:rPr>
        <w:t xml:space="preserve">, en el período </w:t>
      </w:r>
      <w:r w:rsidR="00344194" w:rsidRPr="00A55C1E">
        <w:rPr>
          <w:rFonts w:ascii="Verdana" w:hAnsi="Verdana" w:cs="Tahoma"/>
        </w:rPr>
        <w:t>comprendido entre los meses</w:t>
      </w:r>
      <w:r w:rsidRPr="00A55C1E">
        <w:rPr>
          <w:rFonts w:ascii="Verdana" w:hAnsi="Verdana" w:cs="Tahoma"/>
        </w:rPr>
        <w:t xml:space="preserve"> de marzo de 2020 a 2021. </w:t>
      </w:r>
    </w:p>
    <w:p w:rsidR="00290398" w:rsidRPr="00A55C1E" w:rsidRDefault="00290398" w:rsidP="00A55C1E">
      <w:pPr>
        <w:spacing w:after="0" w:line="360" w:lineRule="auto"/>
        <w:jc w:val="both"/>
        <w:rPr>
          <w:rFonts w:ascii="Verdana" w:hAnsi="Verdana" w:cs="Tahoma"/>
        </w:rPr>
      </w:pPr>
    </w:p>
    <w:p w:rsidR="00290398" w:rsidRPr="00A55C1E" w:rsidRDefault="00290398" w:rsidP="00A55C1E">
      <w:pPr>
        <w:spacing w:after="0" w:line="360" w:lineRule="auto"/>
        <w:jc w:val="both"/>
        <w:rPr>
          <w:rFonts w:ascii="Verdana" w:hAnsi="Verdana" w:cs="Tahoma"/>
        </w:rPr>
      </w:pPr>
      <w:r w:rsidRPr="00A55C1E">
        <w:rPr>
          <w:rFonts w:ascii="Verdana" w:hAnsi="Verdana" w:cs="Tahoma"/>
        </w:rPr>
        <w:t xml:space="preserve">El universo estuvo constituido por </w:t>
      </w:r>
      <w:r w:rsidR="005B5647" w:rsidRPr="00A55C1E">
        <w:rPr>
          <w:rFonts w:ascii="Verdana" w:hAnsi="Verdana" w:cs="Tahoma"/>
        </w:rPr>
        <w:t>388 pacientes que fueron ingresados en la Unidad de Cuidados Intensivos Clínicos</w:t>
      </w:r>
      <w:r w:rsidR="00DB0E2D" w:rsidRPr="00A55C1E">
        <w:rPr>
          <w:rFonts w:ascii="Verdana" w:hAnsi="Verdana" w:cs="Tahoma"/>
        </w:rPr>
        <w:t xml:space="preserve"> (UCIC)</w:t>
      </w:r>
      <w:r w:rsidR="005B5647" w:rsidRPr="00A55C1E">
        <w:rPr>
          <w:rFonts w:ascii="Verdana" w:hAnsi="Verdana" w:cs="Tahoma"/>
        </w:rPr>
        <w:t xml:space="preserve"> del Hospital Provincial Dr. Gustavo Aldereguía Lima </w:t>
      </w:r>
      <w:r w:rsidR="00344194" w:rsidRPr="00A55C1E">
        <w:rPr>
          <w:rFonts w:ascii="Verdana" w:hAnsi="Verdana" w:cs="Tahoma"/>
        </w:rPr>
        <w:t xml:space="preserve">con el antecedente de reacción en cadena de la polimerasa (PCR) negativo a COVID-19 </w:t>
      </w:r>
      <w:r w:rsidR="005B5647" w:rsidRPr="00A55C1E">
        <w:rPr>
          <w:rFonts w:ascii="Verdana" w:hAnsi="Verdana" w:cs="Tahoma"/>
        </w:rPr>
        <w:t>pero diagnóstico de NAC</w:t>
      </w:r>
      <w:r w:rsidR="00F73839" w:rsidRPr="00A55C1E">
        <w:rPr>
          <w:rFonts w:ascii="Verdana" w:hAnsi="Verdana" w:cs="Tahoma"/>
        </w:rPr>
        <w:t>.</w:t>
      </w:r>
      <w:r w:rsidRPr="00A55C1E">
        <w:rPr>
          <w:rFonts w:ascii="Verdana" w:hAnsi="Verdana" w:cs="Tahoma"/>
        </w:rPr>
        <w:t xml:space="preserve"> Se trabajó con la totalidad del universo.   </w:t>
      </w:r>
    </w:p>
    <w:p w:rsidR="00290398" w:rsidRPr="00A55C1E" w:rsidRDefault="00290398" w:rsidP="00A55C1E">
      <w:pPr>
        <w:spacing w:after="0" w:line="360" w:lineRule="auto"/>
        <w:jc w:val="both"/>
        <w:rPr>
          <w:rFonts w:ascii="Verdana" w:hAnsi="Verdana" w:cs="Tahoma"/>
        </w:rPr>
      </w:pPr>
    </w:p>
    <w:p w:rsidR="00DB0E2D" w:rsidRPr="00A55C1E" w:rsidRDefault="00290398" w:rsidP="00A55C1E">
      <w:pPr>
        <w:spacing w:after="0" w:line="360" w:lineRule="auto"/>
        <w:jc w:val="both"/>
        <w:rPr>
          <w:rFonts w:ascii="Verdana" w:hAnsi="Verdana" w:cs="Tahoma"/>
        </w:rPr>
      </w:pPr>
      <w:r w:rsidRPr="00A55C1E">
        <w:rPr>
          <w:rFonts w:ascii="Verdana" w:hAnsi="Verdana" w:cs="Tahoma"/>
        </w:rPr>
        <w:t xml:space="preserve">Se confeccionó un modelo para la recolección de los datos, el cual fue llenado en cada caso a partir de la información obtenida de las siguientes fuentes: </w:t>
      </w:r>
      <w:r w:rsidR="00991483" w:rsidRPr="00A55C1E">
        <w:rPr>
          <w:rFonts w:ascii="Verdana" w:hAnsi="Verdana" w:cs="Tahoma"/>
        </w:rPr>
        <w:t xml:space="preserve">libro de </w:t>
      </w:r>
      <w:r w:rsidR="00DB0E2D" w:rsidRPr="00A55C1E">
        <w:rPr>
          <w:rFonts w:ascii="Verdana" w:hAnsi="Verdana" w:cs="Tahoma"/>
        </w:rPr>
        <w:t>registro de pacientes ingresados en la UCIC</w:t>
      </w:r>
      <w:r w:rsidR="00991483" w:rsidRPr="00A55C1E">
        <w:rPr>
          <w:rFonts w:ascii="Verdana" w:hAnsi="Verdana" w:cs="Tahoma"/>
        </w:rPr>
        <w:t xml:space="preserve"> e historia clínica individual. Se analizaron variables como: edad, sexo, mes del ingreso, requerimiento de ventilación </w:t>
      </w:r>
      <w:r w:rsidR="000267E1" w:rsidRPr="00A55C1E">
        <w:rPr>
          <w:rFonts w:ascii="Verdana" w:hAnsi="Verdana" w:cs="Tahoma"/>
        </w:rPr>
        <w:t>artificial mecánica</w:t>
      </w:r>
      <w:r w:rsidR="00991483" w:rsidRPr="00A55C1E">
        <w:rPr>
          <w:rFonts w:ascii="Verdana" w:hAnsi="Verdana" w:cs="Tahoma"/>
        </w:rPr>
        <w:t xml:space="preserve">, tiempo </w:t>
      </w:r>
      <w:r w:rsidR="000267E1" w:rsidRPr="00A55C1E">
        <w:rPr>
          <w:rFonts w:ascii="Verdana" w:hAnsi="Verdana" w:cs="Tahoma"/>
        </w:rPr>
        <w:t>que estuvo ventilado</w:t>
      </w:r>
      <w:r w:rsidR="00991483" w:rsidRPr="00A55C1E">
        <w:rPr>
          <w:rFonts w:ascii="Verdana" w:hAnsi="Verdana" w:cs="Tahoma"/>
        </w:rPr>
        <w:t xml:space="preserve">, </w:t>
      </w:r>
      <w:r w:rsidR="00410625" w:rsidRPr="00A55C1E">
        <w:rPr>
          <w:rFonts w:ascii="Verdana" w:hAnsi="Verdana" w:cs="Tahoma"/>
        </w:rPr>
        <w:t>estado al egreso y pe</w:t>
      </w:r>
      <w:r w:rsidR="000267E1" w:rsidRPr="00A55C1E">
        <w:rPr>
          <w:rFonts w:ascii="Verdana" w:hAnsi="Verdana" w:cs="Tahoma"/>
        </w:rPr>
        <w:t xml:space="preserve">riodo de inicio de los síntomas/realización del PCR. </w:t>
      </w:r>
    </w:p>
    <w:p w:rsidR="00DB0E2D" w:rsidRPr="00A55C1E" w:rsidRDefault="00DB0E2D" w:rsidP="00A55C1E">
      <w:pPr>
        <w:spacing w:after="0" w:line="360" w:lineRule="auto"/>
        <w:jc w:val="both"/>
        <w:rPr>
          <w:rFonts w:ascii="Verdana" w:hAnsi="Verdana" w:cs="Tahoma"/>
        </w:rPr>
      </w:pPr>
    </w:p>
    <w:p w:rsidR="00290398" w:rsidRPr="00A55C1E" w:rsidRDefault="00290398" w:rsidP="00A55C1E">
      <w:pPr>
        <w:spacing w:after="0" w:line="360" w:lineRule="auto"/>
        <w:jc w:val="both"/>
        <w:rPr>
          <w:rFonts w:ascii="Verdana" w:hAnsi="Verdana" w:cs="Tahoma"/>
        </w:rPr>
      </w:pPr>
      <w:r w:rsidRPr="00A55C1E">
        <w:rPr>
          <w:rFonts w:ascii="Verdana" w:hAnsi="Verdana" w:cs="Tahoma"/>
        </w:rPr>
        <w:t xml:space="preserve">Para el procesamiento y análisis de la información se creó una base de datos en el paquete estadístico SPSS versión 21.0. Se emplearon técnicas de estadística descriptiva mediante frecuencias absolutas y relativas porcentuales, media aritmética, y desviación estándar.  </w:t>
      </w:r>
    </w:p>
    <w:p w:rsidR="00290398" w:rsidRPr="00A55C1E" w:rsidRDefault="00290398" w:rsidP="00A55C1E">
      <w:pPr>
        <w:spacing w:after="0" w:line="360" w:lineRule="auto"/>
        <w:jc w:val="both"/>
        <w:rPr>
          <w:rFonts w:ascii="Verdana" w:hAnsi="Verdana" w:cs="Tahoma"/>
        </w:rPr>
      </w:pPr>
    </w:p>
    <w:p w:rsidR="00410625" w:rsidRPr="00A55C1E" w:rsidRDefault="00290398" w:rsidP="00A55C1E">
      <w:pPr>
        <w:spacing w:after="0" w:line="360" w:lineRule="auto"/>
        <w:jc w:val="both"/>
        <w:rPr>
          <w:rFonts w:ascii="Verdana" w:hAnsi="Verdana" w:cs="Tahoma"/>
        </w:rPr>
      </w:pPr>
      <w:r w:rsidRPr="00A55C1E">
        <w:rPr>
          <w:rFonts w:ascii="Verdana" w:hAnsi="Verdana" w:cs="Tahoma"/>
        </w:rPr>
        <w:t xml:space="preserve">Esta investigación fue aprobada por el Comité de Ética y el Consejo Científico de la institución. Durante su realización no se efectuó ninguna intervención terapéutica y se respetó la confidencialidad de los datos obtenidos. Se mantuvieron como </w:t>
      </w:r>
      <w:r w:rsidRPr="00A55C1E">
        <w:rPr>
          <w:rFonts w:ascii="Verdana" w:hAnsi="Verdana" w:cs="Tahoma"/>
        </w:rPr>
        <w:lastRenderedPageBreak/>
        <w:t xml:space="preserve">premisa los principios bioéticos de los estudios con seres humanos, establecidos en la II Declaración de Helsinki y en las normas éticas cubanas.  </w:t>
      </w:r>
    </w:p>
    <w:p w:rsidR="00B57448" w:rsidRPr="00A55C1E" w:rsidRDefault="00B57448" w:rsidP="00A55C1E">
      <w:pPr>
        <w:spacing w:after="0" w:line="360" w:lineRule="auto"/>
        <w:jc w:val="both"/>
        <w:rPr>
          <w:rFonts w:ascii="Verdana" w:hAnsi="Verdana" w:cs="Tahoma"/>
        </w:rPr>
      </w:pPr>
    </w:p>
    <w:p w:rsidR="003B76E4" w:rsidRPr="00A55C1E" w:rsidRDefault="0045322E" w:rsidP="00A55C1E">
      <w:pPr>
        <w:spacing w:after="0" w:line="360" w:lineRule="auto"/>
        <w:jc w:val="both"/>
        <w:rPr>
          <w:rFonts w:ascii="Verdana" w:hAnsi="Verdana" w:cs="Tahoma"/>
          <w:b/>
        </w:rPr>
      </w:pPr>
      <w:r w:rsidRPr="00A55C1E">
        <w:rPr>
          <w:rFonts w:ascii="Verdana" w:hAnsi="Verdana" w:cs="Tahoma"/>
          <w:b/>
        </w:rPr>
        <w:t>RESULTADOS</w:t>
      </w:r>
    </w:p>
    <w:p w:rsidR="00D21CEE" w:rsidRPr="00A55C1E" w:rsidRDefault="00D21CEE" w:rsidP="00A55C1E">
      <w:pPr>
        <w:spacing w:after="0" w:line="360" w:lineRule="auto"/>
        <w:jc w:val="both"/>
        <w:rPr>
          <w:rFonts w:ascii="Verdana" w:hAnsi="Verdana" w:cs="Tahoma"/>
        </w:rPr>
      </w:pPr>
      <w:r w:rsidRPr="00A55C1E">
        <w:rPr>
          <w:rFonts w:ascii="Verdana" w:hAnsi="Verdana" w:cs="Tahoma"/>
        </w:rPr>
        <w:t xml:space="preserve">Hubo un alza de pacientes ingresados entre los meses de abril a agosto de 2020 con cifras superiores a 28; mientras que a partir de octubre del mismo año se registró un incremento de casos con pico </w:t>
      </w:r>
      <w:r w:rsidR="00C12204" w:rsidRPr="00A55C1E">
        <w:rPr>
          <w:rFonts w:ascii="Verdana" w:hAnsi="Verdana" w:cs="Tahoma"/>
        </w:rPr>
        <w:t xml:space="preserve">máximo en marzo de 2021, con 55; así lo expresa el Gráfico 1. </w:t>
      </w:r>
    </w:p>
    <w:p w:rsidR="00937C3A" w:rsidRPr="00A55C1E" w:rsidRDefault="00937C3A" w:rsidP="00A55C1E">
      <w:pPr>
        <w:spacing w:line="360" w:lineRule="auto"/>
        <w:jc w:val="both"/>
        <w:rPr>
          <w:rFonts w:ascii="Verdana" w:hAnsi="Verdana" w:cs="Tahoma"/>
          <w:b/>
        </w:rPr>
      </w:pPr>
    </w:p>
    <w:p w:rsidR="00344194" w:rsidRPr="00A55C1E" w:rsidRDefault="00344194" w:rsidP="00A55C1E">
      <w:pPr>
        <w:spacing w:line="360" w:lineRule="auto"/>
        <w:jc w:val="both"/>
        <w:rPr>
          <w:rFonts w:ascii="Verdana" w:hAnsi="Verdana" w:cs="Tahoma"/>
        </w:rPr>
      </w:pPr>
      <w:r w:rsidRPr="00A55C1E">
        <w:rPr>
          <w:rFonts w:ascii="Verdana" w:hAnsi="Verdana" w:cs="Tahoma"/>
          <w:b/>
        </w:rPr>
        <w:t xml:space="preserve">Gráfico 1. </w:t>
      </w:r>
      <w:r w:rsidRPr="00A55C1E">
        <w:rPr>
          <w:rFonts w:ascii="Verdana" w:hAnsi="Verdana" w:cs="Tahoma"/>
        </w:rPr>
        <w:t xml:space="preserve">Incidencia de pacientes con NAC ingresados en UCIC. </w:t>
      </w:r>
      <w:r w:rsidR="00272AE3" w:rsidRPr="00A55C1E">
        <w:rPr>
          <w:rFonts w:ascii="Verdana" w:hAnsi="Verdana" w:cs="Tahoma"/>
        </w:rPr>
        <w:t xml:space="preserve">Hospital Provincial Dr. Gustavo Aldereguía Lima, Cienfuegos 2020-2021. </w:t>
      </w:r>
    </w:p>
    <w:p w:rsidR="007A4BE7" w:rsidRPr="00A55C1E" w:rsidRDefault="007A4BE7" w:rsidP="00A55C1E">
      <w:pPr>
        <w:spacing w:after="0" w:line="360" w:lineRule="auto"/>
        <w:jc w:val="center"/>
        <w:rPr>
          <w:rFonts w:ascii="Verdana" w:hAnsi="Verdana" w:cs="Tahoma"/>
          <w:b/>
        </w:rPr>
      </w:pPr>
      <w:r w:rsidRPr="00A55C1E">
        <w:rPr>
          <w:rFonts w:ascii="Verdana" w:hAnsi="Verdana" w:cs="Tahoma"/>
          <w:b/>
          <w:noProof/>
        </w:rPr>
        <w:drawing>
          <wp:inline distT="0" distB="0" distL="0" distR="0">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2FFC" w:rsidRPr="00A55C1E" w:rsidRDefault="007B2FFC" w:rsidP="00A55C1E">
      <w:pPr>
        <w:spacing w:after="0" w:line="360" w:lineRule="auto"/>
        <w:jc w:val="both"/>
        <w:rPr>
          <w:rFonts w:ascii="Verdana" w:hAnsi="Verdana" w:cs="Tahoma"/>
          <w:b/>
        </w:rPr>
      </w:pPr>
      <w:r w:rsidRPr="00A55C1E">
        <w:rPr>
          <w:rFonts w:ascii="Verdana" w:hAnsi="Verdana" w:cs="Tahoma"/>
          <w:b/>
        </w:rPr>
        <w:t xml:space="preserve">Fuente: </w:t>
      </w:r>
      <w:r w:rsidRPr="00A55C1E">
        <w:rPr>
          <w:rFonts w:ascii="Verdana" w:hAnsi="Verdana" w:cs="Tahoma"/>
        </w:rPr>
        <w:t>Modelo de recolección de datos</w:t>
      </w:r>
    </w:p>
    <w:p w:rsidR="00024086" w:rsidRPr="00A55C1E" w:rsidRDefault="00024086" w:rsidP="00A55C1E">
      <w:pPr>
        <w:spacing w:after="0" w:line="360" w:lineRule="auto"/>
        <w:jc w:val="both"/>
        <w:rPr>
          <w:rFonts w:ascii="Verdana" w:hAnsi="Verdana" w:cs="Tahoma"/>
          <w:b/>
        </w:rPr>
      </w:pPr>
    </w:p>
    <w:p w:rsidR="007F7BB2" w:rsidRPr="00A55C1E" w:rsidRDefault="007F7BB2" w:rsidP="00A55C1E">
      <w:pPr>
        <w:spacing w:after="0" w:line="360" w:lineRule="auto"/>
        <w:jc w:val="both"/>
        <w:rPr>
          <w:rFonts w:ascii="Verdana" w:hAnsi="Verdana" w:cs="Tahoma"/>
        </w:rPr>
      </w:pPr>
      <w:r w:rsidRPr="00A55C1E">
        <w:rPr>
          <w:rFonts w:ascii="Verdana" w:hAnsi="Verdana" w:cs="Tahoma"/>
        </w:rPr>
        <w:t xml:space="preserve">Según la Tabla 1, el 60,3% de los pacientes de estudio correspondían al sexo masculino, con mayor incidencia en el grupo de edad de 60 a 79 años, representando cerca de la mitad del total (50,3%).  </w:t>
      </w:r>
    </w:p>
    <w:p w:rsidR="007F7BB2" w:rsidRPr="00A55C1E" w:rsidRDefault="007F7BB2" w:rsidP="00A55C1E">
      <w:pPr>
        <w:spacing w:after="0" w:line="360" w:lineRule="auto"/>
        <w:jc w:val="both"/>
        <w:rPr>
          <w:rFonts w:ascii="Verdana" w:hAnsi="Verdana" w:cs="Tahoma"/>
        </w:rPr>
      </w:pPr>
    </w:p>
    <w:p w:rsidR="005F7AA5" w:rsidRPr="00A55C1E" w:rsidRDefault="007B2FFC" w:rsidP="00A55C1E">
      <w:pPr>
        <w:spacing w:after="0" w:line="360" w:lineRule="auto"/>
        <w:jc w:val="both"/>
        <w:rPr>
          <w:rFonts w:ascii="Verdana" w:hAnsi="Verdana" w:cs="Tahoma"/>
          <w:b/>
        </w:rPr>
      </w:pPr>
      <w:r w:rsidRPr="00A55C1E">
        <w:rPr>
          <w:rFonts w:ascii="Verdana" w:hAnsi="Verdana" w:cs="Tahoma"/>
          <w:b/>
        </w:rPr>
        <w:t xml:space="preserve">Tabla 1. </w:t>
      </w:r>
      <w:r w:rsidRPr="00A55C1E">
        <w:rPr>
          <w:rFonts w:ascii="Verdana" w:hAnsi="Verdana" w:cs="Tahoma"/>
        </w:rPr>
        <w:t xml:space="preserve">Distribución de los pacientes atendiendo a edad y sexo. </w:t>
      </w:r>
    </w:p>
    <w:tbl>
      <w:tblPr>
        <w:tblStyle w:val="Tablaconcuadrcula"/>
        <w:tblW w:w="0" w:type="auto"/>
        <w:tblInd w:w="1555" w:type="dxa"/>
        <w:tblLayout w:type="fixed"/>
        <w:tblLook w:val="04A0" w:firstRow="1" w:lastRow="0" w:firstColumn="1" w:lastColumn="0" w:noHBand="0" w:noVBand="1"/>
      </w:tblPr>
      <w:tblGrid>
        <w:gridCol w:w="2409"/>
        <w:gridCol w:w="851"/>
        <w:gridCol w:w="709"/>
        <w:gridCol w:w="850"/>
        <w:gridCol w:w="709"/>
        <w:gridCol w:w="850"/>
        <w:gridCol w:w="709"/>
      </w:tblGrid>
      <w:tr w:rsidR="005F7AA5" w:rsidRPr="00A55C1E" w:rsidTr="005F7AA5">
        <w:tc>
          <w:tcPr>
            <w:tcW w:w="2409" w:type="dxa"/>
            <w:vMerge w:val="restart"/>
          </w:tcPr>
          <w:p w:rsidR="005F7AA5" w:rsidRPr="00A55C1E" w:rsidRDefault="005F7AA5" w:rsidP="00A55C1E">
            <w:pPr>
              <w:spacing w:line="360" w:lineRule="auto"/>
              <w:jc w:val="both"/>
              <w:rPr>
                <w:rFonts w:ascii="Verdana" w:hAnsi="Verdana" w:cs="Tahoma"/>
                <w:b/>
              </w:rPr>
            </w:pPr>
            <w:r w:rsidRPr="00A55C1E">
              <w:rPr>
                <w:rFonts w:ascii="Verdana" w:hAnsi="Verdana" w:cs="Tahoma"/>
                <w:b/>
              </w:rPr>
              <w:lastRenderedPageBreak/>
              <w:t>Grupos de edad</w:t>
            </w:r>
          </w:p>
        </w:tc>
        <w:tc>
          <w:tcPr>
            <w:tcW w:w="3119" w:type="dxa"/>
            <w:gridSpan w:val="4"/>
          </w:tcPr>
          <w:p w:rsidR="005F7AA5" w:rsidRPr="00A55C1E" w:rsidRDefault="005F7AA5" w:rsidP="00A55C1E">
            <w:pPr>
              <w:spacing w:line="360" w:lineRule="auto"/>
              <w:jc w:val="center"/>
              <w:rPr>
                <w:rFonts w:ascii="Verdana" w:hAnsi="Verdana" w:cs="Tahoma"/>
                <w:b/>
              </w:rPr>
            </w:pPr>
            <w:r w:rsidRPr="00A55C1E">
              <w:rPr>
                <w:rFonts w:ascii="Verdana" w:hAnsi="Verdana" w:cs="Tahoma"/>
                <w:b/>
              </w:rPr>
              <w:t>Sexo</w:t>
            </w:r>
          </w:p>
        </w:tc>
        <w:tc>
          <w:tcPr>
            <w:tcW w:w="1559" w:type="dxa"/>
            <w:gridSpan w:val="2"/>
            <w:vMerge w:val="restart"/>
          </w:tcPr>
          <w:p w:rsidR="005F7AA5" w:rsidRPr="00A55C1E" w:rsidRDefault="005F7AA5" w:rsidP="00A55C1E">
            <w:pPr>
              <w:spacing w:line="360" w:lineRule="auto"/>
              <w:jc w:val="center"/>
              <w:rPr>
                <w:rFonts w:ascii="Verdana" w:hAnsi="Verdana" w:cs="Tahoma"/>
                <w:b/>
              </w:rPr>
            </w:pPr>
            <w:r w:rsidRPr="00A55C1E">
              <w:rPr>
                <w:rFonts w:ascii="Verdana" w:hAnsi="Verdana" w:cs="Tahoma"/>
                <w:b/>
              </w:rPr>
              <w:t>Total</w:t>
            </w:r>
          </w:p>
        </w:tc>
      </w:tr>
      <w:tr w:rsidR="005F7AA5" w:rsidRPr="00A55C1E" w:rsidTr="005F7AA5">
        <w:tc>
          <w:tcPr>
            <w:tcW w:w="2409" w:type="dxa"/>
            <w:vMerge/>
          </w:tcPr>
          <w:p w:rsidR="005F7AA5" w:rsidRPr="00A55C1E" w:rsidRDefault="005F7AA5" w:rsidP="00A55C1E">
            <w:pPr>
              <w:spacing w:line="360" w:lineRule="auto"/>
              <w:jc w:val="both"/>
              <w:rPr>
                <w:rFonts w:ascii="Verdana" w:hAnsi="Verdana" w:cs="Tahoma"/>
                <w:b/>
              </w:rPr>
            </w:pPr>
          </w:p>
        </w:tc>
        <w:tc>
          <w:tcPr>
            <w:tcW w:w="1560" w:type="dxa"/>
            <w:gridSpan w:val="2"/>
          </w:tcPr>
          <w:p w:rsidR="005F7AA5" w:rsidRPr="00A55C1E" w:rsidRDefault="005F7AA5" w:rsidP="00A55C1E">
            <w:pPr>
              <w:spacing w:line="360" w:lineRule="auto"/>
              <w:jc w:val="center"/>
              <w:rPr>
                <w:rFonts w:ascii="Verdana" w:hAnsi="Verdana" w:cs="Tahoma"/>
                <w:b/>
              </w:rPr>
            </w:pPr>
            <w:r w:rsidRPr="00A55C1E">
              <w:rPr>
                <w:rFonts w:ascii="Verdana" w:hAnsi="Verdana" w:cs="Tahoma"/>
                <w:b/>
              </w:rPr>
              <w:t>Femenino</w:t>
            </w:r>
          </w:p>
        </w:tc>
        <w:tc>
          <w:tcPr>
            <w:tcW w:w="1559" w:type="dxa"/>
            <w:gridSpan w:val="2"/>
          </w:tcPr>
          <w:p w:rsidR="005F7AA5" w:rsidRPr="00A55C1E" w:rsidRDefault="005F7AA5" w:rsidP="00A55C1E">
            <w:pPr>
              <w:spacing w:line="360" w:lineRule="auto"/>
              <w:jc w:val="center"/>
              <w:rPr>
                <w:rFonts w:ascii="Verdana" w:hAnsi="Verdana" w:cs="Tahoma"/>
                <w:b/>
              </w:rPr>
            </w:pPr>
            <w:r w:rsidRPr="00A55C1E">
              <w:rPr>
                <w:rFonts w:ascii="Verdana" w:hAnsi="Verdana" w:cs="Tahoma"/>
                <w:b/>
              </w:rPr>
              <w:t>Masculino</w:t>
            </w:r>
          </w:p>
        </w:tc>
        <w:tc>
          <w:tcPr>
            <w:tcW w:w="1559" w:type="dxa"/>
            <w:gridSpan w:val="2"/>
            <w:vMerge/>
          </w:tcPr>
          <w:p w:rsidR="005F7AA5" w:rsidRPr="00A55C1E" w:rsidRDefault="005F7AA5" w:rsidP="00A55C1E">
            <w:pPr>
              <w:spacing w:line="360" w:lineRule="auto"/>
              <w:jc w:val="center"/>
              <w:rPr>
                <w:rFonts w:ascii="Verdana" w:hAnsi="Verdana" w:cs="Tahoma"/>
                <w:b/>
              </w:rPr>
            </w:pPr>
          </w:p>
        </w:tc>
      </w:tr>
      <w:tr w:rsidR="005F7AA5" w:rsidRPr="00A55C1E" w:rsidTr="005F7AA5">
        <w:tc>
          <w:tcPr>
            <w:tcW w:w="2409" w:type="dxa"/>
            <w:vMerge/>
          </w:tcPr>
          <w:p w:rsidR="005F7AA5" w:rsidRPr="00A55C1E" w:rsidRDefault="005F7AA5" w:rsidP="00A55C1E">
            <w:pPr>
              <w:spacing w:line="360" w:lineRule="auto"/>
              <w:jc w:val="both"/>
              <w:rPr>
                <w:rFonts w:ascii="Verdana" w:hAnsi="Verdana" w:cs="Tahoma"/>
                <w:b/>
              </w:rPr>
            </w:pPr>
          </w:p>
        </w:tc>
        <w:tc>
          <w:tcPr>
            <w:tcW w:w="851" w:type="dxa"/>
          </w:tcPr>
          <w:p w:rsidR="005F7AA5" w:rsidRPr="00A55C1E" w:rsidRDefault="005F7AA5" w:rsidP="00A55C1E">
            <w:pPr>
              <w:spacing w:line="360" w:lineRule="auto"/>
              <w:jc w:val="center"/>
              <w:rPr>
                <w:rFonts w:ascii="Verdana" w:hAnsi="Verdana" w:cs="Tahoma"/>
                <w:b/>
              </w:rPr>
            </w:pPr>
            <w:r w:rsidRPr="00A55C1E">
              <w:rPr>
                <w:rFonts w:ascii="Verdana" w:hAnsi="Verdana" w:cs="Tahoma"/>
                <w:b/>
              </w:rPr>
              <w:t>No.</w:t>
            </w:r>
          </w:p>
        </w:tc>
        <w:tc>
          <w:tcPr>
            <w:tcW w:w="709" w:type="dxa"/>
          </w:tcPr>
          <w:p w:rsidR="005F7AA5" w:rsidRPr="00A55C1E" w:rsidRDefault="005F7AA5" w:rsidP="00A55C1E">
            <w:pPr>
              <w:spacing w:line="360" w:lineRule="auto"/>
              <w:jc w:val="center"/>
              <w:rPr>
                <w:rFonts w:ascii="Verdana" w:hAnsi="Verdana" w:cs="Tahoma"/>
                <w:b/>
              </w:rPr>
            </w:pPr>
            <w:r w:rsidRPr="00A55C1E">
              <w:rPr>
                <w:rFonts w:ascii="Verdana" w:hAnsi="Verdana" w:cs="Tahoma"/>
                <w:b/>
              </w:rPr>
              <w:t>%</w:t>
            </w:r>
          </w:p>
        </w:tc>
        <w:tc>
          <w:tcPr>
            <w:tcW w:w="850" w:type="dxa"/>
          </w:tcPr>
          <w:p w:rsidR="005F7AA5" w:rsidRPr="00A55C1E" w:rsidRDefault="005F7AA5" w:rsidP="00A55C1E">
            <w:pPr>
              <w:spacing w:line="360" w:lineRule="auto"/>
              <w:jc w:val="center"/>
              <w:rPr>
                <w:rFonts w:ascii="Verdana" w:hAnsi="Verdana" w:cs="Tahoma"/>
                <w:b/>
              </w:rPr>
            </w:pPr>
            <w:r w:rsidRPr="00A55C1E">
              <w:rPr>
                <w:rFonts w:ascii="Verdana" w:hAnsi="Verdana" w:cs="Tahoma"/>
                <w:b/>
              </w:rPr>
              <w:t>No.</w:t>
            </w:r>
          </w:p>
        </w:tc>
        <w:tc>
          <w:tcPr>
            <w:tcW w:w="709" w:type="dxa"/>
          </w:tcPr>
          <w:p w:rsidR="005F7AA5" w:rsidRPr="00A55C1E" w:rsidRDefault="005F7AA5" w:rsidP="00A55C1E">
            <w:pPr>
              <w:spacing w:line="360" w:lineRule="auto"/>
              <w:jc w:val="center"/>
              <w:rPr>
                <w:rFonts w:ascii="Verdana" w:hAnsi="Verdana" w:cs="Tahoma"/>
                <w:b/>
              </w:rPr>
            </w:pPr>
            <w:r w:rsidRPr="00A55C1E">
              <w:rPr>
                <w:rFonts w:ascii="Verdana" w:hAnsi="Verdana" w:cs="Tahoma"/>
                <w:b/>
              </w:rPr>
              <w:t>%</w:t>
            </w:r>
          </w:p>
        </w:tc>
        <w:tc>
          <w:tcPr>
            <w:tcW w:w="850" w:type="dxa"/>
          </w:tcPr>
          <w:p w:rsidR="005F7AA5" w:rsidRPr="00A55C1E" w:rsidRDefault="005F7AA5" w:rsidP="00A55C1E">
            <w:pPr>
              <w:spacing w:line="360" w:lineRule="auto"/>
              <w:jc w:val="center"/>
              <w:rPr>
                <w:rFonts w:ascii="Verdana" w:hAnsi="Verdana" w:cs="Tahoma"/>
                <w:b/>
              </w:rPr>
            </w:pPr>
            <w:r w:rsidRPr="00A55C1E">
              <w:rPr>
                <w:rFonts w:ascii="Verdana" w:hAnsi="Verdana" w:cs="Tahoma"/>
                <w:b/>
              </w:rPr>
              <w:t>No.</w:t>
            </w:r>
          </w:p>
        </w:tc>
        <w:tc>
          <w:tcPr>
            <w:tcW w:w="709" w:type="dxa"/>
          </w:tcPr>
          <w:p w:rsidR="005F7AA5" w:rsidRPr="00A55C1E" w:rsidRDefault="005F7AA5" w:rsidP="00A55C1E">
            <w:pPr>
              <w:spacing w:line="360" w:lineRule="auto"/>
              <w:jc w:val="both"/>
              <w:rPr>
                <w:rFonts w:ascii="Verdana" w:hAnsi="Verdana" w:cs="Tahoma"/>
                <w:b/>
              </w:rPr>
            </w:pPr>
            <w:r w:rsidRPr="00A55C1E">
              <w:rPr>
                <w:rFonts w:ascii="Verdana" w:hAnsi="Verdana" w:cs="Tahoma"/>
                <w:b/>
              </w:rPr>
              <w:t>%</w:t>
            </w:r>
          </w:p>
        </w:tc>
      </w:tr>
      <w:tr w:rsidR="005F7AA5" w:rsidRPr="00A55C1E" w:rsidTr="005F7AA5">
        <w:tc>
          <w:tcPr>
            <w:tcW w:w="2409" w:type="dxa"/>
          </w:tcPr>
          <w:p w:rsidR="005F7AA5" w:rsidRPr="00A55C1E" w:rsidRDefault="005F7AA5" w:rsidP="00A55C1E">
            <w:pPr>
              <w:spacing w:line="360" w:lineRule="auto"/>
              <w:jc w:val="both"/>
              <w:rPr>
                <w:rFonts w:ascii="Verdana" w:hAnsi="Verdana" w:cs="Tahoma"/>
              </w:rPr>
            </w:pPr>
            <w:r w:rsidRPr="00A55C1E">
              <w:rPr>
                <w:rFonts w:ascii="Verdana" w:hAnsi="Verdana" w:cs="Tahoma"/>
              </w:rPr>
              <w:t>20-39</w:t>
            </w:r>
          </w:p>
        </w:tc>
        <w:tc>
          <w:tcPr>
            <w:tcW w:w="851" w:type="dxa"/>
          </w:tcPr>
          <w:p w:rsidR="005F7AA5" w:rsidRPr="00A55C1E" w:rsidRDefault="0040554D" w:rsidP="00A55C1E">
            <w:pPr>
              <w:spacing w:line="360" w:lineRule="auto"/>
              <w:jc w:val="center"/>
              <w:rPr>
                <w:rFonts w:ascii="Verdana" w:hAnsi="Verdana" w:cs="Tahoma"/>
              </w:rPr>
            </w:pPr>
            <w:r w:rsidRPr="00A55C1E">
              <w:rPr>
                <w:rFonts w:ascii="Verdana" w:hAnsi="Verdana" w:cs="Tahoma"/>
              </w:rPr>
              <w:t>6</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3,9</w:t>
            </w:r>
          </w:p>
        </w:tc>
        <w:tc>
          <w:tcPr>
            <w:tcW w:w="850" w:type="dxa"/>
          </w:tcPr>
          <w:p w:rsidR="005F7AA5" w:rsidRPr="00A55C1E" w:rsidRDefault="0040554D" w:rsidP="00A55C1E">
            <w:pPr>
              <w:spacing w:line="360" w:lineRule="auto"/>
              <w:jc w:val="center"/>
              <w:rPr>
                <w:rFonts w:ascii="Verdana" w:hAnsi="Verdana" w:cs="Tahoma"/>
              </w:rPr>
            </w:pPr>
            <w:r w:rsidRPr="00A55C1E">
              <w:rPr>
                <w:rFonts w:ascii="Verdana" w:hAnsi="Verdana" w:cs="Tahoma"/>
              </w:rPr>
              <w:t>15</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6,4</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21</w:t>
            </w:r>
          </w:p>
        </w:tc>
        <w:tc>
          <w:tcPr>
            <w:tcW w:w="709" w:type="dxa"/>
          </w:tcPr>
          <w:p w:rsidR="005F7AA5" w:rsidRPr="00A55C1E" w:rsidRDefault="005571C1" w:rsidP="00A55C1E">
            <w:pPr>
              <w:spacing w:line="360" w:lineRule="auto"/>
              <w:jc w:val="both"/>
              <w:rPr>
                <w:rFonts w:ascii="Verdana" w:hAnsi="Verdana" w:cs="Tahoma"/>
              </w:rPr>
            </w:pPr>
            <w:r w:rsidRPr="00A55C1E">
              <w:rPr>
                <w:rFonts w:ascii="Verdana" w:hAnsi="Verdana" w:cs="Tahoma"/>
              </w:rPr>
              <w:t>5,4</w:t>
            </w:r>
          </w:p>
        </w:tc>
      </w:tr>
      <w:tr w:rsidR="005F7AA5" w:rsidRPr="00A55C1E" w:rsidTr="005F7AA5">
        <w:tc>
          <w:tcPr>
            <w:tcW w:w="2409" w:type="dxa"/>
          </w:tcPr>
          <w:p w:rsidR="005F7AA5" w:rsidRPr="00A55C1E" w:rsidRDefault="005F7AA5" w:rsidP="00A55C1E">
            <w:pPr>
              <w:spacing w:line="360" w:lineRule="auto"/>
              <w:jc w:val="both"/>
              <w:rPr>
                <w:rFonts w:ascii="Verdana" w:hAnsi="Verdana" w:cs="Tahoma"/>
              </w:rPr>
            </w:pPr>
            <w:r w:rsidRPr="00A55C1E">
              <w:rPr>
                <w:rFonts w:ascii="Verdana" w:hAnsi="Verdana" w:cs="Tahoma"/>
              </w:rPr>
              <w:t>40-59</w:t>
            </w:r>
          </w:p>
        </w:tc>
        <w:tc>
          <w:tcPr>
            <w:tcW w:w="851" w:type="dxa"/>
          </w:tcPr>
          <w:p w:rsidR="005F7AA5" w:rsidRPr="00A55C1E" w:rsidRDefault="0040554D" w:rsidP="00A55C1E">
            <w:pPr>
              <w:spacing w:line="360" w:lineRule="auto"/>
              <w:jc w:val="center"/>
              <w:rPr>
                <w:rFonts w:ascii="Verdana" w:hAnsi="Verdana" w:cs="Tahoma"/>
              </w:rPr>
            </w:pPr>
            <w:r w:rsidRPr="00A55C1E">
              <w:rPr>
                <w:rFonts w:ascii="Verdana" w:hAnsi="Verdana" w:cs="Tahoma"/>
              </w:rPr>
              <w:t>43</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27,9</w:t>
            </w:r>
          </w:p>
        </w:tc>
        <w:tc>
          <w:tcPr>
            <w:tcW w:w="850" w:type="dxa"/>
          </w:tcPr>
          <w:p w:rsidR="005F7AA5" w:rsidRPr="00A55C1E" w:rsidRDefault="0040554D" w:rsidP="00A55C1E">
            <w:pPr>
              <w:spacing w:line="360" w:lineRule="auto"/>
              <w:jc w:val="center"/>
              <w:rPr>
                <w:rFonts w:ascii="Verdana" w:hAnsi="Verdana" w:cs="Tahoma"/>
              </w:rPr>
            </w:pPr>
            <w:r w:rsidRPr="00A55C1E">
              <w:rPr>
                <w:rFonts w:ascii="Verdana" w:hAnsi="Verdana" w:cs="Tahoma"/>
              </w:rPr>
              <w:t>49</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20,9</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92</w:t>
            </w:r>
          </w:p>
        </w:tc>
        <w:tc>
          <w:tcPr>
            <w:tcW w:w="709" w:type="dxa"/>
          </w:tcPr>
          <w:p w:rsidR="005F7AA5" w:rsidRPr="00A55C1E" w:rsidRDefault="005571C1" w:rsidP="00A55C1E">
            <w:pPr>
              <w:spacing w:line="360" w:lineRule="auto"/>
              <w:jc w:val="both"/>
              <w:rPr>
                <w:rFonts w:ascii="Verdana" w:hAnsi="Verdana" w:cs="Tahoma"/>
              </w:rPr>
            </w:pPr>
            <w:r w:rsidRPr="00A55C1E">
              <w:rPr>
                <w:rFonts w:ascii="Verdana" w:hAnsi="Verdana" w:cs="Tahoma"/>
              </w:rPr>
              <w:t>23,7</w:t>
            </w:r>
          </w:p>
        </w:tc>
      </w:tr>
      <w:tr w:rsidR="005F7AA5" w:rsidRPr="00A55C1E" w:rsidTr="005F7AA5">
        <w:tc>
          <w:tcPr>
            <w:tcW w:w="2409" w:type="dxa"/>
          </w:tcPr>
          <w:p w:rsidR="005F7AA5" w:rsidRPr="00A55C1E" w:rsidRDefault="005F7AA5" w:rsidP="00A55C1E">
            <w:pPr>
              <w:spacing w:line="360" w:lineRule="auto"/>
              <w:jc w:val="both"/>
              <w:rPr>
                <w:rFonts w:ascii="Verdana" w:hAnsi="Verdana" w:cs="Tahoma"/>
              </w:rPr>
            </w:pPr>
            <w:r w:rsidRPr="00A55C1E">
              <w:rPr>
                <w:rFonts w:ascii="Verdana" w:hAnsi="Verdana" w:cs="Tahoma"/>
              </w:rPr>
              <w:t>60-79</w:t>
            </w:r>
          </w:p>
        </w:tc>
        <w:tc>
          <w:tcPr>
            <w:tcW w:w="851" w:type="dxa"/>
          </w:tcPr>
          <w:p w:rsidR="005F7AA5" w:rsidRPr="00A55C1E" w:rsidRDefault="0040554D" w:rsidP="00A55C1E">
            <w:pPr>
              <w:spacing w:line="360" w:lineRule="auto"/>
              <w:jc w:val="center"/>
              <w:rPr>
                <w:rFonts w:ascii="Verdana" w:hAnsi="Verdana" w:cs="Tahoma"/>
              </w:rPr>
            </w:pPr>
            <w:r w:rsidRPr="00A55C1E">
              <w:rPr>
                <w:rFonts w:ascii="Verdana" w:hAnsi="Verdana" w:cs="Tahoma"/>
              </w:rPr>
              <w:t>84</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54,6</w:t>
            </w:r>
          </w:p>
        </w:tc>
        <w:tc>
          <w:tcPr>
            <w:tcW w:w="850" w:type="dxa"/>
          </w:tcPr>
          <w:p w:rsidR="005F7AA5" w:rsidRPr="00A55C1E" w:rsidRDefault="0040554D" w:rsidP="00A55C1E">
            <w:pPr>
              <w:spacing w:line="360" w:lineRule="auto"/>
              <w:jc w:val="center"/>
              <w:rPr>
                <w:rFonts w:ascii="Verdana" w:hAnsi="Verdana" w:cs="Tahoma"/>
              </w:rPr>
            </w:pPr>
            <w:r w:rsidRPr="00A55C1E">
              <w:rPr>
                <w:rFonts w:ascii="Verdana" w:hAnsi="Verdana" w:cs="Tahoma"/>
              </w:rPr>
              <w:t>113</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48,3</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197</w:t>
            </w:r>
          </w:p>
        </w:tc>
        <w:tc>
          <w:tcPr>
            <w:tcW w:w="709" w:type="dxa"/>
          </w:tcPr>
          <w:p w:rsidR="005F7AA5" w:rsidRPr="00A55C1E" w:rsidRDefault="005571C1" w:rsidP="00A55C1E">
            <w:pPr>
              <w:spacing w:line="360" w:lineRule="auto"/>
              <w:jc w:val="both"/>
              <w:rPr>
                <w:rFonts w:ascii="Verdana" w:hAnsi="Verdana" w:cs="Tahoma"/>
              </w:rPr>
            </w:pPr>
            <w:r w:rsidRPr="00A55C1E">
              <w:rPr>
                <w:rFonts w:ascii="Verdana" w:hAnsi="Verdana" w:cs="Tahoma"/>
              </w:rPr>
              <w:t>50,8</w:t>
            </w:r>
          </w:p>
        </w:tc>
      </w:tr>
      <w:tr w:rsidR="005F7AA5" w:rsidRPr="00A55C1E" w:rsidTr="005F7AA5">
        <w:tc>
          <w:tcPr>
            <w:tcW w:w="2409" w:type="dxa"/>
          </w:tcPr>
          <w:p w:rsidR="005F7AA5" w:rsidRPr="00A55C1E" w:rsidRDefault="005F7AA5" w:rsidP="00A55C1E">
            <w:pPr>
              <w:spacing w:line="360" w:lineRule="auto"/>
              <w:jc w:val="both"/>
              <w:rPr>
                <w:rFonts w:ascii="Verdana" w:hAnsi="Verdana" w:cs="Tahoma"/>
              </w:rPr>
            </w:pPr>
            <w:r w:rsidRPr="00A55C1E">
              <w:rPr>
                <w:rFonts w:ascii="Verdana" w:hAnsi="Verdana" w:cs="Tahoma"/>
              </w:rPr>
              <w:t>Mayor de 80</w:t>
            </w:r>
          </w:p>
        </w:tc>
        <w:tc>
          <w:tcPr>
            <w:tcW w:w="851" w:type="dxa"/>
          </w:tcPr>
          <w:p w:rsidR="005F7AA5" w:rsidRPr="00A55C1E" w:rsidRDefault="0040554D" w:rsidP="00A55C1E">
            <w:pPr>
              <w:spacing w:line="360" w:lineRule="auto"/>
              <w:jc w:val="center"/>
              <w:rPr>
                <w:rFonts w:ascii="Verdana" w:hAnsi="Verdana" w:cs="Tahoma"/>
              </w:rPr>
            </w:pPr>
            <w:r w:rsidRPr="00A55C1E">
              <w:rPr>
                <w:rFonts w:ascii="Verdana" w:hAnsi="Verdana" w:cs="Tahoma"/>
              </w:rPr>
              <w:t>21</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13,6</w:t>
            </w:r>
          </w:p>
        </w:tc>
        <w:tc>
          <w:tcPr>
            <w:tcW w:w="850" w:type="dxa"/>
          </w:tcPr>
          <w:p w:rsidR="005F7AA5" w:rsidRPr="00A55C1E" w:rsidRDefault="0040554D" w:rsidP="00A55C1E">
            <w:pPr>
              <w:spacing w:line="360" w:lineRule="auto"/>
              <w:jc w:val="center"/>
              <w:rPr>
                <w:rFonts w:ascii="Verdana" w:hAnsi="Verdana" w:cs="Tahoma"/>
              </w:rPr>
            </w:pPr>
            <w:r w:rsidRPr="00A55C1E">
              <w:rPr>
                <w:rFonts w:ascii="Verdana" w:hAnsi="Verdana" w:cs="Tahoma"/>
              </w:rPr>
              <w:t>57</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24,4</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78</w:t>
            </w:r>
          </w:p>
        </w:tc>
        <w:tc>
          <w:tcPr>
            <w:tcW w:w="709" w:type="dxa"/>
          </w:tcPr>
          <w:p w:rsidR="005F7AA5" w:rsidRPr="00A55C1E" w:rsidRDefault="005571C1" w:rsidP="00A55C1E">
            <w:pPr>
              <w:spacing w:line="360" w:lineRule="auto"/>
              <w:jc w:val="both"/>
              <w:rPr>
                <w:rFonts w:ascii="Verdana" w:hAnsi="Verdana" w:cs="Tahoma"/>
              </w:rPr>
            </w:pPr>
            <w:r w:rsidRPr="00A55C1E">
              <w:rPr>
                <w:rFonts w:ascii="Verdana" w:hAnsi="Verdana" w:cs="Tahoma"/>
              </w:rPr>
              <w:t>20,1</w:t>
            </w:r>
          </w:p>
        </w:tc>
      </w:tr>
      <w:tr w:rsidR="005F7AA5" w:rsidRPr="00A55C1E" w:rsidTr="005F7AA5">
        <w:tc>
          <w:tcPr>
            <w:tcW w:w="2409" w:type="dxa"/>
          </w:tcPr>
          <w:p w:rsidR="005F7AA5" w:rsidRPr="00A55C1E" w:rsidRDefault="005F7AA5" w:rsidP="00A55C1E">
            <w:pPr>
              <w:spacing w:line="360" w:lineRule="auto"/>
              <w:jc w:val="both"/>
              <w:rPr>
                <w:rFonts w:ascii="Verdana" w:hAnsi="Verdana" w:cs="Tahoma"/>
                <w:b/>
              </w:rPr>
            </w:pPr>
            <w:r w:rsidRPr="00A55C1E">
              <w:rPr>
                <w:rFonts w:ascii="Verdana" w:hAnsi="Verdana" w:cs="Tahoma"/>
                <w:b/>
              </w:rPr>
              <w:t>Total</w:t>
            </w:r>
          </w:p>
        </w:tc>
        <w:tc>
          <w:tcPr>
            <w:tcW w:w="851" w:type="dxa"/>
          </w:tcPr>
          <w:p w:rsidR="005F7AA5" w:rsidRPr="00A55C1E" w:rsidRDefault="00EA41EF" w:rsidP="00A55C1E">
            <w:pPr>
              <w:spacing w:line="360" w:lineRule="auto"/>
              <w:jc w:val="center"/>
              <w:rPr>
                <w:rFonts w:ascii="Verdana" w:hAnsi="Verdana" w:cs="Tahoma"/>
              </w:rPr>
            </w:pPr>
            <w:r w:rsidRPr="00A55C1E">
              <w:rPr>
                <w:rFonts w:ascii="Verdana" w:hAnsi="Verdana" w:cs="Tahoma"/>
              </w:rPr>
              <w:t>154</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39,7</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234</w:t>
            </w:r>
          </w:p>
        </w:tc>
        <w:tc>
          <w:tcPr>
            <w:tcW w:w="709" w:type="dxa"/>
          </w:tcPr>
          <w:p w:rsidR="005F7AA5" w:rsidRPr="00A55C1E" w:rsidRDefault="00B9624B" w:rsidP="00A55C1E">
            <w:pPr>
              <w:spacing w:line="360" w:lineRule="auto"/>
              <w:jc w:val="center"/>
              <w:rPr>
                <w:rFonts w:ascii="Verdana" w:hAnsi="Verdana" w:cs="Tahoma"/>
              </w:rPr>
            </w:pPr>
            <w:r w:rsidRPr="00A55C1E">
              <w:rPr>
                <w:rFonts w:ascii="Verdana" w:hAnsi="Verdana" w:cs="Tahoma"/>
              </w:rPr>
              <w:t>60,3</w:t>
            </w:r>
          </w:p>
        </w:tc>
        <w:tc>
          <w:tcPr>
            <w:tcW w:w="850" w:type="dxa"/>
          </w:tcPr>
          <w:p w:rsidR="005F7AA5" w:rsidRPr="00A55C1E" w:rsidRDefault="00EA41EF" w:rsidP="00A55C1E">
            <w:pPr>
              <w:spacing w:line="360" w:lineRule="auto"/>
              <w:jc w:val="center"/>
              <w:rPr>
                <w:rFonts w:ascii="Verdana" w:hAnsi="Verdana" w:cs="Tahoma"/>
              </w:rPr>
            </w:pPr>
            <w:r w:rsidRPr="00A55C1E">
              <w:rPr>
                <w:rFonts w:ascii="Verdana" w:hAnsi="Verdana" w:cs="Tahoma"/>
              </w:rPr>
              <w:t>388</w:t>
            </w:r>
          </w:p>
        </w:tc>
        <w:tc>
          <w:tcPr>
            <w:tcW w:w="709" w:type="dxa"/>
          </w:tcPr>
          <w:p w:rsidR="005F7AA5" w:rsidRPr="00A55C1E" w:rsidRDefault="00B4076C" w:rsidP="00A55C1E">
            <w:pPr>
              <w:spacing w:line="360" w:lineRule="auto"/>
              <w:jc w:val="both"/>
              <w:rPr>
                <w:rFonts w:ascii="Verdana" w:hAnsi="Verdana" w:cs="Tahoma"/>
              </w:rPr>
            </w:pPr>
            <w:r w:rsidRPr="00A55C1E">
              <w:rPr>
                <w:rFonts w:ascii="Verdana" w:hAnsi="Verdana" w:cs="Tahoma"/>
              </w:rPr>
              <w:t>100</w:t>
            </w:r>
          </w:p>
        </w:tc>
      </w:tr>
    </w:tbl>
    <w:p w:rsidR="005F7AA5" w:rsidRPr="00A55C1E" w:rsidRDefault="00DB0E2D" w:rsidP="00A55C1E">
      <w:pPr>
        <w:spacing w:line="360" w:lineRule="auto"/>
        <w:jc w:val="both"/>
        <w:rPr>
          <w:rFonts w:ascii="Verdana" w:hAnsi="Verdana" w:cs="Tahoma"/>
        </w:rPr>
      </w:pPr>
      <w:r w:rsidRPr="00A55C1E">
        <w:rPr>
          <w:rFonts w:ascii="Verdana" w:hAnsi="Verdana" w:cs="Tahoma"/>
          <w:b/>
        </w:rPr>
        <w:t xml:space="preserve">Fuente: </w:t>
      </w:r>
      <w:r w:rsidRPr="00A55C1E">
        <w:rPr>
          <w:rFonts w:ascii="Verdana" w:hAnsi="Verdana" w:cs="Tahoma"/>
        </w:rPr>
        <w:t>Modelo de recolección de datos</w:t>
      </w:r>
    </w:p>
    <w:p w:rsidR="00BC659F" w:rsidRPr="00A55C1E" w:rsidRDefault="00BC659F" w:rsidP="00A55C1E">
      <w:pPr>
        <w:spacing w:after="0" w:line="360" w:lineRule="auto"/>
        <w:jc w:val="both"/>
        <w:rPr>
          <w:rFonts w:ascii="Verdana" w:hAnsi="Verdana" w:cs="Tahoma"/>
        </w:rPr>
      </w:pPr>
      <w:r w:rsidRPr="00A55C1E">
        <w:rPr>
          <w:rFonts w:ascii="Verdana" w:hAnsi="Verdana" w:cs="Tahoma"/>
        </w:rPr>
        <w:t xml:space="preserve">El 31,7% de los pacientes requirió </w:t>
      </w:r>
      <w:r w:rsidR="007B6E18" w:rsidRPr="00A55C1E">
        <w:rPr>
          <w:rFonts w:ascii="Verdana" w:hAnsi="Verdana" w:cs="Tahoma"/>
        </w:rPr>
        <w:t xml:space="preserve">ventilación artificial mecánica, según destaca la Tabla 2. </w:t>
      </w:r>
      <w:r w:rsidR="000F4C6B" w:rsidRPr="00A55C1E">
        <w:rPr>
          <w:rFonts w:ascii="Verdana" w:hAnsi="Verdana" w:cs="Tahoma"/>
        </w:rPr>
        <w:t xml:space="preserve">De ellos el </w:t>
      </w:r>
      <w:r w:rsidR="007B6E18" w:rsidRPr="00A55C1E">
        <w:rPr>
          <w:rFonts w:ascii="Verdana" w:hAnsi="Verdana" w:cs="Tahoma"/>
        </w:rPr>
        <w:t xml:space="preserve">61,8% estuvo ventilado menos de 48 horas. </w:t>
      </w:r>
    </w:p>
    <w:p w:rsidR="007B6E18" w:rsidRPr="00A55C1E" w:rsidRDefault="007B6E18" w:rsidP="00A55C1E">
      <w:pPr>
        <w:spacing w:after="0" w:line="360" w:lineRule="auto"/>
        <w:jc w:val="both"/>
        <w:rPr>
          <w:rFonts w:ascii="Verdana" w:hAnsi="Verdana" w:cs="Tahoma"/>
        </w:rPr>
      </w:pPr>
    </w:p>
    <w:p w:rsidR="007B2FFC" w:rsidRPr="00A55C1E" w:rsidRDefault="007B2FFC" w:rsidP="00A55C1E">
      <w:pPr>
        <w:spacing w:after="0" w:line="360" w:lineRule="auto"/>
        <w:jc w:val="both"/>
        <w:rPr>
          <w:rFonts w:ascii="Verdana" w:hAnsi="Verdana" w:cs="Tahoma"/>
          <w:b/>
        </w:rPr>
      </w:pPr>
      <w:r w:rsidRPr="00A55C1E">
        <w:rPr>
          <w:rFonts w:ascii="Verdana" w:hAnsi="Verdana" w:cs="Tahoma"/>
          <w:b/>
        </w:rPr>
        <w:t xml:space="preserve">Tabla </w:t>
      </w:r>
      <w:r w:rsidR="00FD5824" w:rsidRPr="00A55C1E">
        <w:rPr>
          <w:rFonts w:ascii="Verdana" w:hAnsi="Verdana" w:cs="Tahoma"/>
          <w:b/>
        </w:rPr>
        <w:t>2</w:t>
      </w:r>
      <w:r w:rsidRPr="00A55C1E">
        <w:rPr>
          <w:rFonts w:ascii="Verdana" w:hAnsi="Verdana" w:cs="Tahoma"/>
          <w:b/>
        </w:rPr>
        <w:t xml:space="preserve">. </w:t>
      </w:r>
      <w:r w:rsidRPr="00A55C1E">
        <w:rPr>
          <w:rFonts w:ascii="Verdana" w:hAnsi="Verdana" w:cs="Tahoma"/>
        </w:rPr>
        <w:t xml:space="preserve">Distribución de los pacientes </w:t>
      </w:r>
      <w:r w:rsidR="00A835F5" w:rsidRPr="00A55C1E">
        <w:rPr>
          <w:rFonts w:ascii="Verdana" w:hAnsi="Verdana" w:cs="Tahoma"/>
        </w:rPr>
        <w:t>según requerimiento de ventilación</w:t>
      </w:r>
      <w:r w:rsidR="000267E1" w:rsidRPr="00A55C1E">
        <w:rPr>
          <w:rFonts w:ascii="Verdana" w:hAnsi="Verdana" w:cs="Tahoma"/>
        </w:rPr>
        <w:t xml:space="preserve"> artificial mecánica</w:t>
      </w:r>
      <w:r w:rsidR="00A835F5" w:rsidRPr="00A55C1E">
        <w:rPr>
          <w:rFonts w:ascii="Verdana" w:hAnsi="Verdana" w:cs="Tahoma"/>
        </w:rPr>
        <w:t xml:space="preserve"> y tiempo</w:t>
      </w:r>
      <w:r w:rsidR="000267E1" w:rsidRPr="00A55C1E">
        <w:rPr>
          <w:rFonts w:ascii="Verdana" w:hAnsi="Verdana" w:cs="Tahoma"/>
        </w:rPr>
        <w:t xml:space="preserve"> que estuvo ventilado</w:t>
      </w:r>
      <w:r w:rsidRPr="00A55C1E">
        <w:rPr>
          <w:rFonts w:ascii="Verdana" w:hAnsi="Verdana" w:cs="Tahoma"/>
        </w:rPr>
        <w:t xml:space="preserve">. </w:t>
      </w:r>
    </w:p>
    <w:tbl>
      <w:tblPr>
        <w:tblStyle w:val="Tablaconcuadrcula"/>
        <w:tblW w:w="0" w:type="auto"/>
        <w:jc w:val="center"/>
        <w:tblLook w:val="04A0" w:firstRow="1" w:lastRow="0" w:firstColumn="1" w:lastColumn="0" w:noHBand="0" w:noVBand="1"/>
      </w:tblPr>
      <w:tblGrid>
        <w:gridCol w:w="3681"/>
        <w:gridCol w:w="992"/>
        <w:gridCol w:w="716"/>
      </w:tblGrid>
      <w:tr w:rsidR="00F20CE6" w:rsidRPr="00A55C1E" w:rsidTr="007B2FFC">
        <w:trPr>
          <w:jc w:val="center"/>
        </w:trPr>
        <w:tc>
          <w:tcPr>
            <w:tcW w:w="3681" w:type="dxa"/>
          </w:tcPr>
          <w:p w:rsidR="00F20CE6" w:rsidRPr="00A55C1E" w:rsidRDefault="000C7571" w:rsidP="00A55C1E">
            <w:pPr>
              <w:spacing w:line="360" w:lineRule="auto"/>
              <w:jc w:val="both"/>
              <w:rPr>
                <w:rFonts w:ascii="Verdana" w:hAnsi="Verdana" w:cs="Tahoma"/>
                <w:b/>
              </w:rPr>
            </w:pPr>
            <w:r w:rsidRPr="00A55C1E">
              <w:rPr>
                <w:rFonts w:ascii="Verdana" w:hAnsi="Verdana" w:cs="Tahoma"/>
                <w:b/>
              </w:rPr>
              <w:t>Requerimiento de ventilación</w:t>
            </w:r>
          </w:p>
        </w:tc>
        <w:tc>
          <w:tcPr>
            <w:tcW w:w="992" w:type="dxa"/>
          </w:tcPr>
          <w:p w:rsidR="00F20CE6" w:rsidRPr="00A55C1E" w:rsidRDefault="000C7571" w:rsidP="00A55C1E">
            <w:pPr>
              <w:spacing w:line="360" w:lineRule="auto"/>
              <w:jc w:val="both"/>
              <w:rPr>
                <w:rFonts w:ascii="Verdana" w:hAnsi="Verdana" w:cs="Tahoma"/>
                <w:b/>
              </w:rPr>
            </w:pPr>
            <w:r w:rsidRPr="00A55C1E">
              <w:rPr>
                <w:rFonts w:ascii="Verdana" w:hAnsi="Verdana" w:cs="Tahoma"/>
                <w:b/>
              </w:rPr>
              <w:t>No.</w:t>
            </w:r>
          </w:p>
        </w:tc>
        <w:tc>
          <w:tcPr>
            <w:tcW w:w="709" w:type="dxa"/>
          </w:tcPr>
          <w:p w:rsidR="00F20CE6" w:rsidRPr="00A55C1E" w:rsidRDefault="000C7571" w:rsidP="00A55C1E">
            <w:pPr>
              <w:spacing w:line="360" w:lineRule="auto"/>
              <w:jc w:val="both"/>
              <w:rPr>
                <w:rFonts w:ascii="Verdana" w:hAnsi="Verdana" w:cs="Tahoma"/>
                <w:b/>
              </w:rPr>
            </w:pPr>
            <w:r w:rsidRPr="00A55C1E">
              <w:rPr>
                <w:rFonts w:ascii="Verdana" w:hAnsi="Verdana" w:cs="Tahoma"/>
                <w:b/>
              </w:rPr>
              <w:t>%</w:t>
            </w:r>
          </w:p>
        </w:tc>
      </w:tr>
      <w:tr w:rsidR="00F20CE6" w:rsidRPr="00A55C1E" w:rsidTr="007B2FFC">
        <w:trPr>
          <w:jc w:val="center"/>
        </w:trPr>
        <w:tc>
          <w:tcPr>
            <w:tcW w:w="3681" w:type="dxa"/>
          </w:tcPr>
          <w:p w:rsidR="00F20CE6" w:rsidRPr="00A55C1E" w:rsidRDefault="000C7571" w:rsidP="00A55C1E">
            <w:pPr>
              <w:spacing w:line="360" w:lineRule="auto"/>
              <w:jc w:val="both"/>
              <w:rPr>
                <w:rFonts w:ascii="Verdana" w:hAnsi="Verdana" w:cs="Tahoma"/>
              </w:rPr>
            </w:pPr>
            <w:r w:rsidRPr="00A55C1E">
              <w:rPr>
                <w:rFonts w:ascii="Verdana" w:hAnsi="Verdana" w:cs="Tahoma"/>
              </w:rPr>
              <w:t xml:space="preserve">Ventilados </w:t>
            </w:r>
          </w:p>
        </w:tc>
        <w:tc>
          <w:tcPr>
            <w:tcW w:w="992" w:type="dxa"/>
          </w:tcPr>
          <w:p w:rsidR="00F20CE6" w:rsidRPr="00A55C1E" w:rsidRDefault="000C7571" w:rsidP="00A55C1E">
            <w:pPr>
              <w:spacing w:line="360" w:lineRule="auto"/>
              <w:jc w:val="center"/>
              <w:rPr>
                <w:rFonts w:ascii="Verdana" w:hAnsi="Verdana" w:cs="Tahoma"/>
              </w:rPr>
            </w:pPr>
            <w:r w:rsidRPr="00A55C1E">
              <w:rPr>
                <w:rFonts w:ascii="Verdana" w:hAnsi="Verdana" w:cs="Tahoma"/>
              </w:rPr>
              <w:t>123</w:t>
            </w:r>
          </w:p>
        </w:tc>
        <w:tc>
          <w:tcPr>
            <w:tcW w:w="709" w:type="dxa"/>
          </w:tcPr>
          <w:p w:rsidR="00F20CE6" w:rsidRPr="00A55C1E" w:rsidRDefault="00B4076C" w:rsidP="00A55C1E">
            <w:pPr>
              <w:spacing w:line="360" w:lineRule="auto"/>
              <w:jc w:val="center"/>
              <w:rPr>
                <w:rFonts w:ascii="Verdana" w:hAnsi="Verdana" w:cs="Tahoma"/>
              </w:rPr>
            </w:pPr>
            <w:r w:rsidRPr="00A55C1E">
              <w:rPr>
                <w:rFonts w:ascii="Verdana" w:hAnsi="Verdana" w:cs="Tahoma"/>
              </w:rPr>
              <w:t>31,7</w:t>
            </w:r>
          </w:p>
        </w:tc>
      </w:tr>
      <w:tr w:rsidR="00F20CE6" w:rsidRPr="00A55C1E" w:rsidTr="007B2FFC">
        <w:trPr>
          <w:jc w:val="center"/>
        </w:trPr>
        <w:tc>
          <w:tcPr>
            <w:tcW w:w="3681" w:type="dxa"/>
          </w:tcPr>
          <w:p w:rsidR="00F20CE6" w:rsidRPr="00A55C1E" w:rsidRDefault="000C7571" w:rsidP="00A55C1E">
            <w:pPr>
              <w:spacing w:line="360" w:lineRule="auto"/>
              <w:jc w:val="both"/>
              <w:rPr>
                <w:rFonts w:ascii="Verdana" w:hAnsi="Verdana" w:cs="Tahoma"/>
              </w:rPr>
            </w:pPr>
            <w:r w:rsidRPr="00A55C1E">
              <w:rPr>
                <w:rFonts w:ascii="Verdana" w:hAnsi="Verdana" w:cs="Tahoma"/>
              </w:rPr>
              <w:t>No ventilados</w:t>
            </w:r>
          </w:p>
        </w:tc>
        <w:tc>
          <w:tcPr>
            <w:tcW w:w="992" w:type="dxa"/>
          </w:tcPr>
          <w:p w:rsidR="00F20CE6" w:rsidRPr="00A55C1E" w:rsidRDefault="000C7571" w:rsidP="00A55C1E">
            <w:pPr>
              <w:spacing w:line="360" w:lineRule="auto"/>
              <w:jc w:val="center"/>
              <w:rPr>
                <w:rFonts w:ascii="Verdana" w:hAnsi="Verdana" w:cs="Tahoma"/>
              </w:rPr>
            </w:pPr>
            <w:r w:rsidRPr="00A55C1E">
              <w:rPr>
                <w:rFonts w:ascii="Verdana" w:hAnsi="Verdana" w:cs="Tahoma"/>
              </w:rPr>
              <w:t>265</w:t>
            </w:r>
          </w:p>
        </w:tc>
        <w:tc>
          <w:tcPr>
            <w:tcW w:w="709" w:type="dxa"/>
          </w:tcPr>
          <w:p w:rsidR="00F20CE6" w:rsidRPr="00A55C1E" w:rsidRDefault="000C7571" w:rsidP="00A55C1E">
            <w:pPr>
              <w:spacing w:line="360" w:lineRule="auto"/>
              <w:jc w:val="center"/>
              <w:rPr>
                <w:rFonts w:ascii="Verdana" w:hAnsi="Verdana" w:cs="Tahoma"/>
              </w:rPr>
            </w:pPr>
            <w:r w:rsidRPr="00A55C1E">
              <w:rPr>
                <w:rFonts w:ascii="Verdana" w:hAnsi="Verdana" w:cs="Tahoma"/>
              </w:rPr>
              <w:t>68</w:t>
            </w:r>
            <w:r w:rsidR="00B4076C" w:rsidRPr="00A55C1E">
              <w:rPr>
                <w:rFonts w:ascii="Verdana" w:hAnsi="Verdana" w:cs="Tahoma"/>
              </w:rPr>
              <w:t>,3</w:t>
            </w:r>
          </w:p>
        </w:tc>
      </w:tr>
      <w:tr w:rsidR="000C7571" w:rsidRPr="00A55C1E" w:rsidTr="007B2FFC">
        <w:trPr>
          <w:jc w:val="center"/>
        </w:trPr>
        <w:tc>
          <w:tcPr>
            <w:tcW w:w="5382" w:type="dxa"/>
            <w:gridSpan w:val="3"/>
          </w:tcPr>
          <w:p w:rsidR="000C7571" w:rsidRPr="00A55C1E" w:rsidRDefault="000C7571" w:rsidP="00A55C1E">
            <w:pPr>
              <w:spacing w:line="360" w:lineRule="auto"/>
              <w:rPr>
                <w:rFonts w:ascii="Verdana" w:hAnsi="Verdana" w:cs="Tahoma"/>
                <w:b/>
              </w:rPr>
            </w:pPr>
            <w:r w:rsidRPr="00A55C1E">
              <w:rPr>
                <w:rFonts w:ascii="Verdana" w:hAnsi="Verdana" w:cs="Tahoma"/>
                <w:b/>
              </w:rPr>
              <w:t>Tiempo de los pacientes ventilados</w:t>
            </w:r>
          </w:p>
        </w:tc>
      </w:tr>
      <w:tr w:rsidR="000C7571" w:rsidRPr="00A55C1E" w:rsidTr="007B2FFC">
        <w:trPr>
          <w:jc w:val="center"/>
        </w:trPr>
        <w:tc>
          <w:tcPr>
            <w:tcW w:w="3681" w:type="dxa"/>
          </w:tcPr>
          <w:p w:rsidR="000C7571" w:rsidRPr="00A55C1E" w:rsidRDefault="000C7571" w:rsidP="00A55C1E">
            <w:pPr>
              <w:spacing w:line="360" w:lineRule="auto"/>
              <w:jc w:val="both"/>
              <w:rPr>
                <w:rFonts w:ascii="Verdana" w:hAnsi="Verdana" w:cs="Tahoma"/>
              </w:rPr>
            </w:pPr>
            <w:r w:rsidRPr="00A55C1E">
              <w:rPr>
                <w:rFonts w:ascii="Verdana" w:hAnsi="Verdana" w:cs="Tahoma"/>
              </w:rPr>
              <w:t>Menos de 48h</w:t>
            </w:r>
          </w:p>
        </w:tc>
        <w:tc>
          <w:tcPr>
            <w:tcW w:w="992" w:type="dxa"/>
          </w:tcPr>
          <w:p w:rsidR="000C7571" w:rsidRPr="00A55C1E" w:rsidRDefault="000C7571" w:rsidP="00A55C1E">
            <w:pPr>
              <w:spacing w:line="360" w:lineRule="auto"/>
              <w:jc w:val="center"/>
              <w:rPr>
                <w:rFonts w:ascii="Verdana" w:hAnsi="Verdana" w:cs="Tahoma"/>
              </w:rPr>
            </w:pPr>
            <w:r w:rsidRPr="00A55C1E">
              <w:rPr>
                <w:rFonts w:ascii="Verdana" w:hAnsi="Verdana" w:cs="Tahoma"/>
              </w:rPr>
              <w:t>76</w:t>
            </w:r>
          </w:p>
        </w:tc>
        <w:tc>
          <w:tcPr>
            <w:tcW w:w="709" w:type="dxa"/>
          </w:tcPr>
          <w:p w:rsidR="000C7571" w:rsidRPr="00A55C1E" w:rsidRDefault="00B4076C" w:rsidP="00A55C1E">
            <w:pPr>
              <w:spacing w:line="360" w:lineRule="auto"/>
              <w:jc w:val="center"/>
              <w:rPr>
                <w:rFonts w:ascii="Verdana" w:hAnsi="Verdana" w:cs="Tahoma"/>
              </w:rPr>
            </w:pPr>
            <w:r w:rsidRPr="00A55C1E">
              <w:rPr>
                <w:rFonts w:ascii="Verdana" w:hAnsi="Verdana" w:cs="Tahoma"/>
              </w:rPr>
              <w:t>61,8</w:t>
            </w:r>
          </w:p>
        </w:tc>
      </w:tr>
      <w:tr w:rsidR="000C7571" w:rsidRPr="00A55C1E" w:rsidTr="007B2FFC">
        <w:trPr>
          <w:jc w:val="center"/>
        </w:trPr>
        <w:tc>
          <w:tcPr>
            <w:tcW w:w="3681" w:type="dxa"/>
          </w:tcPr>
          <w:p w:rsidR="000C7571" w:rsidRPr="00A55C1E" w:rsidRDefault="000C7571" w:rsidP="00A55C1E">
            <w:pPr>
              <w:spacing w:line="360" w:lineRule="auto"/>
              <w:jc w:val="both"/>
              <w:rPr>
                <w:rFonts w:ascii="Verdana" w:hAnsi="Verdana" w:cs="Tahoma"/>
              </w:rPr>
            </w:pPr>
            <w:r w:rsidRPr="00A55C1E">
              <w:rPr>
                <w:rFonts w:ascii="Verdana" w:hAnsi="Verdana" w:cs="Tahoma"/>
              </w:rPr>
              <w:t>Más de 48h</w:t>
            </w:r>
          </w:p>
        </w:tc>
        <w:tc>
          <w:tcPr>
            <w:tcW w:w="992" w:type="dxa"/>
          </w:tcPr>
          <w:p w:rsidR="000C7571" w:rsidRPr="00A55C1E" w:rsidRDefault="000C7571" w:rsidP="00A55C1E">
            <w:pPr>
              <w:spacing w:line="360" w:lineRule="auto"/>
              <w:jc w:val="center"/>
              <w:rPr>
                <w:rFonts w:ascii="Verdana" w:hAnsi="Verdana" w:cs="Tahoma"/>
              </w:rPr>
            </w:pPr>
            <w:r w:rsidRPr="00A55C1E">
              <w:rPr>
                <w:rFonts w:ascii="Verdana" w:hAnsi="Verdana" w:cs="Tahoma"/>
              </w:rPr>
              <w:t>47</w:t>
            </w:r>
          </w:p>
        </w:tc>
        <w:tc>
          <w:tcPr>
            <w:tcW w:w="709" w:type="dxa"/>
          </w:tcPr>
          <w:p w:rsidR="000C7571" w:rsidRPr="00A55C1E" w:rsidRDefault="000C7571" w:rsidP="00A55C1E">
            <w:pPr>
              <w:spacing w:line="360" w:lineRule="auto"/>
              <w:jc w:val="center"/>
              <w:rPr>
                <w:rFonts w:ascii="Verdana" w:hAnsi="Verdana" w:cs="Tahoma"/>
              </w:rPr>
            </w:pPr>
            <w:r w:rsidRPr="00A55C1E">
              <w:rPr>
                <w:rFonts w:ascii="Verdana" w:hAnsi="Verdana" w:cs="Tahoma"/>
              </w:rPr>
              <w:t>38</w:t>
            </w:r>
            <w:r w:rsidR="00B4076C" w:rsidRPr="00A55C1E">
              <w:rPr>
                <w:rFonts w:ascii="Verdana" w:hAnsi="Verdana" w:cs="Tahoma"/>
              </w:rPr>
              <w:t>,2</w:t>
            </w:r>
          </w:p>
        </w:tc>
      </w:tr>
    </w:tbl>
    <w:p w:rsidR="00A835F5" w:rsidRPr="00A55C1E" w:rsidRDefault="00A835F5" w:rsidP="00A55C1E">
      <w:pPr>
        <w:spacing w:line="360" w:lineRule="auto"/>
        <w:jc w:val="both"/>
        <w:rPr>
          <w:rFonts w:ascii="Verdana" w:hAnsi="Verdana" w:cs="Tahoma"/>
        </w:rPr>
      </w:pPr>
      <w:r w:rsidRPr="00A55C1E">
        <w:rPr>
          <w:rFonts w:ascii="Verdana" w:hAnsi="Verdana" w:cs="Tahoma"/>
          <w:b/>
        </w:rPr>
        <w:t xml:space="preserve">Fuente: </w:t>
      </w:r>
      <w:r w:rsidRPr="00A55C1E">
        <w:rPr>
          <w:rFonts w:ascii="Verdana" w:hAnsi="Verdana" w:cs="Tahoma"/>
        </w:rPr>
        <w:t>Modelo de recolección de datos</w:t>
      </w:r>
    </w:p>
    <w:p w:rsidR="00AD2443" w:rsidRPr="00A55C1E" w:rsidRDefault="00AD2443" w:rsidP="00A55C1E">
      <w:pPr>
        <w:spacing w:after="0" w:line="360" w:lineRule="auto"/>
        <w:jc w:val="both"/>
        <w:rPr>
          <w:rFonts w:ascii="Verdana" w:hAnsi="Verdana" w:cs="Tahoma"/>
        </w:rPr>
      </w:pPr>
      <w:r w:rsidRPr="00A55C1E">
        <w:rPr>
          <w:rFonts w:ascii="Verdana" w:hAnsi="Verdana" w:cs="Tahoma"/>
        </w:rPr>
        <w:t xml:space="preserve">En la Tabla 3 resalta un mayor número de los pacientes (61,6%) fueron egresados vivos de la institución, con un promedio de estadía de 6,31 ± 10,62 días. </w:t>
      </w:r>
    </w:p>
    <w:p w:rsidR="00AD2443" w:rsidRPr="00A55C1E" w:rsidRDefault="00AD2443" w:rsidP="00A55C1E">
      <w:pPr>
        <w:spacing w:after="0" w:line="360" w:lineRule="auto"/>
        <w:jc w:val="both"/>
        <w:rPr>
          <w:rFonts w:ascii="Verdana" w:hAnsi="Verdana" w:cs="Tahoma"/>
        </w:rPr>
      </w:pPr>
    </w:p>
    <w:p w:rsidR="00A835F5" w:rsidRPr="00A55C1E" w:rsidRDefault="00A835F5" w:rsidP="00A55C1E">
      <w:pPr>
        <w:spacing w:after="0" w:line="360" w:lineRule="auto"/>
        <w:jc w:val="both"/>
        <w:rPr>
          <w:rFonts w:ascii="Verdana" w:hAnsi="Verdana" w:cs="Tahoma"/>
        </w:rPr>
      </w:pPr>
      <w:r w:rsidRPr="00A55C1E">
        <w:rPr>
          <w:rFonts w:ascii="Verdana" w:hAnsi="Verdana" w:cs="Tahoma"/>
          <w:b/>
        </w:rPr>
        <w:t xml:space="preserve">Tabla 3. </w:t>
      </w:r>
      <w:r w:rsidRPr="00A55C1E">
        <w:rPr>
          <w:rFonts w:ascii="Verdana" w:hAnsi="Verdana" w:cs="Tahoma"/>
        </w:rPr>
        <w:t xml:space="preserve">Variables estadísticas del estado al egreso de los pacientes </w:t>
      </w:r>
    </w:p>
    <w:tbl>
      <w:tblPr>
        <w:tblStyle w:val="Tablaconcuadrcula"/>
        <w:tblW w:w="0" w:type="auto"/>
        <w:tblInd w:w="1129" w:type="dxa"/>
        <w:tblLayout w:type="fixed"/>
        <w:tblLook w:val="04A0" w:firstRow="1" w:lastRow="0" w:firstColumn="1" w:lastColumn="0" w:noHBand="0" w:noVBand="1"/>
      </w:tblPr>
      <w:tblGrid>
        <w:gridCol w:w="2835"/>
        <w:gridCol w:w="1560"/>
        <w:gridCol w:w="1559"/>
        <w:gridCol w:w="1559"/>
      </w:tblGrid>
      <w:tr w:rsidR="000C7571" w:rsidRPr="00A55C1E" w:rsidTr="00346580">
        <w:tc>
          <w:tcPr>
            <w:tcW w:w="2835" w:type="dxa"/>
            <w:vMerge w:val="restart"/>
          </w:tcPr>
          <w:p w:rsidR="000C7571" w:rsidRPr="00A55C1E" w:rsidRDefault="000C7571" w:rsidP="00A55C1E">
            <w:pPr>
              <w:spacing w:line="360" w:lineRule="auto"/>
              <w:jc w:val="both"/>
              <w:rPr>
                <w:rFonts w:ascii="Verdana" w:hAnsi="Verdana" w:cs="Tahoma"/>
                <w:b/>
              </w:rPr>
            </w:pPr>
            <w:r w:rsidRPr="00A55C1E">
              <w:rPr>
                <w:rFonts w:ascii="Verdana" w:hAnsi="Verdana" w:cs="Tahoma"/>
                <w:b/>
              </w:rPr>
              <w:lastRenderedPageBreak/>
              <w:t xml:space="preserve">Variables estadísticas </w:t>
            </w:r>
          </w:p>
        </w:tc>
        <w:tc>
          <w:tcPr>
            <w:tcW w:w="3119" w:type="dxa"/>
            <w:gridSpan w:val="2"/>
          </w:tcPr>
          <w:p w:rsidR="000C7571" w:rsidRPr="00A55C1E" w:rsidRDefault="000C7571" w:rsidP="00A55C1E">
            <w:pPr>
              <w:spacing w:line="360" w:lineRule="auto"/>
              <w:jc w:val="center"/>
              <w:rPr>
                <w:rFonts w:ascii="Verdana" w:hAnsi="Verdana" w:cs="Tahoma"/>
                <w:b/>
              </w:rPr>
            </w:pPr>
            <w:r w:rsidRPr="00A55C1E">
              <w:rPr>
                <w:rFonts w:ascii="Verdana" w:hAnsi="Verdana" w:cs="Tahoma"/>
                <w:b/>
              </w:rPr>
              <w:t>Estado al egreso</w:t>
            </w:r>
          </w:p>
        </w:tc>
        <w:tc>
          <w:tcPr>
            <w:tcW w:w="1559" w:type="dxa"/>
            <w:vMerge w:val="restart"/>
          </w:tcPr>
          <w:p w:rsidR="000C7571" w:rsidRPr="00A55C1E" w:rsidRDefault="000C7571" w:rsidP="00A55C1E">
            <w:pPr>
              <w:spacing w:line="360" w:lineRule="auto"/>
              <w:jc w:val="center"/>
              <w:rPr>
                <w:rFonts w:ascii="Verdana" w:hAnsi="Verdana" w:cs="Tahoma"/>
                <w:b/>
              </w:rPr>
            </w:pPr>
            <w:r w:rsidRPr="00A55C1E">
              <w:rPr>
                <w:rFonts w:ascii="Verdana" w:hAnsi="Verdana" w:cs="Tahoma"/>
                <w:b/>
              </w:rPr>
              <w:t>Total</w:t>
            </w:r>
          </w:p>
        </w:tc>
      </w:tr>
      <w:tr w:rsidR="000C7571" w:rsidRPr="00A55C1E" w:rsidTr="00346580">
        <w:tc>
          <w:tcPr>
            <w:tcW w:w="2835" w:type="dxa"/>
            <w:vMerge/>
          </w:tcPr>
          <w:p w:rsidR="000C7571" w:rsidRPr="00A55C1E" w:rsidRDefault="000C7571" w:rsidP="00A55C1E">
            <w:pPr>
              <w:spacing w:line="360" w:lineRule="auto"/>
              <w:jc w:val="both"/>
              <w:rPr>
                <w:rFonts w:ascii="Verdana" w:hAnsi="Verdana" w:cs="Tahoma"/>
                <w:b/>
              </w:rPr>
            </w:pPr>
          </w:p>
        </w:tc>
        <w:tc>
          <w:tcPr>
            <w:tcW w:w="1560" w:type="dxa"/>
          </w:tcPr>
          <w:p w:rsidR="000C7571" w:rsidRPr="00A55C1E" w:rsidRDefault="000C7571" w:rsidP="00A55C1E">
            <w:pPr>
              <w:spacing w:line="360" w:lineRule="auto"/>
              <w:jc w:val="center"/>
              <w:rPr>
                <w:rFonts w:ascii="Verdana" w:hAnsi="Verdana" w:cs="Tahoma"/>
                <w:b/>
              </w:rPr>
            </w:pPr>
            <w:r w:rsidRPr="00A55C1E">
              <w:rPr>
                <w:rFonts w:ascii="Verdana" w:hAnsi="Verdana" w:cs="Tahoma"/>
                <w:b/>
              </w:rPr>
              <w:t>Vivo</w:t>
            </w:r>
          </w:p>
        </w:tc>
        <w:tc>
          <w:tcPr>
            <w:tcW w:w="1559" w:type="dxa"/>
          </w:tcPr>
          <w:p w:rsidR="000C7571" w:rsidRPr="00A55C1E" w:rsidRDefault="000C7571" w:rsidP="00A55C1E">
            <w:pPr>
              <w:spacing w:line="360" w:lineRule="auto"/>
              <w:jc w:val="center"/>
              <w:rPr>
                <w:rFonts w:ascii="Verdana" w:hAnsi="Verdana" w:cs="Tahoma"/>
                <w:b/>
              </w:rPr>
            </w:pPr>
            <w:r w:rsidRPr="00A55C1E">
              <w:rPr>
                <w:rFonts w:ascii="Verdana" w:hAnsi="Verdana" w:cs="Tahoma"/>
                <w:b/>
              </w:rPr>
              <w:t>Fallecido</w:t>
            </w:r>
          </w:p>
        </w:tc>
        <w:tc>
          <w:tcPr>
            <w:tcW w:w="1559" w:type="dxa"/>
            <w:vMerge/>
          </w:tcPr>
          <w:p w:rsidR="000C7571" w:rsidRPr="00A55C1E" w:rsidRDefault="000C7571" w:rsidP="00A55C1E">
            <w:pPr>
              <w:spacing w:line="360" w:lineRule="auto"/>
              <w:jc w:val="center"/>
              <w:rPr>
                <w:rFonts w:ascii="Verdana" w:hAnsi="Verdana" w:cs="Tahoma"/>
                <w:b/>
              </w:rPr>
            </w:pPr>
          </w:p>
        </w:tc>
      </w:tr>
      <w:tr w:rsidR="00346580" w:rsidRPr="00A55C1E" w:rsidTr="00346580">
        <w:tc>
          <w:tcPr>
            <w:tcW w:w="2835" w:type="dxa"/>
          </w:tcPr>
          <w:p w:rsidR="00346580" w:rsidRPr="00A55C1E" w:rsidRDefault="00346580" w:rsidP="00A55C1E">
            <w:pPr>
              <w:spacing w:line="360" w:lineRule="auto"/>
              <w:jc w:val="both"/>
              <w:rPr>
                <w:rFonts w:ascii="Verdana" w:hAnsi="Verdana" w:cs="Tahoma"/>
              </w:rPr>
            </w:pPr>
            <w:r w:rsidRPr="00A55C1E">
              <w:rPr>
                <w:rFonts w:ascii="Verdana" w:hAnsi="Verdana" w:cs="Tahoma"/>
              </w:rPr>
              <w:t>Fa (%)</w:t>
            </w:r>
          </w:p>
        </w:tc>
        <w:tc>
          <w:tcPr>
            <w:tcW w:w="1560" w:type="dxa"/>
          </w:tcPr>
          <w:p w:rsidR="00346580" w:rsidRPr="00A55C1E" w:rsidRDefault="00346580" w:rsidP="00A55C1E">
            <w:pPr>
              <w:spacing w:line="360" w:lineRule="auto"/>
              <w:jc w:val="center"/>
              <w:rPr>
                <w:rFonts w:ascii="Verdana" w:hAnsi="Verdana" w:cs="Tahoma"/>
              </w:rPr>
            </w:pPr>
            <w:r w:rsidRPr="00A55C1E">
              <w:rPr>
                <w:rFonts w:ascii="Verdana" w:hAnsi="Verdana" w:cs="Tahoma"/>
              </w:rPr>
              <w:t>239 (61,6)</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149 (38,4)</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388 (100)</w:t>
            </w:r>
          </w:p>
        </w:tc>
      </w:tr>
      <w:tr w:rsidR="00346580" w:rsidRPr="00A55C1E" w:rsidTr="00346580">
        <w:tc>
          <w:tcPr>
            <w:tcW w:w="2835" w:type="dxa"/>
          </w:tcPr>
          <w:p w:rsidR="00346580" w:rsidRPr="00A55C1E" w:rsidRDefault="00346580" w:rsidP="00A55C1E">
            <w:pPr>
              <w:spacing w:line="360" w:lineRule="auto"/>
              <w:jc w:val="both"/>
              <w:rPr>
                <w:rFonts w:ascii="Verdana" w:hAnsi="Verdana" w:cs="Tahoma"/>
              </w:rPr>
            </w:pPr>
            <w:r w:rsidRPr="00A55C1E">
              <w:rPr>
                <w:rFonts w:ascii="Verdana" w:hAnsi="Verdana" w:cs="Tahoma"/>
              </w:rPr>
              <w:t xml:space="preserve">Promedio de estadía y DS </w:t>
            </w:r>
          </w:p>
        </w:tc>
        <w:tc>
          <w:tcPr>
            <w:tcW w:w="1560" w:type="dxa"/>
          </w:tcPr>
          <w:p w:rsidR="00346580" w:rsidRPr="00A55C1E" w:rsidRDefault="00346580" w:rsidP="00A55C1E">
            <w:pPr>
              <w:spacing w:line="360" w:lineRule="auto"/>
              <w:jc w:val="center"/>
              <w:rPr>
                <w:rFonts w:ascii="Verdana" w:hAnsi="Verdana" w:cs="Tahoma"/>
              </w:rPr>
            </w:pPr>
            <w:r w:rsidRPr="00A55C1E">
              <w:rPr>
                <w:rFonts w:ascii="Verdana" w:hAnsi="Verdana" w:cs="Tahoma"/>
              </w:rPr>
              <w:t>6,31 ± 10,62</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5,3 ± 8,28</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5,89 ± 10,58</w:t>
            </w:r>
          </w:p>
        </w:tc>
      </w:tr>
      <w:tr w:rsidR="00346580" w:rsidRPr="00A55C1E" w:rsidTr="00346580">
        <w:tc>
          <w:tcPr>
            <w:tcW w:w="2835" w:type="dxa"/>
          </w:tcPr>
          <w:p w:rsidR="00346580" w:rsidRPr="00A55C1E" w:rsidRDefault="00346580" w:rsidP="00A55C1E">
            <w:pPr>
              <w:spacing w:line="360" w:lineRule="auto"/>
              <w:jc w:val="both"/>
              <w:rPr>
                <w:rFonts w:ascii="Verdana" w:hAnsi="Verdana" w:cs="Tahoma"/>
              </w:rPr>
            </w:pPr>
            <w:r w:rsidRPr="00A55C1E">
              <w:rPr>
                <w:rFonts w:ascii="Verdana" w:hAnsi="Verdana" w:cs="Tahoma"/>
              </w:rPr>
              <w:t>Media</w:t>
            </w:r>
          </w:p>
        </w:tc>
        <w:tc>
          <w:tcPr>
            <w:tcW w:w="1560" w:type="dxa"/>
          </w:tcPr>
          <w:p w:rsidR="00346580" w:rsidRPr="00A55C1E" w:rsidRDefault="00346580" w:rsidP="00A55C1E">
            <w:pPr>
              <w:spacing w:line="360" w:lineRule="auto"/>
              <w:jc w:val="center"/>
              <w:rPr>
                <w:rFonts w:ascii="Verdana" w:hAnsi="Verdana" w:cs="Tahoma"/>
              </w:rPr>
            </w:pPr>
            <w:r w:rsidRPr="00A55C1E">
              <w:rPr>
                <w:rFonts w:ascii="Verdana" w:hAnsi="Verdana" w:cs="Tahoma"/>
              </w:rPr>
              <w:t>4,12</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3,03</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3,91</w:t>
            </w:r>
          </w:p>
        </w:tc>
      </w:tr>
      <w:tr w:rsidR="00346580" w:rsidRPr="00A55C1E" w:rsidTr="00346580">
        <w:tc>
          <w:tcPr>
            <w:tcW w:w="2835" w:type="dxa"/>
          </w:tcPr>
          <w:p w:rsidR="00346580" w:rsidRPr="00A55C1E" w:rsidRDefault="00346580" w:rsidP="00A55C1E">
            <w:pPr>
              <w:spacing w:line="360" w:lineRule="auto"/>
              <w:jc w:val="both"/>
              <w:rPr>
                <w:rFonts w:ascii="Verdana" w:hAnsi="Verdana" w:cs="Tahoma"/>
              </w:rPr>
            </w:pPr>
            <w:r w:rsidRPr="00A55C1E">
              <w:rPr>
                <w:rFonts w:ascii="Verdana" w:hAnsi="Verdana" w:cs="Tahoma"/>
              </w:rPr>
              <w:t>Moda</w:t>
            </w:r>
          </w:p>
        </w:tc>
        <w:tc>
          <w:tcPr>
            <w:tcW w:w="1560" w:type="dxa"/>
          </w:tcPr>
          <w:p w:rsidR="00346580" w:rsidRPr="00A55C1E" w:rsidRDefault="00346580" w:rsidP="00A55C1E">
            <w:pPr>
              <w:spacing w:line="360" w:lineRule="auto"/>
              <w:jc w:val="center"/>
              <w:rPr>
                <w:rFonts w:ascii="Verdana" w:hAnsi="Verdana" w:cs="Tahoma"/>
              </w:rPr>
            </w:pPr>
            <w:r w:rsidRPr="00A55C1E">
              <w:rPr>
                <w:rFonts w:ascii="Verdana" w:hAnsi="Verdana" w:cs="Tahoma"/>
              </w:rPr>
              <w:t>3</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3</w:t>
            </w:r>
          </w:p>
        </w:tc>
        <w:tc>
          <w:tcPr>
            <w:tcW w:w="1559" w:type="dxa"/>
          </w:tcPr>
          <w:p w:rsidR="00346580" w:rsidRPr="00A55C1E" w:rsidRDefault="00346580" w:rsidP="00A55C1E">
            <w:pPr>
              <w:spacing w:line="360" w:lineRule="auto"/>
              <w:jc w:val="center"/>
              <w:rPr>
                <w:rFonts w:ascii="Verdana" w:hAnsi="Verdana" w:cs="Tahoma"/>
              </w:rPr>
            </w:pPr>
            <w:r w:rsidRPr="00A55C1E">
              <w:rPr>
                <w:rFonts w:ascii="Verdana" w:hAnsi="Verdana" w:cs="Tahoma"/>
              </w:rPr>
              <w:t>1</w:t>
            </w:r>
          </w:p>
        </w:tc>
      </w:tr>
    </w:tbl>
    <w:p w:rsidR="00A835F5" w:rsidRPr="00A55C1E" w:rsidRDefault="00A835F5" w:rsidP="00A55C1E">
      <w:pPr>
        <w:spacing w:line="360" w:lineRule="auto"/>
        <w:jc w:val="both"/>
        <w:rPr>
          <w:rFonts w:ascii="Verdana" w:hAnsi="Verdana" w:cs="Tahoma"/>
        </w:rPr>
      </w:pPr>
      <w:r w:rsidRPr="00A55C1E">
        <w:rPr>
          <w:rFonts w:ascii="Verdana" w:hAnsi="Verdana" w:cs="Tahoma"/>
          <w:b/>
        </w:rPr>
        <w:t xml:space="preserve">Fuente: </w:t>
      </w:r>
      <w:r w:rsidRPr="00A55C1E">
        <w:rPr>
          <w:rFonts w:ascii="Verdana" w:hAnsi="Verdana" w:cs="Tahoma"/>
        </w:rPr>
        <w:t>Modelo de recolección de datos</w:t>
      </w:r>
    </w:p>
    <w:p w:rsidR="003602EF" w:rsidRPr="00A55C1E" w:rsidRDefault="003602EF" w:rsidP="00A55C1E">
      <w:pPr>
        <w:spacing w:after="0" w:line="360" w:lineRule="auto"/>
        <w:jc w:val="both"/>
        <w:rPr>
          <w:rFonts w:ascii="Verdana" w:hAnsi="Verdana" w:cs="Tahoma"/>
        </w:rPr>
      </w:pPr>
      <w:r w:rsidRPr="00A55C1E">
        <w:rPr>
          <w:rFonts w:ascii="Verdana" w:hAnsi="Verdana" w:cs="Tahoma"/>
        </w:rPr>
        <w:t>Hubo 218 (56,2%) individuos que al momento del ingreso había transcurrido un periodo mayor de 10 días desde el inicio de los síntomas y la realización del PCR diagnóstico de COVID-19</w:t>
      </w:r>
      <w:r w:rsidR="00827BCB" w:rsidRPr="00A55C1E">
        <w:rPr>
          <w:rFonts w:ascii="Verdana" w:hAnsi="Verdana" w:cs="Tahoma"/>
        </w:rPr>
        <w:t xml:space="preserve">; según ilustra la Tabla 4. </w:t>
      </w:r>
    </w:p>
    <w:p w:rsidR="003602EF" w:rsidRPr="00A55C1E" w:rsidRDefault="003602EF" w:rsidP="00A55C1E">
      <w:pPr>
        <w:spacing w:after="0" w:line="360" w:lineRule="auto"/>
        <w:jc w:val="both"/>
        <w:rPr>
          <w:rFonts w:ascii="Verdana" w:hAnsi="Verdana" w:cs="Tahoma"/>
          <w:b/>
        </w:rPr>
      </w:pPr>
    </w:p>
    <w:p w:rsidR="000C7571" w:rsidRPr="00A55C1E" w:rsidRDefault="00007026" w:rsidP="00A55C1E">
      <w:pPr>
        <w:spacing w:after="0" w:line="360" w:lineRule="auto"/>
        <w:jc w:val="both"/>
        <w:rPr>
          <w:rFonts w:ascii="Verdana" w:hAnsi="Verdana" w:cs="Tahoma"/>
        </w:rPr>
      </w:pPr>
      <w:r w:rsidRPr="00A55C1E">
        <w:rPr>
          <w:rFonts w:ascii="Verdana" w:hAnsi="Verdana" w:cs="Tahoma"/>
          <w:b/>
        </w:rPr>
        <w:t xml:space="preserve">Tabla 4. </w:t>
      </w:r>
      <w:r w:rsidRPr="00A55C1E">
        <w:rPr>
          <w:rFonts w:ascii="Verdana" w:hAnsi="Verdana" w:cs="Tahoma"/>
        </w:rPr>
        <w:t>Distribución de pacientes atendiendo al periodo de inicio de los síntomas</w:t>
      </w:r>
      <w:r w:rsidR="000267E1" w:rsidRPr="00A55C1E">
        <w:rPr>
          <w:rFonts w:ascii="Verdana" w:hAnsi="Verdana" w:cs="Tahoma"/>
        </w:rPr>
        <w:t xml:space="preserve">/realización del PCR. </w:t>
      </w:r>
      <w:r w:rsidRPr="00A55C1E">
        <w:rPr>
          <w:rFonts w:ascii="Verdana" w:hAnsi="Verdana" w:cs="Tahoma"/>
        </w:rPr>
        <w:t xml:space="preserve">  </w:t>
      </w:r>
    </w:p>
    <w:tbl>
      <w:tblPr>
        <w:tblStyle w:val="Tablaconcuadrcula"/>
        <w:tblW w:w="0" w:type="auto"/>
        <w:jc w:val="center"/>
        <w:tblLook w:val="04A0" w:firstRow="1" w:lastRow="0" w:firstColumn="1" w:lastColumn="0" w:noHBand="0" w:noVBand="1"/>
      </w:tblPr>
      <w:tblGrid>
        <w:gridCol w:w="4537"/>
        <w:gridCol w:w="709"/>
        <w:gridCol w:w="850"/>
      </w:tblGrid>
      <w:tr w:rsidR="008C4A8C" w:rsidRPr="00A55C1E" w:rsidTr="00007026">
        <w:trPr>
          <w:jc w:val="center"/>
        </w:trPr>
        <w:tc>
          <w:tcPr>
            <w:tcW w:w="4537" w:type="dxa"/>
          </w:tcPr>
          <w:p w:rsidR="008C4A8C" w:rsidRPr="00A55C1E" w:rsidRDefault="008C4A8C" w:rsidP="00A55C1E">
            <w:pPr>
              <w:spacing w:line="360" w:lineRule="auto"/>
              <w:jc w:val="both"/>
              <w:rPr>
                <w:rFonts w:ascii="Verdana" w:hAnsi="Verdana" w:cs="Tahoma"/>
                <w:b/>
              </w:rPr>
            </w:pPr>
            <w:r w:rsidRPr="00A55C1E">
              <w:rPr>
                <w:rFonts w:ascii="Verdana" w:hAnsi="Verdana" w:cs="Tahoma"/>
                <w:b/>
              </w:rPr>
              <w:t>Periodo de inicio de los síntomas y PCR</w:t>
            </w:r>
          </w:p>
        </w:tc>
        <w:tc>
          <w:tcPr>
            <w:tcW w:w="709" w:type="dxa"/>
          </w:tcPr>
          <w:p w:rsidR="008C4A8C" w:rsidRPr="00A55C1E" w:rsidRDefault="008C4A8C" w:rsidP="00A55C1E">
            <w:pPr>
              <w:spacing w:line="360" w:lineRule="auto"/>
              <w:jc w:val="both"/>
              <w:rPr>
                <w:rFonts w:ascii="Verdana" w:hAnsi="Verdana" w:cs="Tahoma"/>
                <w:b/>
              </w:rPr>
            </w:pPr>
            <w:r w:rsidRPr="00A55C1E">
              <w:rPr>
                <w:rFonts w:ascii="Verdana" w:hAnsi="Verdana" w:cs="Tahoma"/>
                <w:b/>
              </w:rPr>
              <w:t>No.</w:t>
            </w:r>
          </w:p>
        </w:tc>
        <w:tc>
          <w:tcPr>
            <w:tcW w:w="850" w:type="dxa"/>
          </w:tcPr>
          <w:p w:rsidR="008C4A8C" w:rsidRPr="00A55C1E" w:rsidRDefault="008C4A8C" w:rsidP="00A55C1E">
            <w:pPr>
              <w:spacing w:line="360" w:lineRule="auto"/>
              <w:jc w:val="both"/>
              <w:rPr>
                <w:rFonts w:ascii="Verdana" w:hAnsi="Verdana" w:cs="Tahoma"/>
                <w:b/>
              </w:rPr>
            </w:pPr>
            <w:r w:rsidRPr="00A55C1E">
              <w:rPr>
                <w:rFonts w:ascii="Verdana" w:hAnsi="Verdana" w:cs="Tahoma"/>
                <w:b/>
              </w:rPr>
              <w:t>%</w:t>
            </w:r>
          </w:p>
        </w:tc>
      </w:tr>
      <w:tr w:rsidR="008C4A8C" w:rsidRPr="00A55C1E" w:rsidTr="00007026">
        <w:trPr>
          <w:jc w:val="center"/>
        </w:trPr>
        <w:tc>
          <w:tcPr>
            <w:tcW w:w="4537" w:type="dxa"/>
          </w:tcPr>
          <w:p w:rsidR="008C4A8C" w:rsidRPr="00A55C1E" w:rsidRDefault="008C4A8C" w:rsidP="00A55C1E">
            <w:pPr>
              <w:spacing w:line="360" w:lineRule="auto"/>
              <w:jc w:val="both"/>
              <w:rPr>
                <w:rFonts w:ascii="Verdana" w:hAnsi="Verdana" w:cs="Tahoma"/>
              </w:rPr>
            </w:pPr>
            <w:r w:rsidRPr="00A55C1E">
              <w:rPr>
                <w:rFonts w:ascii="Verdana" w:hAnsi="Verdana" w:cs="Tahoma"/>
              </w:rPr>
              <w:t>Menor de 4 días</w:t>
            </w:r>
          </w:p>
        </w:tc>
        <w:tc>
          <w:tcPr>
            <w:tcW w:w="709" w:type="dxa"/>
          </w:tcPr>
          <w:p w:rsidR="008C4A8C" w:rsidRPr="00A55C1E" w:rsidRDefault="00FD5824" w:rsidP="00A55C1E">
            <w:pPr>
              <w:spacing w:line="360" w:lineRule="auto"/>
              <w:jc w:val="both"/>
              <w:rPr>
                <w:rFonts w:ascii="Verdana" w:hAnsi="Verdana" w:cs="Tahoma"/>
              </w:rPr>
            </w:pPr>
            <w:r w:rsidRPr="00A55C1E">
              <w:rPr>
                <w:rFonts w:ascii="Verdana" w:hAnsi="Verdana" w:cs="Tahoma"/>
              </w:rPr>
              <w:t>87</w:t>
            </w:r>
          </w:p>
        </w:tc>
        <w:tc>
          <w:tcPr>
            <w:tcW w:w="850" w:type="dxa"/>
          </w:tcPr>
          <w:p w:rsidR="008C4A8C" w:rsidRPr="00A55C1E" w:rsidRDefault="00FD5824" w:rsidP="00A55C1E">
            <w:pPr>
              <w:spacing w:line="360" w:lineRule="auto"/>
              <w:jc w:val="both"/>
              <w:rPr>
                <w:rFonts w:ascii="Verdana" w:hAnsi="Verdana" w:cs="Tahoma"/>
              </w:rPr>
            </w:pPr>
            <w:r w:rsidRPr="00A55C1E">
              <w:rPr>
                <w:rFonts w:ascii="Verdana" w:hAnsi="Verdana" w:cs="Tahoma"/>
              </w:rPr>
              <w:t>22,4</w:t>
            </w:r>
          </w:p>
        </w:tc>
      </w:tr>
      <w:tr w:rsidR="008C4A8C" w:rsidRPr="00A55C1E" w:rsidTr="00007026">
        <w:trPr>
          <w:jc w:val="center"/>
        </w:trPr>
        <w:tc>
          <w:tcPr>
            <w:tcW w:w="4537" w:type="dxa"/>
          </w:tcPr>
          <w:p w:rsidR="008C4A8C" w:rsidRPr="00A55C1E" w:rsidRDefault="008C4A8C" w:rsidP="00A55C1E">
            <w:pPr>
              <w:spacing w:line="360" w:lineRule="auto"/>
              <w:jc w:val="both"/>
              <w:rPr>
                <w:rFonts w:ascii="Verdana" w:hAnsi="Verdana" w:cs="Tahoma"/>
              </w:rPr>
            </w:pPr>
            <w:r w:rsidRPr="00A55C1E">
              <w:rPr>
                <w:rFonts w:ascii="Verdana" w:hAnsi="Verdana" w:cs="Tahoma"/>
              </w:rPr>
              <w:t>De 5 a 9 días</w:t>
            </w:r>
          </w:p>
        </w:tc>
        <w:tc>
          <w:tcPr>
            <w:tcW w:w="709" w:type="dxa"/>
          </w:tcPr>
          <w:p w:rsidR="008C4A8C" w:rsidRPr="00A55C1E" w:rsidRDefault="00FD5824" w:rsidP="00A55C1E">
            <w:pPr>
              <w:spacing w:line="360" w:lineRule="auto"/>
              <w:jc w:val="both"/>
              <w:rPr>
                <w:rFonts w:ascii="Verdana" w:hAnsi="Verdana" w:cs="Tahoma"/>
              </w:rPr>
            </w:pPr>
            <w:r w:rsidRPr="00A55C1E">
              <w:rPr>
                <w:rFonts w:ascii="Verdana" w:hAnsi="Verdana" w:cs="Tahoma"/>
              </w:rPr>
              <w:t>83</w:t>
            </w:r>
          </w:p>
        </w:tc>
        <w:tc>
          <w:tcPr>
            <w:tcW w:w="850" w:type="dxa"/>
          </w:tcPr>
          <w:p w:rsidR="008C4A8C" w:rsidRPr="00A55C1E" w:rsidRDefault="00FD5824" w:rsidP="00A55C1E">
            <w:pPr>
              <w:spacing w:line="360" w:lineRule="auto"/>
              <w:jc w:val="both"/>
              <w:rPr>
                <w:rFonts w:ascii="Verdana" w:hAnsi="Verdana" w:cs="Tahoma"/>
              </w:rPr>
            </w:pPr>
            <w:r w:rsidRPr="00A55C1E">
              <w:rPr>
                <w:rFonts w:ascii="Verdana" w:hAnsi="Verdana" w:cs="Tahoma"/>
              </w:rPr>
              <w:t>21,4</w:t>
            </w:r>
          </w:p>
        </w:tc>
      </w:tr>
      <w:tr w:rsidR="008C4A8C" w:rsidRPr="00A55C1E" w:rsidTr="00007026">
        <w:trPr>
          <w:jc w:val="center"/>
        </w:trPr>
        <w:tc>
          <w:tcPr>
            <w:tcW w:w="4537" w:type="dxa"/>
          </w:tcPr>
          <w:p w:rsidR="008C4A8C" w:rsidRPr="00A55C1E" w:rsidRDefault="008C4A8C" w:rsidP="00A55C1E">
            <w:pPr>
              <w:spacing w:line="360" w:lineRule="auto"/>
              <w:jc w:val="both"/>
              <w:rPr>
                <w:rFonts w:ascii="Verdana" w:hAnsi="Verdana" w:cs="Tahoma"/>
              </w:rPr>
            </w:pPr>
            <w:r w:rsidRPr="00A55C1E">
              <w:rPr>
                <w:rFonts w:ascii="Verdana" w:hAnsi="Verdana" w:cs="Tahoma"/>
              </w:rPr>
              <w:t>Mayor de 10 días</w:t>
            </w:r>
          </w:p>
        </w:tc>
        <w:tc>
          <w:tcPr>
            <w:tcW w:w="709" w:type="dxa"/>
          </w:tcPr>
          <w:p w:rsidR="008C4A8C" w:rsidRPr="00A55C1E" w:rsidRDefault="00FD5824" w:rsidP="00A55C1E">
            <w:pPr>
              <w:spacing w:line="360" w:lineRule="auto"/>
              <w:jc w:val="both"/>
              <w:rPr>
                <w:rFonts w:ascii="Verdana" w:hAnsi="Verdana" w:cs="Tahoma"/>
              </w:rPr>
            </w:pPr>
            <w:r w:rsidRPr="00A55C1E">
              <w:rPr>
                <w:rFonts w:ascii="Verdana" w:hAnsi="Verdana" w:cs="Tahoma"/>
              </w:rPr>
              <w:t>218</w:t>
            </w:r>
          </w:p>
        </w:tc>
        <w:tc>
          <w:tcPr>
            <w:tcW w:w="850" w:type="dxa"/>
          </w:tcPr>
          <w:p w:rsidR="008C4A8C" w:rsidRPr="00A55C1E" w:rsidRDefault="00FD5824" w:rsidP="00A55C1E">
            <w:pPr>
              <w:spacing w:line="360" w:lineRule="auto"/>
              <w:jc w:val="both"/>
              <w:rPr>
                <w:rFonts w:ascii="Verdana" w:hAnsi="Verdana" w:cs="Tahoma"/>
              </w:rPr>
            </w:pPr>
            <w:r w:rsidRPr="00A55C1E">
              <w:rPr>
                <w:rFonts w:ascii="Verdana" w:hAnsi="Verdana" w:cs="Tahoma"/>
              </w:rPr>
              <w:t>56,2</w:t>
            </w:r>
          </w:p>
        </w:tc>
      </w:tr>
    </w:tbl>
    <w:p w:rsidR="00007026" w:rsidRPr="00A55C1E" w:rsidRDefault="00007026" w:rsidP="00A55C1E">
      <w:pPr>
        <w:spacing w:line="360" w:lineRule="auto"/>
        <w:jc w:val="both"/>
        <w:rPr>
          <w:rFonts w:ascii="Verdana" w:hAnsi="Verdana" w:cs="Tahoma"/>
        </w:rPr>
      </w:pPr>
      <w:r w:rsidRPr="00A55C1E">
        <w:rPr>
          <w:rFonts w:ascii="Verdana" w:hAnsi="Verdana" w:cs="Tahoma"/>
          <w:b/>
        </w:rPr>
        <w:t xml:space="preserve">Fuente: </w:t>
      </w:r>
      <w:r w:rsidRPr="00A55C1E">
        <w:rPr>
          <w:rFonts w:ascii="Verdana" w:hAnsi="Verdana" w:cs="Tahoma"/>
        </w:rPr>
        <w:t>Modelo de recolección de datos</w:t>
      </w:r>
    </w:p>
    <w:p w:rsidR="00571B34" w:rsidRPr="00A55C1E" w:rsidRDefault="00DB0E2D" w:rsidP="00A55C1E">
      <w:pPr>
        <w:spacing w:line="360" w:lineRule="auto"/>
        <w:jc w:val="both"/>
        <w:rPr>
          <w:rFonts w:ascii="Verdana" w:hAnsi="Verdana" w:cs="Tahoma"/>
          <w:b/>
        </w:rPr>
      </w:pPr>
      <w:r w:rsidRPr="00A55C1E">
        <w:rPr>
          <w:rFonts w:ascii="Verdana" w:hAnsi="Verdana" w:cs="Tahoma"/>
          <w:b/>
        </w:rPr>
        <w:t>D</w:t>
      </w:r>
      <w:r w:rsidR="0045322E" w:rsidRPr="00A55C1E">
        <w:rPr>
          <w:rFonts w:ascii="Verdana" w:hAnsi="Verdana" w:cs="Tahoma"/>
          <w:b/>
        </w:rPr>
        <w:t>ISCUSIÓN</w:t>
      </w:r>
    </w:p>
    <w:p w:rsidR="005B105B" w:rsidRPr="00A55C1E" w:rsidRDefault="005B105B" w:rsidP="00A55C1E">
      <w:pPr>
        <w:spacing w:after="0" w:line="360" w:lineRule="auto"/>
        <w:jc w:val="both"/>
        <w:rPr>
          <w:rFonts w:ascii="Verdana" w:hAnsi="Verdana" w:cs="Tahoma"/>
        </w:rPr>
      </w:pPr>
      <w:r w:rsidRPr="00A55C1E">
        <w:rPr>
          <w:rFonts w:ascii="Verdana" w:hAnsi="Verdana" w:cs="Tahoma"/>
        </w:rPr>
        <w:t>La neumonía es una de las principales causas de ingreso hospitalario. Este cuadro clínico puede ser producido tanto por bacterias como por virus y hongos. Lo habitual es que un único microorganismo sea responsable del cuadro, pero no siempre es así, se ha podido comprobar que en muchos casos, hay más de un microorganismo presente en las neumonías y la presencia de varios, agrava el cuadro clínico y complica la recuperación de los pacientes</w:t>
      </w:r>
      <w:r w:rsidR="00937C3A" w:rsidRPr="00A55C1E">
        <w:rPr>
          <w:rFonts w:ascii="Verdana" w:hAnsi="Verdana" w:cs="Tahoma"/>
        </w:rPr>
        <w:t xml:space="preserve">. </w:t>
      </w:r>
      <w:r w:rsidRPr="00A55C1E">
        <w:rPr>
          <w:rFonts w:ascii="Verdana" w:hAnsi="Verdana" w:cs="Tahoma"/>
        </w:rPr>
        <w:t>Estos elementos son ajustables, no solo a la neumonía tradicional, sino también a la producida por la COVID-19</w:t>
      </w:r>
      <w:r w:rsidR="00937C3A" w:rsidRPr="00A55C1E">
        <w:rPr>
          <w:rFonts w:ascii="Verdana" w:hAnsi="Verdana" w:cs="Tahoma"/>
        </w:rPr>
        <w:t xml:space="preserve"> la cual tiene una marcada incidencia en el contexto actual.</w:t>
      </w:r>
    </w:p>
    <w:p w:rsidR="005B105B" w:rsidRPr="00A55C1E" w:rsidRDefault="005B105B" w:rsidP="00A55C1E">
      <w:pPr>
        <w:spacing w:after="0" w:line="360" w:lineRule="auto"/>
        <w:jc w:val="both"/>
        <w:rPr>
          <w:rFonts w:ascii="Verdana" w:hAnsi="Verdana" w:cs="Tahoma"/>
        </w:rPr>
      </w:pPr>
    </w:p>
    <w:p w:rsidR="00065170" w:rsidRPr="00A55C1E" w:rsidRDefault="00937C3A" w:rsidP="00A55C1E">
      <w:pPr>
        <w:spacing w:after="0" w:line="360" w:lineRule="auto"/>
        <w:jc w:val="both"/>
        <w:rPr>
          <w:rFonts w:ascii="Verdana" w:hAnsi="Verdana" w:cs="Tahoma"/>
        </w:rPr>
      </w:pPr>
      <w:r w:rsidRPr="00A55C1E">
        <w:rPr>
          <w:rFonts w:ascii="Verdana" w:hAnsi="Verdana" w:cs="Tahoma"/>
        </w:rPr>
        <w:lastRenderedPageBreak/>
        <w:t xml:space="preserve">En la presente investigación </w:t>
      </w:r>
      <w:r w:rsidR="009032E9" w:rsidRPr="00A55C1E">
        <w:rPr>
          <w:rFonts w:ascii="Verdana" w:hAnsi="Verdana" w:cs="Tahoma"/>
        </w:rPr>
        <w:t xml:space="preserve">hubo una mayor incidencia de pacientes con neumonía asociada a infección por el virus SARS-Cov-2 a finales del año 2020 e inicios del 2021, contexto en el que la situación epidemiológica de la provincia se encontraba estable. Además hubo mayor cantidad de casos masculinos y correspondientes a la tercera edad. Esto se corresponde con lo obtenido por Núñez-Cortés et al </w:t>
      </w:r>
      <w:r w:rsidR="009032E9" w:rsidRPr="00A55C1E">
        <w:rPr>
          <w:rFonts w:ascii="Verdana" w:hAnsi="Verdana" w:cs="Tahoma"/>
          <w:vertAlign w:val="superscript"/>
        </w:rPr>
        <w:t>(13)</w:t>
      </w:r>
      <w:r w:rsidR="009032E9" w:rsidRPr="00A55C1E">
        <w:rPr>
          <w:rFonts w:ascii="Verdana" w:hAnsi="Verdana" w:cs="Tahoma"/>
        </w:rPr>
        <w:t>, que destaca un promedio de edad de 63,1 ± 13,1 años</w:t>
      </w:r>
      <w:r w:rsidR="00065170" w:rsidRPr="00A55C1E">
        <w:rPr>
          <w:rFonts w:ascii="Verdana" w:hAnsi="Verdana" w:cs="Tahoma"/>
        </w:rPr>
        <w:t>.</w:t>
      </w:r>
      <w:r w:rsidR="0019012B" w:rsidRPr="00A55C1E">
        <w:rPr>
          <w:rFonts w:ascii="Verdana" w:hAnsi="Verdana" w:cs="Tahoma"/>
        </w:rPr>
        <w:t xml:space="preserve"> </w:t>
      </w:r>
      <w:r w:rsidR="00065170" w:rsidRPr="00A55C1E">
        <w:rPr>
          <w:rFonts w:ascii="Verdana" w:hAnsi="Verdana" w:cs="Tahoma"/>
        </w:rPr>
        <w:t xml:space="preserve">Un artículo realizado en Perú por Acosta Giancarlo et al. </w:t>
      </w:r>
      <w:r w:rsidR="00065170" w:rsidRPr="00A55C1E">
        <w:rPr>
          <w:rFonts w:ascii="Verdana" w:hAnsi="Verdana" w:cs="Tahoma"/>
          <w:vertAlign w:val="superscript"/>
        </w:rPr>
        <w:t xml:space="preserve">(14) </w:t>
      </w:r>
      <w:r w:rsidR="00065170" w:rsidRPr="00A55C1E">
        <w:rPr>
          <w:rFonts w:ascii="Verdana" w:hAnsi="Verdana" w:cs="Tahoma"/>
        </w:rPr>
        <w:t>detalla una edad promedio de 53,5 años con un rango de 25 a 94; y el 76% de pacientes son del sexo masculino</w:t>
      </w:r>
      <w:r w:rsidR="00036C22" w:rsidRPr="00A55C1E">
        <w:rPr>
          <w:rFonts w:ascii="Verdana" w:hAnsi="Verdana" w:cs="Tahoma"/>
        </w:rPr>
        <w:t xml:space="preserve">. </w:t>
      </w:r>
    </w:p>
    <w:p w:rsidR="00467FAF" w:rsidRPr="00A55C1E" w:rsidRDefault="00467FAF" w:rsidP="00A55C1E">
      <w:pPr>
        <w:spacing w:after="0" w:line="360" w:lineRule="auto"/>
        <w:jc w:val="both"/>
        <w:rPr>
          <w:rFonts w:ascii="Verdana" w:hAnsi="Verdana" w:cs="Tahoma"/>
        </w:rPr>
      </w:pPr>
    </w:p>
    <w:p w:rsidR="002877DF" w:rsidRPr="00A55C1E" w:rsidRDefault="002877DF" w:rsidP="00A55C1E">
      <w:pPr>
        <w:spacing w:after="0" w:line="360" w:lineRule="auto"/>
        <w:jc w:val="both"/>
        <w:rPr>
          <w:rFonts w:ascii="Verdana" w:hAnsi="Verdana" w:cs="Tahoma"/>
        </w:rPr>
      </w:pPr>
      <w:r w:rsidRPr="00A55C1E">
        <w:rPr>
          <w:rFonts w:ascii="Verdana" w:hAnsi="Verdana" w:cs="Tahoma"/>
        </w:rPr>
        <w:t xml:space="preserve">La fase aguda de la enfermedad es compatible con muchas complicaciones graves que comprometen la vida, como insuficiencia respiratoria, SDRA, fibrosis pulmonar, arritmias, lesión cardíaca aguda, choque séptico, eventos </w:t>
      </w:r>
      <w:proofErr w:type="spellStart"/>
      <w:r w:rsidRPr="00A55C1E">
        <w:rPr>
          <w:rFonts w:ascii="Verdana" w:hAnsi="Verdana" w:cs="Tahoma"/>
        </w:rPr>
        <w:t>tromboembólicos</w:t>
      </w:r>
      <w:proofErr w:type="spellEnd"/>
      <w:r w:rsidRPr="00A55C1E">
        <w:rPr>
          <w:rFonts w:ascii="Verdana" w:hAnsi="Verdana" w:cs="Tahoma"/>
        </w:rPr>
        <w:t xml:space="preserve"> y </w:t>
      </w:r>
      <w:r w:rsidR="00467FAF" w:rsidRPr="00A55C1E">
        <w:rPr>
          <w:rFonts w:ascii="Verdana" w:hAnsi="Verdana" w:cs="Tahoma"/>
        </w:rPr>
        <w:t>complicaciones inflamatorias</w:t>
      </w:r>
      <w:r w:rsidRPr="00A55C1E">
        <w:rPr>
          <w:rFonts w:ascii="Verdana" w:hAnsi="Verdana" w:cs="Tahoma"/>
        </w:rPr>
        <w:t xml:space="preserve">. Muchos pacientes con COVID-19 han sido tratados con ventilación mecánica invasiva, lo cual puede causar complicaciones. Inusualmente se han reportado casos de </w:t>
      </w:r>
      <w:proofErr w:type="spellStart"/>
      <w:r w:rsidRPr="00A55C1E">
        <w:rPr>
          <w:rFonts w:ascii="Verdana" w:hAnsi="Verdana" w:cs="Tahoma"/>
        </w:rPr>
        <w:t>barotrauma</w:t>
      </w:r>
      <w:proofErr w:type="spellEnd"/>
      <w:r w:rsidRPr="00A55C1E">
        <w:rPr>
          <w:rFonts w:ascii="Verdana" w:hAnsi="Verdana" w:cs="Tahoma"/>
        </w:rPr>
        <w:t>, enfisema subcutá</w:t>
      </w:r>
      <w:r w:rsidRPr="00A55C1E">
        <w:rPr>
          <w:rFonts w:ascii="Verdana" w:hAnsi="Verdana" w:cs="Tahoma"/>
        </w:rPr>
        <w:softHyphen/>
        <w:t xml:space="preserve">neo, neumotórax, </w:t>
      </w:r>
      <w:proofErr w:type="spellStart"/>
      <w:r w:rsidRPr="00A55C1E">
        <w:rPr>
          <w:rFonts w:ascii="Verdana" w:hAnsi="Verdana" w:cs="Tahoma"/>
        </w:rPr>
        <w:t>neumomediastino</w:t>
      </w:r>
      <w:proofErr w:type="spellEnd"/>
      <w:r w:rsidRPr="00A55C1E">
        <w:rPr>
          <w:rFonts w:ascii="Verdana" w:hAnsi="Verdana" w:cs="Tahoma"/>
        </w:rPr>
        <w:t xml:space="preserve"> espontáneo, cavi</w:t>
      </w:r>
      <w:r w:rsidRPr="00A55C1E">
        <w:rPr>
          <w:rFonts w:ascii="Verdana" w:hAnsi="Verdana" w:cs="Tahoma"/>
        </w:rPr>
        <w:softHyphen/>
        <w:t>taciones y bullas pulmonares, hasta el momento todas complicaciones bien conocidas de la ventilación mecá</w:t>
      </w:r>
      <w:r w:rsidRPr="00A55C1E">
        <w:rPr>
          <w:rFonts w:ascii="Verdana" w:hAnsi="Verdana" w:cs="Tahoma"/>
        </w:rPr>
        <w:softHyphen/>
        <w:t>nica; no obstante, no se descartan que estén asociadas con el curso natural de la neumonía por COVID-19</w:t>
      </w:r>
      <w:r w:rsidR="00467FAF" w:rsidRPr="00A55C1E">
        <w:rPr>
          <w:rFonts w:ascii="Verdana" w:hAnsi="Verdana" w:cs="Tahoma"/>
        </w:rPr>
        <w:t xml:space="preserve">. </w:t>
      </w:r>
      <w:r w:rsidR="00467FAF" w:rsidRPr="00A55C1E">
        <w:rPr>
          <w:rFonts w:ascii="Verdana" w:hAnsi="Verdana" w:cs="Tahoma"/>
          <w:vertAlign w:val="superscript"/>
        </w:rPr>
        <w:t>(15</w:t>
      </w:r>
      <w:r w:rsidR="00F6155B" w:rsidRPr="00A55C1E">
        <w:rPr>
          <w:rFonts w:ascii="Verdana" w:hAnsi="Verdana" w:cs="Tahoma"/>
          <w:vertAlign w:val="superscript"/>
        </w:rPr>
        <w:t>, 16</w:t>
      </w:r>
      <w:r w:rsidR="00467FAF" w:rsidRPr="00A55C1E">
        <w:rPr>
          <w:rFonts w:ascii="Verdana" w:hAnsi="Verdana" w:cs="Tahoma"/>
          <w:vertAlign w:val="superscript"/>
        </w:rPr>
        <w:t>)</w:t>
      </w:r>
      <w:r w:rsidR="00467FAF" w:rsidRPr="00A55C1E">
        <w:rPr>
          <w:rFonts w:ascii="Verdana" w:hAnsi="Verdana" w:cs="Tahoma"/>
        </w:rPr>
        <w:t xml:space="preserve"> En este artículo fue necesario el uso de ventilación mecánica en un grupo priorizado de pacientes, y en un tiempo inferior de las 48 horas. </w:t>
      </w:r>
    </w:p>
    <w:p w:rsidR="00467FAF" w:rsidRPr="00A55C1E" w:rsidRDefault="00467FAF" w:rsidP="00A55C1E">
      <w:pPr>
        <w:spacing w:after="0" w:line="360" w:lineRule="auto"/>
        <w:jc w:val="both"/>
        <w:rPr>
          <w:rFonts w:ascii="Verdana" w:hAnsi="Verdana" w:cs="Tahoma"/>
        </w:rPr>
      </w:pPr>
    </w:p>
    <w:p w:rsidR="008A1117" w:rsidRPr="00A55C1E" w:rsidRDefault="008A1117" w:rsidP="00A55C1E">
      <w:pPr>
        <w:spacing w:after="0" w:line="360" w:lineRule="auto"/>
        <w:jc w:val="both"/>
        <w:rPr>
          <w:rFonts w:ascii="Verdana" w:hAnsi="Verdana" w:cs="Tahoma"/>
        </w:rPr>
      </w:pPr>
      <w:r w:rsidRPr="00A55C1E">
        <w:rPr>
          <w:rFonts w:ascii="Verdana" w:hAnsi="Verdana" w:cs="Tahoma"/>
        </w:rPr>
        <w:t xml:space="preserve">La infección </w:t>
      </w:r>
      <w:proofErr w:type="spellStart"/>
      <w:r w:rsidRPr="00A55C1E">
        <w:rPr>
          <w:rFonts w:ascii="Verdana" w:hAnsi="Verdana" w:cs="Tahoma"/>
        </w:rPr>
        <w:t>porcoronavirus</w:t>
      </w:r>
      <w:proofErr w:type="spellEnd"/>
      <w:r w:rsidRPr="00A55C1E">
        <w:rPr>
          <w:rFonts w:ascii="Verdana" w:hAnsi="Verdana" w:cs="Tahoma"/>
        </w:rPr>
        <w:t>, en sus formas más graves, se presenta también como un cuadro de insuficiencia respiratoria aguda que puede evolucionar a un síndrome de distrés respiratorio, requiriendo en muchos casos ventilación mecánica prolongada. El soporte ventilatorio (sedación-analgesia profunda, relajación neuromuscular, ventilación protectora, maniobras de reclutamiento y decúbito prono) conlleva un alto riesgo de desarrollar debilidad muscular adquirida en UCI. La aparición de agitación y delirium es también frecuente en estos pacientes, dificulta la retirada de la ventilación mecánica e incrementa las estancias, la morbilidad y mortalidad.</w:t>
      </w:r>
      <w:r w:rsidR="001E5A60" w:rsidRPr="00A55C1E">
        <w:rPr>
          <w:rFonts w:ascii="Verdana" w:hAnsi="Verdana" w:cs="Tahoma"/>
        </w:rPr>
        <w:t xml:space="preserve"> </w:t>
      </w:r>
      <w:r w:rsidR="001E5A60" w:rsidRPr="00A55C1E">
        <w:rPr>
          <w:rFonts w:ascii="Verdana" w:hAnsi="Verdana" w:cs="Tahoma"/>
          <w:vertAlign w:val="superscript"/>
        </w:rPr>
        <w:t>(17)</w:t>
      </w:r>
    </w:p>
    <w:p w:rsidR="009032E9" w:rsidRPr="00A55C1E" w:rsidRDefault="009032E9" w:rsidP="00A55C1E">
      <w:pPr>
        <w:spacing w:after="0" w:line="360" w:lineRule="auto"/>
        <w:jc w:val="both"/>
        <w:rPr>
          <w:rFonts w:ascii="Verdana" w:hAnsi="Verdana" w:cs="Tahoma"/>
        </w:rPr>
      </w:pPr>
    </w:p>
    <w:p w:rsidR="0019012B" w:rsidRPr="00A55C1E" w:rsidRDefault="005000FA" w:rsidP="00A55C1E">
      <w:pPr>
        <w:spacing w:line="360" w:lineRule="auto"/>
        <w:jc w:val="both"/>
        <w:rPr>
          <w:rFonts w:ascii="Verdana" w:hAnsi="Verdana" w:cs="Tahoma"/>
        </w:rPr>
      </w:pPr>
      <w:r w:rsidRPr="00A55C1E">
        <w:rPr>
          <w:rFonts w:ascii="Verdana" w:hAnsi="Verdana" w:cs="Tahoma"/>
        </w:rPr>
        <w:lastRenderedPageBreak/>
        <w:t xml:space="preserve">En una investigación </w:t>
      </w:r>
      <w:r w:rsidRPr="00A55C1E">
        <w:rPr>
          <w:rFonts w:ascii="Verdana" w:hAnsi="Verdana" w:cs="Tahoma"/>
          <w:vertAlign w:val="superscript"/>
        </w:rPr>
        <w:t xml:space="preserve">(15) </w:t>
      </w:r>
      <w:r w:rsidR="005B105B" w:rsidRPr="00A55C1E">
        <w:rPr>
          <w:rFonts w:ascii="Verdana" w:hAnsi="Verdana" w:cs="Tahoma"/>
        </w:rPr>
        <w:t xml:space="preserve">la estadía hospitalaria en promedio fue de 19,8 ± 14,7 días. </w:t>
      </w:r>
      <w:r w:rsidRPr="00A55C1E">
        <w:rPr>
          <w:rFonts w:ascii="Verdana" w:hAnsi="Verdana" w:cs="Tahoma"/>
        </w:rPr>
        <w:t xml:space="preserve">En el caso de los resultados que acá se presentan estuvo sobre los 5,89 ± 10,58 días. </w:t>
      </w:r>
      <w:r w:rsidR="00DB312F" w:rsidRPr="00A55C1E">
        <w:rPr>
          <w:rFonts w:ascii="Verdana" w:hAnsi="Verdana" w:cs="Tahoma"/>
        </w:rPr>
        <w:t xml:space="preserve">En cuanto a al estado al egreso de los pacientes aproximadamente 3 de cada 5 pacientes lograron su reincorporación a la comunidad. </w:t>
      </w:r>
      <w:r w:rsidR="009B6F53" w:rsidRPr="00A55C1E">
        <w:rPr>
          <w:rFonts w:ascii="Verdana" w:hAnsi="Verdana" w:cs="Tahoma"/>
        </w:rPr>
        <w:t xml:space="preserve">La edad avanzada se asocia con una mayor mortalidad. Se ha descrito una tasa de letalidad del 8-12% entre las personas de 70 a 79 años y del 15-20% en los mayores de 80 años, en contraste con la letalidad global del 2,3%. </w:t>
      </w:r>
      <w:r w:rsidR="009B6F53" w:rsidRPr="00A55C1E">
        <w:rPr>
          <w:rFonts w:ascii="Verdana" w:hAnsi="Verdana" w:cs="Tahoma"/>
          <w:vertAlign w:val="superscript"/>
        </w:rPr>
        <w:t>(</w:t>
      </w:r>
      <w:r w:rsidR="001E5A60" w:rsidRPr="00A55C1E">
        <w:rPr>
          <w:rFonts w:ascii="Verdana" w:hAnsi="Verdana" w:cs="Tahoma"/>
          <w:vertAlign w:val="superscript"/>
        </w:rPr>
        <w:t>18</w:t>
      </w:r>
      <w:r w:rsidR="009B6F53" w:rsidRPr="00A55C1E">
        <w:rPr>
          <w:rFonts w:ascii="Verdana" w:hAnsi="Verdana" w:cs="Tahoma"/>
          <w:vertAlign w:val="superscript"/>
        </w:rPr>
        <w:t>)</w:t>
      </w:r>
    </w:p>
    <w:p w:rsidR="002F2631" w:rsidRPr="00A55C1E" w:rsidRDefault="00233488" w:rsidP="00A55C1E">
      <w:pPr>
        <w:spacing w:after="0" w:line="360" w:lineRule="auto"/>
        <w:jc w:val="both"/>
        <w:rPr>
          <w:rFonts w:ascii="Verdana" w:hAnsi="Verdana" w:cs="Tahoma"/>
        </w:rPr>
      </w:pPr>
      <w:r w:rsidRPr="00A55C1E">
        <w:rPr>
          <w:rFonts w:ascii="Verdana" w:hAnsi="Verdana" w:cs="Tahoma"/>
        </w:rPr>
        <w:t>En el trabajo de Aguilera-Calzadilla et al</w:t>
      </w:r>
      <w:r w:rsidRPr="00A55C1E">
        <w:rPr>
          <w:rFonts w:ascii="Verdana" w:hAnsi="Verdana" w:cs="Tahoma"/>
          <w:vertAlign w:val="superscript"/>
        </w:rPr>
        <w:t xml:space="preserve"> (11)</w:t>
      </w:r>
      <w:r w:rsidR="005B105B" w:rsidRPr="00A55C1E">
        <w:rPr>
          <w:rFonts w:ascii="Verdana" w:hAnsi="Verdana" w:cs="Tahoma"/>
        </w:rPr>
        <w:t>, el 61,5 % de los p</w:t>
      </w:r>
      <w:r w:rsidRPr="00A55C1E">
        <w:rPr>
          <w:rFonts w:ascii="Verdana" w:hAnsi="Verdana" w:cs="Tahoma"/>
        </w:rPr>
        <w:t>acientes fallecieron. E</w:t>
      </w:r>
      <w:r w:rsidR="005B105B" w:rsidRPr="00A55C1E">
        <w:rPr>
          <w:rFonts w:ascii="Verdana" w:hAnsi="Verdana" w:cs="Tahoma"/>
        </w:rPr>
        <w:t xml:space="preserve">n las unidades de cuidados intensivos, los pacientes tienen un gran riesgo de sucumbir a la infección por oportunistas bacterianos. </w:t>
      </w:r>
      <w:r w:rsidRPr="00A55C1E">
        <w:rPr>
          <w:rFonts w:ascii="Verdana" w:hAnsi="Verdana" w:cs="Tahoma"/>
        </w:rPr>
        <w:t>En</w:t>
      </w:r>
      <w:r w:rsidR="005B105B" w:rsidRPr="00A55C1E">
        <w:rPr>
          <w:rFonts w:ascii="Verdana" w:hAnsi="Verdana" w:cs="Tahoma"/>
        </w:rPr>
        <w:t xml:space="preserve"> </w:t>
      </w:r>
      <w:r w:rsidRPr="00A55C1E">
        <w:rPr>
          <w:rFonts w:ascii="Verdana" w:hAnsi="Verdana" w:cs="Tahoma"/>
        </w:rPr>
        <w:t>ese</w:t>
      </w:r>
      <w:r w:rsidR="005B105B" w:rsidRPr="00A55C1E">
        <w:rPr>
          <w:rFonts w:ascii="Verdana" w:hAnsi="Verdana" w:cs="Tahoma"/>
        </w:rPr>
        <w:t xml:space="preserve"> estudio, la edad avanzada, las comorbilidades, unidas a la coinfección bacteriana, fueron los factores que más incidieron en la mortalidad.  </w:t>
      </w:r>
    </w:p>
    <w:p w:rsidR="008A1117" w:rsidRPr="00A55C1E" w:rsidRDefault="0019012B" w:rsidP="00A55C1E">
      <w:pPr>
        <w:spacing w:before="100" w:beforeAutospacing="1" w:after="100" w:afterAutospacing="1" w:line="360" w:lineRule="auto"/>
        <w:jc w:val="both"/>
        <w:rPr>
          <w:rFonts w:ascii="Verdana" w:eastAsia="Times New Roman" w:hAnsi="Verdana" w:cs="Tahoma"/>
        </w:rPr>
      </w:pPr>
      <w:r w:rsidRPr="00A55C1E">
        <w:rPr>
          <w:rFonts w:ascii="Verdana" w:hAnsi="Verdana" w:cs="Tahoma"/>
        </w:rPr>
        <w:t>Los hombres tienen una mortalidad m</w:t>
      </w:r>
      <w:r w:rsidR="00230D05" w:rsidRPr="00A55C1E">
        <w:rPr>
          <w:rFonts w:ascii="Verdana" w:hAnsi="Verdana" w:cs="Tahoma"/>
        </w:rPr>
        <w:t xml:space="preserve">ayor que las mujeres. </w:t>
      </w:r>
      <w:r w:rsidRPr="00A55C1E">
        <w:rPr>
          <w:rFonts w:ascii="Verdana" w:hAnsi="Verdana" w:cs="Tahoma"/>
        </w:rPr>
        <w:t xml:space="preserve">También se ha descrito un mayor riesgo de enfermedad grave en pacientes con comorbilidades médicas, como enfermedad cardiovascular, diabetes mellitus, hipertensión arterial, enfermedad pulmonar crónica, cáncer (especialmente neoplasias hematológicas, cáncer de pulmón y enfermedad metastásica), enfermedad renal crónica, obesidad y tabaquismo4, 14. Las alteraciones analíticas que se han asociado a peor pronóstico incluyen: </w:t>
      </w:r>
      <w:proofErr w:type="spellStart"/>
      <w:r w:rsidRPr="00A55C1E">
        <w:rPr>
          <w:rFonts w:ascii="Verdana" w:hAnsi="Verdana" w:cs="Tahoma"/>
        </w:rPr>
        <w:t>linfopenia</w:t>
      </w:r>
      <w:proofErr w:type="spellEnd"/>
      <w:r w:rsidRPr="00A55C1E">
        <w:rPr>
          <w:rFonts w:ascii="Verdana" w:hAnsi="Verdana" w:cs="Tahoma"/>
        </w:rPr>
        <w:t xml:space="preserve">, elevación de enzimas hepáticas, de LDH, de marcadores inflamatorios como PCR y ferritina, de dímeros D (&gt;1 </w:t>
      </w:r>
      <w:proofErr w:type="spellStart"/>
      <w:r w:rsidRPr="00A55C1E">
        <w:rPr>
          <w:rFonts w:ascii="Verdana" w:hAnsi="Verdana" w:cs="Tahoma"/>
        </w:rPr>
        <w:t>μg</w:t>
      </w:r>
      <w:proofErr w:type="spellEnd"/>
      <w:r w:rsidRPr="00A55C1E">
        <w:rPr>
          <w:rFonts w:ascii="Verdana" w:hAnsi="Verdana" w:cs="Tahoma"/>
        </w:rPr>
        <w:t>/</w:t>
      </w:r>
      <w:proofErr w:type="spellStart"/>
      <w:r w:rsidRPr="00A55C1E">
        <w:rPr>
          <w:rFonts w:ascii="Verdana" w:hAnsi="Verdana" w:cs="Tahoma"/>
        </w:rPr>
        <w:t>mL</w:t>
      </w:r>
      <w:proofErr w:type="spellEnd"/>
      <w:r w:rsidRPr="00A55C1E">
        <w:rPr>
          <w:rFonts w:ascii="Verdana" w:hAnsi="Verdana" w:cs="Tahoma"/>
        </w:rPr>
        <w:t xml:space="preserve">), de </w:t>
      </w:r>
      <w:proofErr w:type="spellStart"/>
      <w:r w:rsidRPr="00A55C1E">
        <w:rPr>
          <w:rFonts w:ascii="Verdana" w:hAnsi="Verdana" w:cs="Tahoma"/>
        </w:rPr>
        <w:t>troponina</w:t>
      </w:r>
      <w:proofErr w:type="spellEnd"/>
      <w:r w:rsidRPr="00A55C1E">
        <w:rPr>
          <w:rFonts w:ascii="Verdana" w:hAnsi="Verdana" w:cs="Tahoma"/>
        </w:rPr>
        <w:t xml:space="preserve"> y de CPK, tiempo de protrombina alargado y daño renal agudo18. También se han observado alteraciones en las pruebas de coagulación, con un estado de </w:t>
      </w:r>
      <w:proofErr w:type="spellStart"/>
      <w:r w:rsidRPr="00A55C1E">
        <w:rPr>
          <w:rFonts w:ascii="Verdana" w:hAnsi="Verdana" w:cs="Tahoma"/>
        </w:rPr>
        <w:t>hipercoagulabilidad</w:t>
      </w:r>
      <w:proofErr w:type="spellEnd"/>
      <w:r w:rsidRPr="00A55C1E">
        <w:rPr>
          <w:rFonts w:ascii="Verdana" w:hAnsi="Verdana" w:cs="Tahoma"/>
        </w:rPr>
        <w:t xml:space="preserve"> que condiciona tendencia a la trombosis. </w:t>
      </w:r>
      <w:r w:rsidR="00230D05" w:rsidRPr="00A55C1E">
        <w:rPr>
          <w:rFonts w:ascii="Verdana" w:hAnsi="Verdana" w:cs="Tahoma"/>
          <w:vertAlign w:val="superscript"/>
        </w:rPr>
        <w:t>(6</w:t>
      </w:r>
      <w:r w:rsidR="00D27741" w:rsidRPr="00A55C1E">
        <w:rPr>
          <w:rFonts w:ascii="Verdana" w:hAnsi="Verdana" w:cs="Tahoma"/>
          <w:vertAlign w:val="superscript"/>
        </w:rPr>
        <w:t>, 19, 20</w:t>
      </w:r>
      <w:r w:rsidR="00230D05" w:rsidRPr="00A55C1E">
        <w:rPr>
          <w:rFonts w:ascii="Verdana" w:hAnsi="Verdana" w:cs="Tahoma"/>
          <w:vertAlign w:val="superscript"/>
        </w:rPr>
        <w:t>)</w:t>
      </w:r>
    </w:p>
    <w:p w:rsidR="0019012B" w:rsidRPr="00A55C1E" w:rsidRDefault="00675EEF" w:rsidP="00A55C1E">
      <w:pPr>
        <w:spacing w:after="0" w:line="360" w:lineRule="auto"/>
        <w:jc w:val="both"/>
        <w:rPr>
          <w:rFonts w:ascii="Verdana" w:hAnsi="Verdana" w:cs="Tahoma"/>
        </w:rPr>
      </w:pPr>
      <w:r w:rsidRPr="00A55C1E">
        <w:rPr>
          <w:rFonts w:ascii="Verdana" w:hAnsi="Verdana" w:cs="Tahoma"/>
        </w:rPr>
        <w:t>En cuanto al periodo de inicio de los síntomas y realización del PCR</w:t>
      </w:r>
      <w:r w:rsidR="00721C28" w:rsidRPr="00A55C1E">
        <w:rPr>
          <w:rFonts w:ascii="Verdana" w:hAnsi="Verdana" w:cs="Tahoma"/>
        </w:rPr>
        <w:t xml:space="preserve"> hubo predominio de pacientes que fueron atendidos luego de pasado 10 días. </w:t>
      </w:r>
      <w:r w:rsidR="00F3610E" w:rsidRPr="00A55C1E">
        <w:rPr>
          <w:rFonts w:ascii="Verdana" w:hAnsi="Verdana" w:cs="Tahoma"/>
        </w:rPr>
        <w:t xml:space="preserve">En muchos casos, la infección por SARS-CoV-2 es asintomática. En una revisión de la literatura científica </w:t>
      </w:r>
      <w:r w:rsidR="00F3610E" w:rsidRPr="00A55C1E">
        <w:rPr>
          <w:rFonts w:ascii="Verdana" w:hAnsi="Verdana" w:cs="Tahoma"/>
          <w:vertAlign w:val="superscript"/>
        </w:rPr>
        <w:t>(6,</w:t>
      </w:r>
      <w:r w:rsidR="001E5A60" w:rsidRPr="00A55C1E">
        <w:rPr>
          <w:rFonts w:ascii="Verdana" w:hAnsi="Verdana" w:cs="Tahoma"/>
          <w:vertAlign w:val="superscript"/>
        </w:rPr>
        <w:t xml:space="preserve"> 21, 22</w:t>
      </w:r>
      <w:r w:rsidR="00D27741" w:rsidRPr="00A55C1E">
        <w:rPr>
          <w:rFonts w:ascii="Verdana" w:hAnsi="Verdana" w:cs="Tahoma"/>
          <w:vertAlign w:val="superscript"/>
        </w:rPr>
        <w:t>, 23</w:t>
      </w:r>
      <w:r w:rsidR="00F3610E" w:rsidRPr="00A55C1E">
        <w:rPr>
          <w:rFonts w:ascii="Verdana" w:hAnsi="Verdana" w:cs="Tahoma"/>
          <w:vertAlign w:val="superscript"/>
        </w:rPr>
        <w:t>)</w:t>
      </w:r>
      <w:r w:rsidR="00F3610E" w:rsidRPr="00A55C1E">
        <w:rPr>
          <w:rFonts w:ascii="Verdana" w:hAnsi="Verdana" w:cs="Tahoma"/>
        </w:rPr>
        <w:t xml:space="preserve"> se ha estimado que la proporción de pacientes asintomáticos es del 30-40%. En los individuos sintomáticos, la COVID-19 típicamente se presenta con manifestaciones sistémicas y/o respiratorias, aunque también se ha descrito clínica gastrointestinal, cardiovascular o más infrecuentemente dermatológica y </w:t>
      </w:r>
      <w:r w:rsidR="00F3610E" w:rsidRPr="00A55C1E">
        <w:rPr>
          <w:rFonts w:ascii="Verdana" w:hAnsi="Verdana" w:cs="Tahoma"/>
        </w:rPr>
        <w:lastRenderedPageBreak/>
        <w:t>neurológica. Los síntomas y los signos de COVID-19 no son específicos y no puede diferenciarse clínicamente de otras infecciones respiratorias víricas, aunque el desarrollo de disnea tras varios días del inicio de los síntomas es sugestivo de COVID-19. Los síntomas asociados más frecuentes incluyen: tos (50%), fiebre subjetiva o mayor de 38 oC (43%), mialgias (36%), dolor de cabeza (34%), disnea (29%), dolor</w:t>
      </w:r>
      <w:r w:rsidR="00F913F5" w:rsidRPr="00A55C1E">
        <w:rPr>
          <w:rFonts w:ascii="Verdana" w:hAnsi="Verdana" w:cs="Tahoma"/>
        </w:rPr>
        <w:t xml:space="preserve"> de garganta, diarrea</w:t>
      </w:r>
      <w:r w:rsidR="00F3610E" w:rsidRPr="00A55C1E">
        <w:rPr>
          <w:rFonts w:ascii="Verdana" w:hAnsi="Verdana" w:cs="Tahoma"/>
        </w:rPr>
        <w:t>, an</w:t>
      </w:r>
      <w:r w:rsidR="00F913F5" w:rsidRPr="00A55C1E">
        <w:rPr>
          <w:rFonts w:ascii="Verdana" w:hAnsi="Verdana" w:cs="Tahoma"/>
        </w:rPr>
        <w:t xml:space="preserve">osmia, </w:t>
      </w:r>
      <w:proofErr w:type="spellStart"/>
      <w:r w:rsidR="00F913F5" w:rsidRPr="00A55C1E">
        <w:rPr>
          <w:rFonts w:ascii="Verdana" w:hAnsi="Verdana" w:cs="Tahoma"/>
        </w:rPr>
        <w:t>ageusia</w:t>
      </w:r>
      <w:proofErr w:type="spellEnd"/>
      <w:r w:rsidR="00F913F5" w:rsidRPr="00A55C1E">
        <w:rPr>
          <w:rFonts w:ascii="Verdana" w:hAnsi="Verdana" w:cs="Tahoma"/>
        </w:rPr>
        <w:t xml:space="preserve">, </w:t>
      </w:r>
      <w:proofErr w:type="spellStart"/>
      <w:r w:rsidR="00F913F5" w:rsidRPr="00A55C1E">
        <w:rPr>
          <w:rFonts w:ascii="Verdana" w:hAnsi="Verdana" w:cs="Tahoma"/>
        </w:rPr>
        <w:t>disgeusia</w:t>
      </w:r>
      <w:proofErr w:type="spellEnd"/>
      <w:r w:rsidR="00F3610E" w:rsidRPr="00A55C1E">
        <w:rPr>
          <w:rFonts w:ascii="Verdana" w:hAnsi="Verdana" w:cs="Tahoma"/>
        </w:rPr>
        <w:t xml:space="preserve">, dolor abdominal y </w:t>
      </w:r>
      <w:proofErr w:type="spellStart"/>
      <w:r w:rsidR="00F3610E" w:rsidRPr="00A55C1E">
        <w:rPr>
          <w:rFonts w:ascii="Verdana" w:hAnsi="Verdana" w:cs="Tahoma"/>
        </w:rPr>
        <w:t>rinorrea</w:t>
      </w:r>
      <w:proofErr w:type="spellEnd"/>
      <w:r w:rsidR="00F3610E" w:rsidRPr="00A55C1E">
        <w:rPr>
          <w:rFonts w:ascii="Verdana" w:hAnsi="Verdana" w:cs="Tahoma"/>
        </w:rPr>
        <w:t>. Cabe destacar que la fiebre no es un hallazgo universal en la presentación, incluso entre las cohortes hospitalizadas. Las alteraciones del olfato y/o del gusto se han descrito principalmente en pacientes con COVID-19 leve o moderada, con tasas que oscilan entre el 34% y el 87%. Los síntomas gastrointestinales son menos frecuentes, aunque pueden ser la primera manifestación. Se ha descrito una prevalencia de clínica</w:t>
      </w:r>
      <w:r w:rsidR="008E7842" w:rsidRPr="00A55C1E">
        <w:rPr>
          <w:rFonts w:ascii="Verdana" w:hAnsi="Verdana" w:cs="Tahoma"/>
        </w:rPr>
        <w:t xml:space="preserve"> digestiva del 18% (diarrea; náuseas/vómitos; y dolor abdominal</w:t>
      </w:r>
      <w:r w:rsidR="00F3610E" w:rsidRPr="00A55C1E">
        <w:rPr>
          <w:rFonts w:ascii="Verdana" w:hAnsi="Verdana" w:cs="Tahoma"/>
        </w:rPr>
        <w:t xml:space="preserve">). </w:t>
      </w:r>
    </w:p>
    <w:p w:rsidR="00721C28" w:rsidRPr="00A55C1E" w:rsidRDefault="00721C28" w:rsidP="00A55C1E">
      <w:pPr>
        <w:spacing w:after="0" w:line="360" w:lineRule="auto"/>
        <w:jc w:val="both"/>
        <w:rPr>
          <w:rFonts w:ascii="Verdana" w:hAnsi="Verdana" w:cs="Tahoma"/>
        </w:rPr>
      </w:pPr>
    </w:p>
    <w:p w:rsidR="003A4DD9" w:rsidRPr="00A55C1E" w:rsidRDefault="003A4DD9" w:rsidP="00A55C1E">
      <w:pPr>
        <w:spacing w:after="0" w:line="360" w:lineRule="auto"/>
        <w:jc w:val="both"/>
        <w:rPr>
          <w:rFonts w:ascii="Verdana" w:hAnsi="Verdana" w:cs="Tahoma"/>
        </w:rPr>
      </w:pPr>
      <w:r w:rsidRPr="00A55C1E">
        <w:rPr>
          <w:rFonts w:ascii="Verdana" w:hAnsi="Verdana" w:cs="Tahoma"/>
        </w:rPr>
        <w:t>Existen distintos recursos que pueden implementarse, como la e-consulta, la consulta monográfica específica o una agenda de prestación específica para patologías concretas dentro de la cartera de servicios de cada especialidad. Con el objetivo de coordinar la actividad del proceso, desde la inclusión hasta el alta final desde consultas externas, y dada la complejidad del proceso asistencial, debería establecerse un gestor de casos que asegure la adecuada citación del paciente en la consulta apropiada y asegure el necesario intercambio de información con Atención Primaria y las diferentes especialidades que asisten al paciente.</w:t>
      </w:r>
    </w:p>
    <w:p w:rsidR="003A4DD9" w:rsidRPr="00A55C1E" w:rsidRDefault="003A4DD9" w:rsidP="00A55C1E">
      <w:pPr>
        <w:spacing w:after="0" w:line="360" w:lineRule="auto"/>
        <w:jc w:val="both"/>
        <w:rPr>
          <w:rFonts w:ascii="Verdana" w:hAnsi="Verdana" w:cs="Tahoma"/>
        </w:rPr>
      </w:pPr>
      <w:r w:rsidRPr="00A55C1E">
        <w:rPr>
          <w:rFonts w:ascii="Verdana" w:hAnsi="Verdana" w:cs="Tahoma"/>
        </w:rPr>
        <w:t>Dada el alto número de incertidumbres sobre la persistencia de estas afecciones en el tiempo y su abordaje diagnóstico y terapéutico, es importante recoger indicadores de seguimiento del proceso, incluyendo información acerca del número de pacientes evaluados y en seguimiento activo, consultas específicas en que se realiza éste, motivos de consulta, diagnósticos finales, número de procesos resueltos e ingresos hospitalarios de los pacientes en seguimiento</w:t>
      </w:r>
    </w:p>
    <w:p w:rsidR="003A4DD9" w:rsidRPr="00A55C1E" w:rsidRDefault="003A4DD9" w:rsidP="00A55C1E">
      <w:pPr>
        <w:spacing w:after="0" w:line="360" w:lineRule="auto"/>
        <w:jc w:val="both"/>
        <w:rPr>
          <w:rFonts w:ascii="Verdana" w:hAnsi="Verdana" w:cs="Tahoma"/>
        </w:rPr>
      </w:pPr>
    </w:p>
    <w:p w:rsidR="0097435C" w:rsidRPr="00A55C1E" w:rsidRDefault="005B105B" w:rsidP="00A55C1E">
      <w:pPr>
        <w:spacing w:after="0" w:line="360" w:lineRule="auto"/>
        <w:jc w:val="both"/>
        <w:rPr>
          <w:rFonts w:ascii="Verdana" w:hAnsi="Verdana" w:cs="Tahoma"/>
        </w:rPr>
      </w:pPr>
      <w:r w:rsidRPr="00A55C1E">
        <w:rPr>
          <w:rFonts w:ascii="Verdana" w:hAnsi="Verdana" w:cs="Tahoma"/>
        </w:rPr>
        <w:t>Es imperativo que exista un equipo multidisciplinario para solicitar los exámenes adecuados de forma oportuna, asegurando una correcta evaluación de los pacientes. Esto permitirá la identificación precoz de potenciales</w:t>
      </w:r>
      <w:r w:rsidR="007D77FF" w:rsidRPr="00A55C1E">
        <w:rPr>
          <w:rFonts w:ascii="Verdana" w:hAnsi="Verdana" w:cs="Tahoma"/>
        </w:rPr>
        <w:t xml:space="preserve"> complicaciones </w:t>
      </w:r>
      <w:r w:rsidR="007D77FF" w:rsidRPr="00A55C1E">
        <w:rPr>
          <w:rFonts w:ascii="Verdana" w:hAnsi="Verdana" w:cs="Tahoma"/>
        </w:rPr>
        <w:lastRenderedPageBreak/>
        <w:t>pulmonares pos-</w:t>
      </w:r>
      <w:r w:rsidRPr="00A55C1E">
        <w:rPr>
          <w:rFonts w:ascii="Verdana" w:hAnsi="Verdana" w:cs="Tahoma"/>
        </w:rPr>
        <w:t>COVID-19, con el fin de proporcionar el tratamiento adecua</w:t>
      </w:r>
      <w:r w:rsidR="00C63694" w:rsidRPr="00A55C1E">
        <w:rPr>
          <w:rFonts w:ascii="Verdana" w:hAnsi="Verdana" w:cs="Tahoma"/>
        </w:rPr>
        <w:t>do y evitar secuelas posteriores.</w:t>
      </w:r>
    </w:p>
    <w:p w:rsidR="003A4DD9" w:rsidRPr="00A55C1E" w:rsidRDefault="003A4DD9" w:rsidP="00A55C1E">
      <w:pPr>
        <w:spacing w:after="0" w:line="360" w:lineRule="auto"/>
        <w:jc w:val="both"/>
        <w:rPr>
          <w:rFonts w:ascii="Verdana" w:hAnsi="Verdana" w:cs="Tahoma"/>
          <w:b/>
        </w:rPr>
      </w:pPr>
    </w:p>
    <w:p w:rsidR="00571B34" w:rsidRPr="00A55C1E" w:rsidRDefault="0045322E" w:rsidP="00A55C1E">
      <w:pPr>
        <w:spacing w:after="0" w:line="360" w:lineRule="auto"/>
        <w:jc w:val="both"/>
        <w:rPr>
          <w:rFonts w:ascii="Verdana" w:hAnsi="Verdana" w:cs="Tahoma"/>
          <w:b/>
        </w:rPr>
      </w:pPr>
      <w:r w:rsidRPr="00A55C1E">
        <w:rPr>
          <w:rFonts w:ascii="Verdana" w:hAnsi="Verdana" w:cs="Tahoma"/>
          <w:b/>
        </w:rPr>
        <w:t>CONCLUSIONES</w:t>
      </w:r>
    </w:p>
    <w:p w:rsidR="00AB6269" w:rsidRPr="00A55C1E" w:rsidRDefault="008B6969" w:rsidP="00A55C1E">
      <w:pPr>
        <w:spacing w:after="0" w:line="360" w:lineRule="auto"/>
        <w:jc w:val="both"/>
        <w:rPr>
          <w:rFonts w:ascii="Verdana" w:hAnsi="Verdana" w:cs="Tahoma"/>
        </w:rPr>
      </w:pPr>
      <w:r w:rsidRPr="00A55C1E">
        <w:rPr>
          <w:rFonts w:ascii="Verdana" w:hAnsi="Verdana" w:cs="Tahoma"/>
        </w:rPr>
        <w:t>En medio de la situación epidemiológica causada por la COVID-19 ingresaron pacientes en unidades de cuidados intensivos con diagnóstico de neumonía adquirida en la comunidad no relacionada al virus del S</w:t>
      </w:r>
      <w:r w:rsidR="006A44F9" w:rsidRPr="00A55C1E">
        <w:rPr>
          <w:rFonts w:ascii="Verdana" w:hAnsi="Verdana" w:cs="Tahoma"/>
        </w:rPr>
        <w:t>ARS</w:t>
      </w:r>
      <w:r w:rsidRPr="00A55C1E">
        <w:rPr>
          <w:rFonts w:ascii="Verdana" w:hAnsi="Verdana" w:cs="Tahoma"/>
        </w:rPr>
        <w:t xml:space="preserve">-Cov-2 por antecedente reacción en cadena de la polimerasa negativo </w:t>
      </w:r>
      <w:r w:rsidR="00C120AC" w:rsidRPr="00A55C1E">
        <w:rPr>
          <w:rFonts w:ascii="Verdana" w:hAnsi="Verdana" w:cs="Tahoma"/>
        </w:rPr>
        <w:t xml:space="preserve">y periodo de inicio de los síntomas variables. El </w:t>
      </w:r>
      <w:r w:rsidRPr="00A55C1E">
        <w:rPr>
          <w:rFonts w:ascii="Verdana" w:hAnsi="Verdana" w:cs="Tahoma"/>
        </w:rPr>
        <w:t xml:space="preserve">tratamiento oportuno en algunos casos </w:t>
      </w:r>
      <w:r w:rsidR="00C120AC" w:rsidRPr="00A55C1E">
        <w:rPr>
          <w:rFonts w:ascii="Verdana" w:hAnsi="Verdana" w:cs="Tahoma"/>
        </w:rPr>
        <w:t xml:space="preserve">ventilación mecánica artificial incluso prolongada, </w:t>
      </w:r>
      <w:r w:rsidRPr="00A55C1E">
        <w:rPr>
          <w:rFonts w:ascii="Verdana" w:hAnsi="Verdana" w:cs="Tahoma"/>
        </w:rPr>
        <w:t xml:space="preserve">contribuyó a que existiera una baja letalidad </w:t>
      </w:r>
      <w:r w:rsidR="00C120AC" w:rsidRPr="00A55C1E">
        <w:rPr>
          <w:rFonts w:ascii="Verdana" w:hAnsi="Verdana" w:cs="Tahoma"/>
        </w:rPr>
        <w:t xml:space="preserve">y egresaran con una calidad de vida mejor.  </w:t>
      </w:r>
    </w:p>
    <w:p w:rsidR="00BD7BC4" w:rsidRPr="00A55C1E" w:rsidRDefault="00BD7BC4" w:rsidP="00A55C1E">
      <w:pPr>
        <w:spacing w:line="360" w:lineRule="auto"/>
        <w:jc w:val="both"/>
        <w:rPr>
          <w:rFonts w:ascii="Verdana" w:hAnsi="Verdana" w:cs="Tahoma"/>
          <w:b/>
        </w:rPr>
      </w:pPr>
    </w:p>
    <w:p w:rsidR="00571B34" w:rsidRPr="00A55C1E" w:rsidRDefault="0045322E" w:rsidP="00A55C1E">
      <w:pPr>
        <w:spacing w:line="360" w:lineRule="auto"/>
        <w:jc w:val="both"/>
        <w:rPr>
          <w:rFonts w:ascii="Verdana" w:hAnsi="Verdana" w:cs="Tahoma"/>
          <w:b/>
        </w:rPr>
      </w:pPr>
      <w:r w:rsidRPr="00A55C1E">
        <w:rPr>
          <w:rFonts w:ascii="Verdana" w:hAnsi="Verdana" w:cs="Tahoma"/>
          <w:b/>
        </w:rPr>
        <w:t>REFERENCIAS BIBLIOGRÁFICAS</w:t>
      </w:r>
    </w:p>
    <w:p w:rsidR="00D643D7" w:rsidRPr="00A55C1E" w:rsidRDefault="00D643D7" w:rsidP="00A55C1E">
      <w:pPr>
        <w:pStyle w:val="Prrafodelista"/>
        <w:numPr>
          <w:ilvl w:val="0"/>
          <w:numId w:val="2"/>
        </w:numPr>
        <w:tabs>
          <w:tab w:val="left" w:pos="927"/>
        </w:tabs>
        <w:spacing w:after="0" w:line="360" w:lineRule="auto"/>
        <w:jc w:val="both"/>
        <w:rPr>
          <w:rFonts w:ascii="Verdana" w:hAnsi="Verdana" w:cs="Tahoma"/>
          <w:lang w:val="es-ES"/>
        </w:rPr>
      </w:pPr>
      <w:r w:rsidRPr="00A55C1E">
        <w:rPr>
          <w:rFonts w:ascii="Verdana" w:hAnsi="Verdana" w:cs="Tahoma"/>
          <w:lang w:val="es-ES"/>
        </w:rPr>
        <w:t>Saavedra Trujillo CH. Consenso colombiano de atención, diagnóstico y manejo de la infección por SARS-COV-2/COVID-19 en establecimientos de atención de la salud. Recomendaciones basadas en consenso de expertos e informadas en la evidencia</w:t>
      </w:r>
      <w:r w:rsidR="00F708D8" w:rsidRPr="00A55C1E">
        <w:rPr>
          <w:rFonts w:ascii="Verdana" w:hAnsi="Verdana" w:cs="Tahoma"/>
          <w:lang w:val="es-ES"/>
        </w:rPr>
        <w:t>. Infect.  [Internet]. 2020</w:t>
      </w:r>
      <w:r w:rsidRPr="00A55C1E">
        <w:rPr>
          <w:rFonts w:ascii="Verdana" w:hAnsi="Verdana" w:cs="Tahoma"/>
          <w:lang w:val="es-ES"/>
        </w:rPr>
        <w:t xml:space="preserve"> [</w:t>
      </w:r>
      <w:r w:rsidR="00F708D8" w:rsidRPr="00A55C1E">
        <w:rPr>
          <w:rFonts w:ascii="Verdana" w:hAnsi="Verdana" w:cs="Tahoma"/>
          <w:lang w:val="es-ES"/>
        </w:rPr>
        <w:t>citado  08 Oct 2021];  24(3 Suppl 1</w:t>
      </w:r>
      <w:r w:rsidRPr="00A55C1E">
        <w:rPr>
          <w:rFonts w:ascii="Verdana" w:hAnsi="Verdana" w:cs="Tahoma"/>
          <w:lang w:val="es-ES"/>
        </w:rPr>
        <w:t xml:space="preserve">): </w:t>
      </w:r>
      <w:r w:rsidR="00A87E11" w:rsidRPr="00A55C1E">
        <w:rPr>
          <w:rFonts w:ascii="Verdana" w:hAnsi="Verdana" w:cs="Tahoma"/>
          <w:lang w:val="es-ES"/>
        </w:rPr>
        <w:t>[aprox. 16 p.].Disponible en</w:t>
      </w:r>
      <w:r w:rsidRPr="00A55C1E">
        <w:rPr>
          <w:rFonts w:ascii="Verdana" w:hAnsi="Verdana" w:cs="Tahoma"/>
          <w:lang w:val="es-ES"/>
        </w:rPr>
        <w:t xml:space="preserve">: </w:t>
      </w:r>
      <w:hyperlink r:id="rId13" w:history="1">
        <w:r w:rsidR="00A87E11" w:rsidRPr="00A55C1E">
          <w:rPr>
            <w:rStyle w:val="Hipervnculo"/>
            <w:rFonts w:ascii="Verdana" w:hAnsi="Verdana" w:cs="Tahoma"/>
            <w:lang w:val="es-ES"/>
          </w:rPr>
          <w:t>http://www.scielo.org.co/scielo.php?script=sci_arttext&amp;pid=S0123-93922020000500061&amp;lng=en</w:t>
        </w:r>
      </w:hyperlink>
      <w:r w:rsidR="00A87E11" w:rsidRPr="00A55C1E">
        <w:rPr>
          <w:rFonts w:ascii="Verdana" w:hAnsi="Verdana" w:cs="Tahoma"/>
          <w:lang w:val="es-ES"/>
        </w:rPr>
        <w:t xml:space="preserve">. </w:t>
      </w:r>
    </w:p>
    <w:p w:rsidR="00A74504" w:rsidRPr="00A55C1E" w:rsidRDefault="00A74504" w:rsidP="00A55C1E">
      <w:pPr>
        <w:pStyle w:val="Prrafodelista"/>
        <w:numPr>
          <w:ilvl w:val="0"/>
          <w:numId w:val="2"/>
        </w:numPr>
        <w:tabs>
          <w:tab w:val="left" w:pos="927"/>
        </w:tabs>
        <w:spacing w:after="0" w:line="360" w:lineRule="auto"/>
        <w:jc w:val="both"/>
        <w:rPr>
          <w:rFonts w:ascii="Verdana" w:hAnsi="Verdana" w:cs="Tahoma"/>
          <w:lang w:val="es-ES"/>
        </w:rPr>
      </w:pPr>
      <w:r w:rsidRPr="00A55C1E">
        <w:rPr>
          <w:rFonts w:ascii="Verdana" w:hAnsi="Verdana" w:cs="Tahoma"/>
          <w:lang w:val="es-ES"/>
        </w:rPr>
        <w:t xml:space="preserve">García Zacarías J, Pérez Rodríguez M, Bender del Busto JE. Covid-19. Manifestaciones neurológicas. </w:t>
      </w:r>
      <w:proofErr w:type="spellStart"/>
      <w:r w:rsidRPr="00A55C1E">
        <w:rPr>
          <w:rFonts w:ascii="Verdana" w:hAnsi="Verdana" w:cs="Tahoma"/>
          <w:lang w:val="es-ES"/>
        </w:rPr>
        <w:t>Gac</w:t>
      </w:r>
      <w:proofErr w:type="spellEnd"/>
      <w:r w:rsidRPr="00A55C1E">
        <w:rPr>
          <w:rFonts w:ascii="Verdana" w:hAnsi="Verdana" w:cs="Tahoma"/>
          <w:lang w:val="es-ES"/>
        </w:rPr>
        <w:t xml:space="preserve"> </w:t>
      </w:r>
      <w:proofErr w:type="spellStart"/>
      <w:r w:rsidRPr="00A55C1E">
        <w:rPr>
          <w:rFonts w:ascii="Verdana" w:hAnsi="Verdana" w:cs="Tahoma"/>
          <w:lang w:val="es-ES"/>
        </w:rPr>
        <w:t>Méd</w:t>
      </w:r>
      <w:proofErr w:type="spellEnd"/>
      <w:r w:rsidRPr="00A55C1E">
        <w:rPr>
          <w:rFonts w:ascii="Verdana" w:hAnsi="Verdana" w:cs="Tahoma"/>
          <w:lang w:val="es-ES"/>
        </w:rPr>
        <w:t xml:space="preserve"> </w:t>
      </w:r>
      <w:proofErr w:type="spellStart"/>
      <w:r w:rsidRPr="00A55C1E">
        <w:rPr>
          <w:rFonts w:ascii="Verdana" w:hAnsi="Verdana" w:cs="Tahoma"/>
          <w:lang w:val="es-ES"/>
        </w:rPr>
        <w:t>Espirit</w:t>
      </w:r>
      <w:proofErr w:type="spellEnd"/>
      <w:r w:rsidRPr="00A55C1E">
        <w:rPr>
          <w:rFonts w:ascii="Verdana" w:hAnsi="Verdana" w:cs="Tahoma"/>
          <w:lang w:val="es-ES"/>
        </w:rPr>
        <w:t>.</w:t>
      </w:r>
      <w:r w:rsidR="00A945E3" w:rsidRPr="00A55C1E">
        <w:rPr>
          <w:rFonts w:ascii="Verdana" w:hAnsi="Verdana" w:cs="Tahoma"/>
          <w:lang w:val="es-ES"/>
        </w:rPr>
        <w:t xml:space="preserve"> [Internet].</w:t>
      </w:r>
      <w:r w:rsidRPr="00A55C1E">
        <w:rPr>
          <w:rFonts w:ascii="Verdana" w:hAnsi="Verdana" w:cs="Tahoma"/>
          <w:lang w:val="es-ES"/>
        </w:rPr>
        <w:t xml:space="preserve"> 2020 [</w:t>
      </w:r>
      <w:r w:rsidR="00A945E3" w:rsidRPr="00A55C1E">
        <w:rPr>
          <w:rFonts w:ascii="Verdana" w:hAnsi="Verdana" w:cs="Tahoma"/>
          <w:lang w:val="es-ES"/>
        </w:rPr>
        <w:t>citado  08 Oct 2021</w:t>
      </w:r>
      <w:r w:rsidRPr="00A55C1E">
        <w:rPr>
          <w:rFonts w:ascii="Verdana" w:hAnsi="Verdana" w:cs="Tahoma"/>
          <w:lang w:val="es-ES"/>
        </w:rPr>
        <w:t>]</w:t>
      </w:r>
      <w:proofErr w:type="gramStart"/>
      <w:r w:rsidRPr="00A55C1E">
        <w:rPr>
          <w:rFonts w:ascii="Verdana" w:hAnsi="Verdana" w:cs="Tahoma"/>
          <w:lang w:val="es-ES"/>
        </w:rPr>
        <w:t>;22</w:t>
      </w:r>
      <w:proofErr w:type="gramEnd"/>
      <w:r w:rsidRPr="00A55C1E">
        <w:rPr>
          <w:rFonts w:ascii="Verdana" w:hAnsi="Verdana" w:cs="Tahoma"/>
          <w:lang w:val="es-ES"/>
        </w:rPr>
        <w:t>(1):</w:t>
      </w:r>
      <w:r w:rsidR="00A945E3" w:rsidRPr="00A55C1E">
        <w:rPr>
          <w:rFonts w:ascii="Verdana" w:hAnsi="Verdana" w:cs="Tahoma"/>
          <w:lang w:val="es-ES"/>
        </w:rPr>
        <w:t xml:space="preserve"> [aprox. 6 p.]. </w:t>
      </w:r>
      <w:r w:rsidRPr="00A55C1E">
        <w:rPr>
          <w:rFonts w:ascii="Verdana" w:hAnsi="Verdana" w:cs="Tahoma"/>
          <w:lang w:val="es-ES"/>
        </w:rPr>
        <w:t xml:space="preserve">Disponible en: </w:t>
      </w:r>
      <w:hyperlink r:id="rId14" w:history="1">
        <w:r w:rsidRPr="00A55C1E">
          <w:rPr>
            <w:rStyle w:val="Hipervnculo"/>
            <w:rFonts w:ascii="Verdana" w:hAnsi="Verdana" w:cs="Tahoma"/>
            <w:lang w:val="es-ES"/>
          </w:rPr>
          <w:t>http://scielo.sld.cu/scielo.php?script=sci_arttext&amp;pid=S1608-89212020000100001&amp;lng=es</w:t>
        </w:r>
      </w:hyperlink>
      <w:r w:rsidRPr="00A55C1E">
        <w:rPr>
          <w:rFonts w:ascii="Verdana" w:hAnsi="Verdana" w:cs="Tahoma"/>
          <w:lang w:val="es-ES"/>
        </w:rPr>
        <w:t xml:space="preserve">  </w:t>
      </w:r>
    </w:p>
    <w:p w:rsidR="00A74504" w:rsidRPr="00A55C1E" w:rsidRDefault="00A74504" w:rsidP="00A55C1E">
      <w:pPr>
        <w:pStyle w:val="Prrafodelista"/>
        <w:numPr>
          <w:ilvl w:val="0"/>
          <w:numId w:val="2"/>
        </w:numPr>
        <w:tabs>
          <w:tab w:val="left" w:pos="927"/>
        </w:tabs>
        <w:spacing w:after="0" w:line="360" w:lineRule="auto"/>
        <w:jc w:val="both"/>
        <w:rPr>
          <w:rFonts w:ascii="Verdana" w:hAnsi="Verdana" w:cs="Tahoma"/>
          <w:lang w:val="es-ES"/>
        </w:rPr>
      </w:pPr>
      <w:r w:rsidRPr="00A55C1E">
        <w:rPr>
          <w:rFonts w:ascii="Verdana" w:hAnsi="Verdana" w:cs="Tahoma"/>
          <w:lang w:val="es-ES"/>
        </w:rPr>
        <w:t xml:space="preserve">Guzmán del </w:t>
      </w:r>
      <w:proofErr w:type="spellStart"/>
      <w:r w:rsidRPr="00A55C1E">
        <w:rPr>
          <w:rFonts w:ascii="Verdana" w:hAnsi="Verdana" w:cs="Tahoma"/>
          <w:lang w:val="es-ES"/>
        </w:rPr>
        <w:t>Giudice</w:t>
      </w:r>
      <w:proofErr w:type="spellEnd"/>
      <w:r w:rsidRPr="00A55C1E">
        <w:rPr>
          <w:rFonts w:ascii="Verdana" w:hAnsi="Verdana" w:cs="Tahoma"/>
          <w:lang w:val="es-ES"/>
        </w:rPr>
        <w:t xml:space="preserve"> OE, </w:t>
      </w:r>
      <w:proofErr w:type="spellStart"/>
      <w:r w:rsidRPr="00A55C1E">
        <w:rPr>
          <w:rFonts w:ascii="Verdana" w:hAnsi="Verdana" w:cs="Tahoma"/>
          <w:lang w:val="es-ES"/>
        </w:rPr>
        <w:t>Lucchesi</w:t>
      </w:r>
      <w:proofErr w:type="spellEnd"/>
      <w:r w:rsidRPr="00A55C1E">
        <w:rPr>
          <w:rFonts w:ascii="Verdana" w:hAnsi="Verdana" w:cs="Tahoma"/>
          <w:lang w:val="es-ES"/>
        </w:rPr>
        <w:t xml:space="preserve"> Vásquez EP, Trelles De Belaúnde M, Pinedo Gonzales RH, </w:t>
      </w:r>
      <w:proofErr w:type="spellStart"/>
      <w:r w:rsidRPr="00A55C1E">
        <w:rPr>
          <w:rFonts w:ascii="Verdana" w:hAnsi="Verdana" w:cs="Tahoma"/>
          <w:lang w:val="es-ES"/>
        </w:rPr>
        <w:t>Camere</w:t>
      </w:r>
      <w:proofErr w:type="spellEnd"/>
      <w:r w:rsidRPr="00A55C1E">
        <w:rPr>
          <w:rFonts w:ascii="Verdana" w:hAnsi="Verdana" w:cs="Tahoma"/>
          <w:lang w:val="es-ES"/>
        </w:rPr>
        <w:t xml:space="preserve"> </w:t>
      </w:r>
      <w:proofErr w:type="spellStart"/>
      <w:r w:rsidRPr="00A55C1E">
        <w:rPr>
          <w:rFonts w:ascii="Verdana" w:hAnsi="Verdana" w:cs="Tahoma"/>
          <w:lang w:val="es-ES"/>
        </w:rPr>
        <w:t>Torrealva</w:t>
      </w:r>
      <w:proofErr w:type="spellEnd"/>
      <w:r w:rsidRPr="00A55C1E">
        <w:rPr>
          <w:rFonts w:ascii="Verdana" w:hAnsi="Verdana" w:cs="Tahoma"/>
          <w:lang w:val="es-ES"/>
        </w:rPr>
        <w:t xml:space="preserve"> MA, </w:t>
      </w:r>
      <w:proofErr w:type="spellStart"/>
      <w:r w:rsidRPr="00A55C1E">
        <w:rPr>
          <w:rFonts w:ascii="Verdana" w:hAnsi="Verdana" w:cs="Tahoma"/>
          <w:lang w:val="es-ES"/>
        </w:rPr>
        <w:t>Daly</w:t>
      </w:r>
      <w:proofErr w:type="spellEnd"/>
      <w:r w:rsidRPr="00A55C1E">
        <w:rPr>
          <w:rFonts w:ascii="Verdana" w:hAnsi="Verdana" w:cs="Tahoma"/>
          <w:lang w:val="es-ES"/>
        </w:rPr>
        <w:t xml:space="preserve"> A, et al. Características clínicas y epidemiológicas de 25 casos de COVID-19 atendidos en la Clínica Delgado de Lima. Rev Soc Peru Med Interna. </w:t>
      </w:r>
      <w:r w:rsidR="00A945E3" w:rsidRPr="00A55C1E">
        <w:rPr>
          <w:rFonts w:ascii="Verdana" w:hAnsi="Verdana" w:cs="Tahoma"/>
          <w:lang w:val="es-ES"/>
        </w:rPr>
        <w:t xml:space="preserve">[Internet]. </w:t>
      </w:r>
      <w:r w:rsidRPr="00A55C1E">
        <w:rPr>
          <w:rFonts w:ascii="Verdana" w:hAnsi="Verdana" w:cs="Tahoma"/>
          <w:lang w:val="es-ES"/>
        </w:rPr>
        <w:t>2020 [</w:t>
      </w:r>
      <w:r w:rsidR="00A945E3" w:rsidRPr="00A55C1E">
        <w:rPr>
          <w:rFonts w:ascii="Verdana" w:hAnsi="Verdana" w:cs="Tahoma"/>
          <w:lang w:val="es-ES"/>
        </w:rPr>
        <w:t>citado 08 Oct 2021</w:t>
      </w:r>
      <w:r w:rsidRPr="00A55C1E">
        <w:rPr>
          <w:rFonts w:ascii="Verdana" w:hAnsi="Verdana" w:cs="Tahoma"/>
          <w:lang w:val="es-ES"/>
        </w:rPr>
        <w:t>]</w:t>
      </w:r>
      <w:proofErr w:type="gramStart"/>
      <w:r w:rsidRPr="00A55C1E">
        <w:rPr>
          <w:rFonts w:ascii="Verdana" w:hAnsi="Verdana" w:cs="Tahoma"/>
          <w:lang w:val="es-ES"/>
        </w:rPr>
        <w:t>;33</w:t>
      </w:r>
      <w:proofErr w:type="gramEnd"/>
      <w:r w:rsidRPr="00A55C1E">
        <w:rPr>
          <w:rFonts w:ascii="Verdana" w:hAnsi="Verdana" w:cs="Tahoma"/>
          <w:lang w:val="es-ES"/>
        </w:rPr>
        <w:t>(1)</w:t>
      </w:r>
      <w:r w:rsidR="00A945E3" w:rsidRPr="00A55C1E">
        <w:rPr>
          <w:rFonts w:ascii="Verdana" w:hAnsi="Verdana" w:cs="Tahoma"/>
          <w:lang w:val="es-ES"/>
        </w:rPr>
        <w:t>: [aprox. 11 p.].</w:t>
      </w:r>
      <w:r w:rsidRPr="00A55C1E">
        <w:rPr>
          <w:rFonts w:ascii="Verdana" w:hAnsi="Verdana" w:cs="Tahoma"/>
          <w:lang w:val="es-ES"/>
        </w:rPr>
        <w:t xml:space="preserve"> Disponible en: </w:t>
      </w:r>
      <w:hyperlink r:id="rId15" w:history="1">
        <w:r w:rsidRPr="00A55C1E">
          <w:rPr>
            <w:rStyle w:val="Hipervnculo"/>
            <w:rFonts w:ascii="Verdana" w:hAnsi="Verdana" w:cs="Tahoma"/>
            <w:lang w:val="es-ES"/>
          </w:rPr>
          <w:t>http://revistamedicinainterna.net/index.php/spmi/article/view/506</w:t>
        </w:r>
      </w:hyperlink>
      <w:r w:rsidRPr="00A55C1E">
        <w:rPr>
          <w:rFonts w:ascii="Verdana" w:hAnsi="Verdana" w:cs="Tahoma"/>
          <w:lang w:val="es-ES"/>
        </w:rPr>
        <w:t xml:space="preserve">  </w:t>
      </w:r>
    </w:p>
    <w:p w:rsidR="00A74504" w:rsidRPr="00A55C1E" w:rsidRDefault="00A74504" w:rsidP="00A55C1E">
      <w:pPr>
        <w:pStyle w:val="Prrafodelista"/>
        <w:numPr>
          <w:ilvl w:val="0"/>
          <w:numId w:val="2"/>
        </w:numPr>
        <w:tabs>
          <w:tab w:val="left" w:pos="927"/>
        </w:tabs>
        <w:spacing w:after="0" w:line="360" w:lineRule="auto"/>
        <w:jc w:val="both"/>
        <w:rPr>
          <w:rFonts w:ascii="Verdana" w:hAnsi="Verdana" w:cs="Tahoma"/>
          <w:lang w:val="es-ES"/>
        </w:rPr>
      </w:pPr>
      <w:r w:rsidRPr="00A55C1E">
        <w:rPr>
          <w:rFonts w:ascii="Verdana" w:hAnsi="Verdana" w:cs="Tahoma"/>
          <w:lang w:val="es-ES"/>
        </w:rPr>
        <w:lastRenderedPageBreak/>
        <w:t xml:space="preserve">Pérez </w:t>
      </w:r>
      <w:proofErr w:type="spellStart"/>
      <w:r w:rsidRPr="00A55C1E">
        <w:rPr>
          <w:rFonts w:ascii="Verdana" w:hAnsi="Verdana" w:cs="Tahoma"/>
          <w:lang w:val="es-ES"/>
        </w:rPr>
        <w:t>Abereu</w:t>
      </w:r>
      <w:proofErr w:type="spellEnd"/>
      <w:r w:rsidRPr="00A55C1E">
        <w:rPr>
          <w:rFonts w:ascii="Verdana" w:hAnsi="Verdana" w:cs="Tahoma"/>
          <w:lang w:val="es-ES"/>
        </w:rPr>
        <w:t xml:space="preserve"> MR, Gómez Tejeda JJ, Diéguez </w:t>
      </w:r>
      <w:proofErr w:type="spellStart"/>
      <w:r w:rsidRPr="00A55C1E">
        <w:rPr>
          <w:rFonts w:ascii="Verdana" w:hAnsi="Verdana" w:cs="Tahoma"/>
          <w:lang w:val="es-ES"/>
        </w:rPr>
        <w:t>Guach</w:t>
      </w:r>
      <w:proofErr w:type="spellEnd"/>
      <w:r w:rsidRPr="00A55C1E">
        <w:rPr>
          <w:rFonts w:ascii="Verdana" w:hAnsi="Verdana" w:cs="Tahoma"/>
          <w:lang w:val="es-ES"/>
        </w:rPr>
        <w:t xml:space="preserve"> RA. Características clínico-epidemiológicas de la COVID-19. Revista Habanera de Ciencias Médicas.</w:t>
      </w:r>
      <w:r w:rsidR="00A945E3" w:rsidRPr="00A55C1E">
        <w:rPr>
          <w:rFonts w:ascii="Verdana" w:hAnsi="Verdana" w:cs="Tahoma"/>
          <w:lang w:val="es-ES"/>
        </w:rPr>
        <w:t xml:space="preserve"> [Internet].</w:t>
      </w:r>
      <w:r w:rsidRPr="00A55C1E">
        <w:rPr>
          <w:rFonts w:ascii="Verdana" w:hAnsi="Verdana" w:cs="Tahoma"/>
          <w:lang w:val="es-ES"/>
        </w:rPr>
        <w:t xml:space="preserve"> 2020 [</w:t>
      </w:r>
      <w:r w:rsidR="00A945E3" w:rsidRPr="00A55C1E">
        <w:rPr>
          <w:rFonts w:ascii="Verdana" w:hAnsi="Verdana" w:cs="Tahoma"/>
          <w:lang w:val="es-ES"/>
        </w:rPr>
        <w:t>citado 08 Oct 2021</w:t>
      </w:r>
      <w:r w:rsidRPr="00A55C1E">
        <w:rPr>
          <w:rFonts w:ascii="Verdana" w:hAnsi="Verdana" w:cs="Tahoma"/>
          <w:lang w:val="es-ES"/>
        </w:rPr>
        <w:t>]</w:t>
      </w:r>
      <w:proofErr w:type="gramStart"/>
      <w:r w:rsidRPr="00A55C1E">
        <w:rPr>
          <w:rFonts w:ascii="Verdana" w:hAnsi="Verdana" w:cs="Tahoma"/>
          <w:lang w:val="es-ES"/>
        </w:rPr>
        <w:t>;19</w:t>
      </w:r>
      <w:proofErr w:type="gramEnd"/>
      <w:r w:rsidRPr="00A55C1E">
        <w:rPr>
          <w:rFonts w:ascii="Verdana" w:hAnsi="Verdana" w:cs="Tahoma"/>
          <w:lang w:val="es-ES"/>
        </w:rPr>
        <w:t>(2)</w:t>
      </w:r>
      <w:r w:rsidR="00A945E3" w:rsidRPr="00A55C1E">
        <w:rPr>
          <w:rFonts w:ascii="Verdana" w:hAnsi="Verdana" w:cs="Tahoma"/>
          <w:lang w:val="es-ES"/>
        </w:rPr>
        <w:t>: [aprox. 9 p.].</w:t>
      </w:r>
      <w:r w:rsidR="00047E4D" w:rsidRPr="00A55C1E">
        <w:rPr>
          <w:rFonts w:ascii="Verdana" w:hAnsi="Verdana" w:cs="Tahoma"/>
          <w:lang w:val="es-ES"/>
        </w:rPr>
        <w:t xml:space="preserve"> </w:t>
      </w:r>
      <w:r w:rsidRPr="00A55C1E">
        <w:rPr>
          <w:rFonts w:ascii="Verdana" w:hAnsi="Verdana" w:cs="Tahoma"/>
          <w:lang w:val="es-ES"/>
        </w:rPr>
        <w:t xml:space="preserve">Disponible en: </w:t>
      </w:r>
      <w:hyperlink r:id="rId16" w:history="1">
        <w:r w:rsidRPr="00A55C1E">
          <w:rPr>
            <w:rStyle w:val="Hipervnculo"/>
            <w:rFonts w:ascii="Verdana" w:hAnsi="Verdana" w:cs="Tahoma"/>
            <w:lang w:val="es-ES"/>
          </w:rPr>
          <w:t>http://www.revhabanera.sld.cu/index.php/rhab/article/view/3254</w:t>
        </w:r>
      </w:hyperlink>
      <w:r w:rsidRPr="00A55C1E">
        <w:rPr>
          <w:rFonts w:ascii="Verdana" w:hAnsi="Verdana" w:cs="Tahoma"/>
          <w:lang w:val="es-ES"/>
        </w:rPr>
        <w:t xml:space="preserve">  </w:t>
      </w:r>
    </w:p>
    <w:p w:rsidR="00B20148" w:rsidRPr="00A55C1E" w:rsidRDefault="00B20148" w:rsidP="00A55C1E">
      <w:pPr>
        <w:pStyle w:val="Prrafodelista"/>
        <w:numPr>
          <w:ilvl w:val="0"/>
          <w:numId w:val="2"/>
        </w:numPr>
        <w:tabs>
          <w:tab w:val="left" w:pos="927"/>
        </w:tabs>
        <w:spacing w:after="0" w:line="360" w:lineRule="auto"/>
        <w:jc w:val="both"/>
        <w:rPr>
          <w:rFonts w:ascii="Verdana" w:hAnsi="Verdana" w:cs="Tahoma"/>
          <w:lang w:val="es-ES"/>
        </w:rPr>
      </w:pPr>
      <w:proofErr w:type="spellStart"/>
      <w:r w:rsidRPr="00A55C1E">
        <w:rPr>
          <w:rFonts w:ascii="Verdana" w:hAnsi="Verdana" w:cs="Tahoma"/>
          <w:lang w:val="es-ES"/>
        </w:rPr>
        <w:t>Chérrez</w:t>
      </w:r>
      <w:proofErr w:type="spellEnd"/>
      <w:r w:rsidRPr="00A55C1E">
        <w:rPr>
          <w:rFonts w:ascii="Verdana" w:hAnsi="Verdana" w:cs="Tahoma"/>
          <w:lang w:val="es-ES"/>
        </w:rPr>
        <w:t xml:space="preserve">-Ojeda I, </w:t>
      </w:r>
      <w:proofErr w:type="spellStart"/>
      <w:r w:rsidRPr="00A55C1E">
        <w:rPr>
          <w:rFonts w:ascii="Verdana" w:hAnsi="Verdana" w:cs="Tahoma"/>
          <w:lang w:val="es-ES"/>
        </w:rPr>
        <w:t>Gochicoa</w:t>
      </w:r>
      <w:proofErr w:type="spellEnd"/>
      <w:r w:rsidRPr="00A55C1E">
        <w:rPr>
          <w:rFonts w:ascii="Verdana" w:hAnsi="Verdana" w:cs="Tahoma"/>
          <w:lang w:val="es-ES"/>
        </w:rPr>
        <w:t xml:space="preserve">-Rangel L, </w:t>
      </w:r>
      <w:proofErr w:type="spellStart"/>
      <w:r w:rsidRPr="00A55C1E">
        <w:rPr>
          <w:rFonts w:ascii="Verdana" w:hAnsi="Verdana" w:cs="Tahoma"/>
          <w:lang w:val="es-ES"/>
        </w:rPr>
        <w:t>Salles</w:t>
      </w:r>
      <w:proofErr w:type="spellEnd"/>
      <w:r w:rsidRPr="00A55C1E">
        <w:rPr>
          <w:rFonts w:ascii="Verdana" w:hAnsi="Verdana" w:cs="Tahoma"/>
          <w:lang w:val="es-ES"/>
        </w:rPr>
        <w:t xml:space="preserve">-Rojas A, </w:t>
      </w:r>
      <w:proofErr w:type="spellStart"/>
      <w:r w:rsidRPr="00A55C1E">
        <w:rPr>
          <w:rFonts w:ascii="Verdana" w:hAnsi="Verdana" w:cs="Tahoma"/>
          <w:lang w:val="es-ES"/>
        </w:rPr>
        <w:t>Mautong</w:t>
      </w:r>
      <w:proofErr w:type="spellEnd"/>
      <w:r w:rsidRPr="00A55C1E">
        <w:rPr>
          <w:rFonts w:ascii="Verdana" w:hAnsi="Verdana" w:cs="Tahoma"/>
          <w:lang w:val="es-ES"/>
        </w:rPr>
        <w:t xml:space="preserve"> H. Seguimiento de los pacientes después de neumonía por COVID-19. Secuelas pulmonares. Rev. alerg. Méx.  [Internet]. 2020</w:t>
      </w:r>
      <w:r w:rsidR="002877DF" w:rsidRPr="00A55C1E">
        <w:rPr>
          <w:rFonts w:ascii="Verdana" w:hAnsi="Verdana" w:cs="Tahoma"/>
          <w:lang w:val="es-ES"/>
        </w:rPr>
        <w:t xml:space="preserve"> [citado </w:t>
      </w:r>
      <w:r w:rsidRPr="00A55C1E">
        <w:rPr>
          <w:rFonts w:ascii="Verdana" w:hAnsi="Verdana" w:cs="Tahoma"/>
          <w:lang w:val="es-ES"/>
        </w:rPr>
        <w:t>16 Nov 202</w:t>
      </w:r>
      <w:r w:rsidR="002877DF" w:rsidRPr="00A55C1E">
        <w:rPr>
          <w:rFonts w:ascii="Verdana" w:hAnsi="Verdana" w:cs="Tahoma"/>
          <w:lang w:val="es-ES"/>
        </w:rPr>
        <w:t>1</w:t>
      </w:r>
      <w:r w:rsidRPr="00A55C1E">
        <w:rPr>
          <w:rFonts w:ascii="Verdana" w:hAnsi="Verdana" w:cs="Tahoma"/>
          <w:lang w:val="es-ES"/>
        </w:rPr>
        <w:t xml:space="preserve">]; 67(4): [aprox. 10 p.]. Disponible en: </w:t>
      </w:r>
      <w:hyperlink r:id="rId17" w:history="1">
        <w:r w:rsidRPr="00A55C1E">
          <w:rPr>
            <w:rStyle w:val="Hipervnculo"/>
            <w:rFonts w:ascii="Verdana" w:hAnsi="Verdana" w:cs="Tahoma"/>
            <w:lang w:val="es-ES"/>
          </w:rPr>
          <w:t>http://www.scielo.org.mx/scielo.php?script=sci_arttext&amp;pid=S2448-91902020000400350&amp;lng=es</w:t>
        </w:r>
      </w:hyperlink>
      <w:r w:rsidRPr="00A55C1E">
        <w:rPr>
          <w:rFonts w:ascii="Verdana" w:hAnsi="Verdana" w:cs="Tahoma"/>
          <w:lang w:val="es-ES"/>
        </w:rPr>
        <w:t xml:space="preserve">. </w:t>
      </w:r>
    </w:p>
    <w:p w:rsidR="002877DF" w:rsidRPr="00A55C1E" w:rsidRDefault="002877DF" w:rsidP="00A55C1E">
      <w:pPr>
        <w:pStyle w:val="Prrafodelista"/>
        <w:numPr>
          <w:ilvl w:val="0"/>
          <w:numId w:val="2"/>
        </w:numPr>
        <w:tabs>
          <w:tab w:val="left" w:pos="927"/>
        </w:tabs>
        <w:spacing w:line="360" w:lineRule="auto"/>
        <w:jc w:val="both"/>
        <w:rPr>
          <w:rFonts w:ascii="Verdana" w:hAnsi="Verdana" w:cs="Tahoma"/>
          <w:lang w:val="es-ES"/>
        </w:rPr>
      </w:pPr>
      <w:r w:rsidRPr="00A55C1E">
        <w:rPr>
          <w:rFonts w:ascii="Verdana" w:hAnsi="Verdana" w:cs="Tahoma"/>
          <w:lang w:val="es-ES"/>
        </w:rPr>
        <w:t xml:space="preserve">Martínez Chamorro E, Díez </w:t>
      </w:r>
      <w:proofErr w:type="spellStart"/>
      <w:r w:rsidRPr="00A55C1E">
        <w:rPr>
          <w:rFonts w:ascii="Verdana" w:hAnsi="Verdana" w:cs="Tahoma"/>
          <w:lang w:val="es-ES"/>
        </w:rPr>
        <w:t>Tascón</w:t>
      </w:r>
      <w:proofErr w:type="spellEnd"/>
      <w:r w:rsidRPr="00A55C1E">
        <w:rPr>
          <w:rFonts w:ascii="Verdana" w:hAnsi="Verdana" w:cs="Tahoma"/>
          <w:lang w:val="es-ES"/>
        </w:rPr>
        <w:t xml:space="preserve"> A, Ibáñez </w:t>
      </w:r>
      <w:proofErr w:type="spellStart"/>
      <w:r w:rsidRPr="00A55C1E">
        <w:rPr>
          <w:rFonts w:ascii="Verdana" w:hAnsi="Verdana" w:cs="Tahoma"/>
          <w:lang w:val="es-ES"/>
        </w:rPr>
        <w:t>Sanza</w:t>
      </w:r>
      <w:proofErr w:type="spellEnd"/>
      <w:r w:rsidRPr="00A55C1E">
        <w:rPr>
          <w:rFonts w:ascii="Verdana" w:hAnsi="Verdana" w:cs="Tahoma"/>
          <w:lang w:val="es-ES"/>
        </w:rPr>
        <w:t xml:space="preserve"> L. Diagnóstico radiológico del paciente con COVID-19. Radiologia. [Internet]. 2021 [citado 6 Dic 2021]; 63 (1): [aprox. 17 p.] Disponible en: </w:t>
      </w:r>
      <w:hyperlink r:id="rId18" w:history="1">
        <w:r w:rsidRPr="00A55C1E">
          <w:rPr>
            <w:rStyle w:val="Hipervnculo"/>
            <w:rFonts w:ascii="Verdana" w:hAnsi="Verdana" w:cs="Tahoma"/>
            <w:lang w:val="es-ES"/>
          </w:rPr>
          <w:t>https://www.ncbi.nlm.nih.gov/pmc/articles/PMC7685043/</w:t>
        </w:r>
      </w:hyperlink>
      <w:r w:rsidRPr="00A55C1E">
        <w:rPr>
          <w:rFonts w:ascii="Verdana" w:hAnsi="Verdana" w:cs="Tahoma"/>
          <w:lang w:val="es-ES"/>
        </w:rPr>
        <w:t xml:space="preserve">  </w:t>
      </w:r>
    </w:p>
    <w:p w:rsidR="002877DF" w:rsidRPr="00A55C1E" w:rsidRDefault="002877DF" w:rsidP="00A55C1E">
      <w:pPr>
        <w:pStyle w:val="Prrafodelista"/>
        <w:numPr>
          <w:ilvl w:val="0"/>
          <w:numId w:val="2"/>
        </w:numPr>
        <w:tabs>
          <w:tab w:val="left" w:pos="927"/>
        </w:tabs>
        <w:spacing w:line="360" w:lineRule="auto"/>
        <w:jc w:val="both"/>
        <w:rPr>
          <w:rFonts w:ascii="Verdana" w:hAnsi="Verdana" w:cs="Tahoma"/>
          <w:lang w:val="es-ES"/>
        </w:rPr>
      </w:pPr>
      <w:r w:rsidRPr="00A55C1E">
        <w:rPr>
          <w:rFonts w:ascii="Verdana" w:hAnsi="Verdana" w:cs="Tahoma"/>
          <w:lang w:val="es-ES"/>
        </w:rPr>
        <w:t>Rivera J, Ayala R, Amado J. Neumonía grave de evolución tórpida en paciente joven con prueba molecular negativa para nuevo coronavirus. Rev. Fac. Med. Hum.  [Interne</w:t>
      </w:r>
      <w:r w:rsidR="0097435C" w:rsidRPr="00A55C1E">
        <w:rPr>
          <w:rFonts w:ascii="Verdana" w:hAnsi="Verdana" w:cs="Tahoma"/>
          <w:lang w:val="es-ES"/>
        </w:rPr>
        <w:t xml:space="preserve">t]. 2020 [citado 16 Nov 2021]; </w:t>
      </w:r>
      <w:r w:rsidRPr="00A55C1E">
        <w:rPr>
          <w:rFonts w:ascii="Verdana" w:hAnsi="Verdana" w:cs="Tahoma"/>
          <w:lang w:val="es-ES"/>
        </w:rPr>
        <w:t xml:space="preserve">20(4): [aprox. 8 p.]. Disponible en: </w:t>
      </w:r>
      <w:hyperlink r:id="rId19" w:history="1">
        <w:r w:rsidRPr="00A55C1E">
          <w:rPr>
            <w:rStyle w:val="Hipervnculo"/>
            <w:rFonts w:ascii="Verdana" w:hAnsi="Verdana" w:cs="Tahoma"/>
            <w:lang w:val="es-ES"/>
          </w:rPr>
          <w:t>http://www.scielo.org.pe/scielo.php?script=sci_arttext&amp;pid=S2308-05312020000400731&amp;lng=es</w:t>
        </w:r>
      </w:hyperlink>
      <w:r w:rsidRPr="00A55C1E">
        <w:rPr>
          <w:rFonts w:ascii="Verdana" w:hAnsi="Verdana" w:cs="Tahoma"/>
          <w:lang w:val="es-ES"/>
        </w:rPr>
        <w:t xml:space="preserve">. </w:t>
      </w:r>
    </w:p>
    <w:p w:rsidR="0097435C" w:rsidRPr="00A55C1E" w:rsidRDefault="0097435C" w:rsidP="00A55C1E">
      <w:pPr>
        <w:pStyle w:val="Prrafodelista"/>
        <w:numPr>
          <w:ilvl w:val="0"/>
          <w:numId w:val="2"/>
        </w:numPr>
        <w:spacing w:line="360" w:lineRule="auto"/>
        <w:jc w:val="both"/>
        <w:rPr>
          <w:rFonts w:ascii="Verdana" w:hAnsi="Verdana" w:cs="Tahoma"/>
          <w:lang w:val="es-ES"/>
        </w:rPr>
      </w:pPr>
      <w:r w:rsidRPr="00A55C1E">
        <w:rPr>
          <w:rFonts w:ascii="Verdana" w:hAnsi="Verdana" w:cs="Tahoma"/>
        </w:rPr>
        <w:t xml:space="preserve">Chen N, Zhou M, Dong X, </w:t>
      </w:r>
      <w:proofErr w:type="spellStart"/>
      <w:r w:rsidRPr="00A55C1E">
        <w:rPr>
          <w:rFonts w:ascii="Verdana" w:hAnsi="Verdana" w:cs="Tahoma"/>
        </w:rPr>
        <w:t>Qu</w:t>
      </w:r>
      <w:proofErr w:type="spellEnd"/>
      <w:r w:rsidRPr="00A55C1E">
        <w:rPr>
          <w:rFonts w:ascii="Verdana" w:hAnsi="Verdana" w:cs="Tahoma"/>
        </w:rPr>
        <w:t xml:space="preserve"> J, Gong F, Han Y et al. Epidemiological and clinical characteristics of 99 cases of 2019 novel coronavirus pneumonia in Wuhan, China: a descriptive study. </w:t>
      </w:r>
      <w:r w:rsidRPr="00A55C1E">
        <w:rPr>
          <w:rFonts w:ascii="Verdana" w:hAnsi="Verdana" w:cs="Tahoma"/>
          <w:lang w:val="es-ES"/>
        </w:rPr>
        <w:t>Lancet. [Internet]. 2020 [</w:t>
      </w:r>
      <w:r w:rsidR="00AD12B6" w:rsidRPr="00A55C1E">
        <w:rPr>
          <w:rFonts w:ascii="Verdana" w:hAnsi="Verdana" w:cs="Tahoma"/>
          <w:lang w:val="es-ES"/>
        </w:rPr>
        <w:t>citado 16 Nov 2021</w:t>
      </w:r>
      <w:r w:rsidRPr="00A55C1E">
        <w:rPr>
          <w:rFonts w:ascii="Verdana" w:hAnsi="Verdana" w:cs="Tahoma"/>
          <w:lang w:val="es-ES"/>
        </w:rPr>
        <w:t>]</w:t>
      </w:r>
      <w:proofErr w:type="gramStart"/>
      <w:r w:rsidRPr="00A55C1E">
        <w:rPr>
          <w:rFonts w:ascii="Verdana" w:hAnsi="Verdana" w:cs="Tahoma"/>
          <w:lang w:val="es-ES"/>
        </w:rPr>
        <w:t>;395</w:t>
      </w:r>
      <w:proofErr w:type="gramEnd"/>
      <w:r w:rsidRPr="00A55C1E">
        <w:rPr>
          <w:rFonts w:ascii="Verdana" w:hAnsi="Verdana" w:cs="Tahoma"/>
          <w:lang w:val="es-ES"/>
        </w:rPr>
        <w:t xml:space="preserve">(10223): [aprox. 9 p.]. Disponible en: </w:t>
      </w:r>
      <w:hyperlink r:id="rId20" w:anchor="seccestitle150" w:history="1">
        <w:r w:rsidRPr="00A55C1E">
          <w:rPr>
            <w:rStyle w:val="Hipervnculo"/>
            <w:rFonts w:ascii="Verdana" w:hAnsi="Verdana" w:cs="Tahoma"/>
            <w:lang w:val="es-ES"/>
          </w:rPr>
          <w:t>https://www.thelancet.com/journals/lancet/article/PIIS0140-6736%2820%2930211-7/fulltext#seccestitle150</w:t>
        </w:r>
      </w:hyperlink>
      <w:r w:rsidRPr="00A55C1E">
        <w:rPr>
          <w:rFonts w:ascii="Verdana" w:hAnsi="Verdana" w:cs="Tahoma"/>
          <w:lang w:val="es-ES"/>
        </w:rPr>
        <w:t xml:space="preserve">  </w:t>
      </w:r>
    </w:p>
    <w:p w:rsidR="00B13200" w:rsidRPr="00A55C1E" w:rsidRDefault="00B13200" w:rsidP="00A55C1E">
      <w:pPr>
        <w:pStyle w:val="Prrafodelista"/>
        <w:numPr>
          <w:ilvl w:val="0"/>
          <w:numId w:val="2"/>
        </w:numPr>
        <w:spacing w:line="360" w:lineRule="auto"/>
        <w:jc w:val="both"/>
        <w:rPr>
          <w:rFonts w:ascii="Verdana" w:hAnsi="Verdana" w:cs="Tahoma"/>
          <w:lang w:val="es-ES"/>
        </w:rPr>
      </w:pPr>
      <w:r w:rsidRPr="00A55C1E">
        <w:rPr>
          <w:rFonts w:ascii="Verdana" w:hAnsi="Verdana" w:cs="Tahoma"/>
          <w:lang w:val="es-ES"/>
        </w:rPr>
        <w:t xml:space="preserve">Castillo F, </w:t>
      </w:r>
      <w:proofErr w:type="spellStart"/>
      <w:r w:rsidRPr="00A55C1E">
        <w:rPr>
          <w:rFonts w:ascii="Verdana" w:hAnsi="Verdana" w:cs="Tahoma"/>
          <w:lang w:val="es-ES"/>
        </w:rPr>
        <w:t>Bazaes</w:t>
      </w:r>
      <w:proofErr w:type="spellEnd"/>
      <w:r w:rsidRPr="00A55C1E">
        <w:rPr>
          <w:rFonts w:ascii="Verdana" w:hAnsi="Verdana" w:cs="Tahoma"/>
          <w:lang w:val="es-ES"/>
        </w:rPr>
        <w:t xml:space="preserve"> D, </w:t>
      </w:r>
      <w:proofErr w:type="spellStart"/>
      <w:r w:rsidRPr="00A55C1E">
        <w:rPr>
          <w:rFonts w:ascii="Verdana" w:hAnsi="Verdana" w:cs="Tahoma"/>
          <w:lang w:val="es-ES"/>
        </w:rPr>
        <w:t>Huete</w:t>
      </w:r>
      <w:proofErr w:type="spellEnd"/>
      <w:r w:rsidRPr="00A55C1E">
        <w:rPr>
          <w:rFonts w:ascii="Verdana" w:hAnsi="Verdana" w:cs="Tahoma"/>
          <w:lang w:val="es-ES"/>
        </w:rPr>
        <w:t xml:space="preserve"> Á. Radiología en la Pandemia COVID-19: Uso actual, recomendaciones para la estructuración del informe radiológico y experiencia de nuestro departamento. Rev. chil. radiol.  [Internet]. 2020 [citado 6 Dic 2021];  26(3): [aprox. 11 p.].  Disponible en: </w:t>
      </w:r>
      <w:hyperlink r:id="rId21" w:history="1">
        <w:r w:rsidRPr="00A55C1E">
          <w:rPr>
            <w:rStyle w:val="Hipervnculo"/>
            <w:rFonts w:ascii="Verdana" w:hAnsi="Verdana" w:cs="Tahoma"/>
            <w:lang w:val="es-ES"/>
          </w:rPr>
          <w:t>http://www.scielo.cl/scielo.php?script=sci_arttext&amp;pid=S0717-93082020000300088&amp;lng=es</w:t>
        </w:r>
      </w:hyperlink>
      <w:r w:rsidRPr="00A55C1E">
        <w:rPr>
          <w:rFonts w:ascii="Verdana" w:hAnsi="Verdana" w:cs="Tahoma"/>
          <w:lang w:val="es-ES"/>
        </w:rPr>
        <w:t xml:space="preserve">. </w:t>
      </w:r>
    </w:p>
    <w:p w:rsidR="00B13200" w:rsidRPr="00A55C1E" w:rsidRDefault="00B13200" w:rsidP="00A55C1E">
      <w:pPr>
        <w:pStyle w:val="Prrafodelista"/>
        <w:numPr>
          <w:ilvl w:val="0"/>
          <w:numId w:val="2"/>
        </w:numPr>
        <w:spacing w:line="360" w:lineRule="auto"/>
        <w:jc w:val="both"/>
        <w:rPr>
          <w:rFonts w:ascii="Verdana" w:hAnsi="Verdana" w:cs="Tahoma"/>
          <w:lang w:val="es-ES"/>
        </w:rPr>
      </w:pPr>
      <w:r w:rsidRPr="00A55C1E">
        <w:rPr>
          <w:rFonts w:ascii="Verdana" w:hAnsi="Verdana" w:cs="Tahoma"/>
          <w:lang w:val="es-ES"/>
        </w:rPr>
        <w:lastRenderedPageBreak/>
        <w:t xml:space="preserve">Gonzales-Zamora JA, Quiroz T, Vega AD. Tratamiento exitoso con </w:t>
      </w:r>
      <w:proofErr w:type="spellStart"/>
      <w:r w:rsidRPr="00A55C1E">
        <w:rPr>
          <w:rFonts w:ascii="Verdana" w:hAnsi="Verdana" w:cs="Tahoma"/>
          <w:lang w:val="es-ES"/>
        </w:rPr>
        <w:t>Remdesivir</w:t>
      </w:r>
      <w:proofErr w:type="spellEnd"/>
      <w:r w:rsidRPr="00A55C1E">
        <w:rPr>
          <w:rFonts w:ascii="Verdana" w:hAnsi="Verdana" w:cs="Tahoma"/>
          <w:lang w:val="es-ES"/>
        </w:rPr>
        <w:t xml:space="preserve"> y corticoides en un paciente con neumonía asociada a COVID-19: reporte de un caso. Medwave [Internet] 2020 [citado 6 Dic 2021]; 20 (7): [aprox. 11 p.] Disponible en: https://www.medwave.cl/link.cgi/Medwave/Estudios/Casos/7998.act </w:t>
      </w:r>
    </w:p>
    <w:p w:rsidR="00A74504" w:rsidRPr="00A55C1E" w:rsidRDefault="00047E4D" w:rsidP="00A55C1E">
      <w:pPr>
        <w:pStyle w:val="Prrafodelista"/>
        <w:numPr>
          <w:ilvl w:val="0"/>
          <w:numId w:val="2"/>
        </w:numPr>
        <w:tabs>
          <w:tab w:val="left" w:pos="927"/>
        </w:tabs>
        <w:spacing w:line="360" w:lineRule="auto"/>
        <w:jc w:val="both"/>
        <w:rPr>
          <w:rFonts w:ascii="Verdana" w:hAnsi="Verdana" w:cs="Tahoma"/>
          <w:lang w:val="es-ES"/>
        </w:rPr>
      </w:pPr>
      <w:r w:rsidRPr="00A55C1E">
        <w:rPr>
          <w:rFonts w:ascii="Verdana" w:hAnsi="Verdana" w:cs="Tahoma"/>
          <w:lang w:val="es-ES"/>
        </w:rPr>
        <w:t xml:space="preserve">Aguilera-Calzadilla Y, Diaz-Morales Y, Ortiz-Díaz L, Gonzalez--Martínez O, Lovelle-Enríquez O, Sánchez-Álvarez M. Infecciones bacterianas asociadas a la COVID-19 en pacientes de una unidad de cuidados intensivos. Revista Cubana de Medicina Militar [Internet]. 2020 [citado 6 Dic 2021]; 49 (3): [aprox. 7 p.].  Disponible en: </w:t>
      </w:r>
      <w:hyperlink r:id="rId22" w:history="1">
        <w:r w:rsidRPr="00A55C1E">
          <w:rPr>
            <w:rStyle w:val="Hipervnculo"/>
            <w:rFonts w:ascii="Verdana" w:hAnsi="Verdana" w:cs="Tahoma"/>
            <w:lang w:val="es-ES"/>
          </w:rPr>
          <w:t>http://www.revmedmilitar.sld.cu/index.php/mil/article/view/793</w:t>
        </w:r>
      </w:hyperlink>
      <w:r w:rsidRPr="00A55C1E">
        <w:rPr>
          <w:rFonts w:ascii="Verdana" w:hAnsi="Verdana" w:cs="Tahoma"/>
          <w:lang w:val="es-ES"/>
        </w:rPr>
        <w:t xml:space="preserve"> </w:t>
      </w:r>
    </w:p>
    <w:p w:rsidR="00135C09" w:rsidRPr="00A55C1E" w:rsidRDefault="00B345FA" w:rsidP="00A55C1E">
      <w:pPr>
        <w:pStyle w:val="Prrafodelista"/>
        <w:numPr>
          <w:ilvl w:val="0"/>
          <w:numId w:val="2"/>
        </w:numPr>
        <w:spacing w:line="360" w:lineRule="auto"/>
        <w:jc w:val="both"/>
        <w:rPr>
          <w:rFonts w:ascii="Verdana" w:hAnsi="Verdana" w:cs="Tahoma"/>
          <w:lang w:val="es-ES"/>
        </w:rPr>
      </w:pPr>
      <w:r w:rsidRPr="00A55C1E">
        <w:rPr>
          <w:rFonts w:ascii="Verdana" w:hAnsi="Verdana" w:cs="Tahoma"/>
          <w:lang w:val="es-ES"/>
        </w:rPr>
        <w:t>Serra Valdés MÁ. Infección respiratoria aguda por COVID-19: una amenaza evidente. Rev haban cienc méd. [Internet]. 2020 [citado 6 Dic 2021]</w:t>
      </w:r>
      <w:proofErr w:type="gramStart"/>
      <w:r w:rsidRPr="00A55C1E">
        <w:rPr>
          <w:rFonts w:ascii="Verdana" w:hAnsi="Verdana" w:cs="Tahoma"/>
          <w:lang w:val="es-ES"/>
        </w:rPr>
        <w:t>;19</w:t>
      </w:r>
      <w:proofErr w:type="gramEnd"/>
      <w:r w:rsidRPr="00A55C1E">
        <w:rPr>
          <w:rFonts w:ascii="Verdana" w:hAnsi="Verdana" w:cs="Tahoma"/>
          <w:lang w:val="es-ES"/>
        </w:rPr>
        <w:t xml:space="preserve">(1): [aprox. 3 p.].  Disponible en: </w:t>
      </w:r>
      <w:hyperlink r:id="rId23" w:history="1">
        <w:r w:rsidRPr="00A55C1E">
          <w:rPr>
            <w:rFonts w:ascii="Verdana" w:hAnsi="Verdana" w:cs="Tahoma"/>
            <w:lang w:val="es-ES"/>
          </w:rPr>
          <w:t>http://scielo.sld.cu/scielo.php?script=sci_arttext&amp;pid=S1729-519X2020000100001&amp;lng=es</w:t>
        </w:r>
      </w:hyperlink>
      <w:r w:rsidR="00B13200" w:rsidRPr="00A55C1E">
        <w:rPr>
          <w:rFonts w:ascii="Verdana" w:hAnsi="Verdana" w:cs="Tahoma"/>
          <w:lang w:val="es-ES"/>
        </w:rPr>
        <w:t xml:space="preserve"> </w:t>
      </w:r>
      <w:r w:rsidRPr="00A55C1E">
        <w:rPr>
          <w:rFonts w:ascii="Verdana" w:hAnsi="Verdana" w:cs="Tahoma"/>
          <w:lang w:val="es-ES"/>
        </w:rPr>
        <w:t xml:space="preserve">  </w:t>
      </w:r>
    </w:p>
    <w:p w:rsidR="00135C09" w:rsidRPr="00A55C1E" w:rsidRDefault="00135C09" w:rsidP="00A55C1E">
      <w:pPr>
        <w:pStyle w:val="Prrafodelista"/>
        <w:numPr>
          <w:ilvl w:val="0"/>
          <w:numId w:val="2"/>
        </w:numPr>
        <w:spacing w:line="360" w:lineRule="auto"/>
        <w:jc w:val="both"/>
        <w:rPr>
          <w:rFonts w:ascii="Verdana" w:hAnsi="Verdana" w:cs="Tahoma"/>
          <w:lang w:val="es-ES"/>
        </w:rPr>
      </w:pPr>
      <w:r w:rsidRPr="00A55C1E">
        <w:rPr>
          <w:rFonts w:ascii="Verdana" w:hAnsi="Verdana" w:cs="Tahoma"/>
          <w:lang w:val="es-ES"/>
        </w:rPr>
        <w:t xml:space="preserve">Núñez-Cortés R, </w:t>
      </w:r>
      <w:proofErr w:type="spellStart"/>
      <w:r w:rsidRPr="00A55C1E">
        <w:rPr>
          <w:rFonts w:ascii="Verdana" w:hAnsi="Verdana" w:cs="Tahoma"/>
          <w:lang w:val="es-ES"/>
        </w:rPr>
        <w:t>Leyton</w:t>
      </w:r>
      <w:proofErr w:type="spellEnd"/>
      <w:r w:rsidRPr="00A55C1E">
        <w:rPr>
          <w:rFonts w:ascii="Verdana" w:hAnsi="Verdana" w:cs="Tahoma"/>
          <w:lang w:val="es-ES"/>
        </w:rPr>
        <w:t xml:space="preserve">-Quezada F, Pino María B, Costa-Costa M, Torres-Castro R. Secuelas físicas y emocionales en pacientes post hospitalización por COVID-19. Rev. méd. Chile  [Internet]. 2021  [citado  </w:t>
      </w:r>
      <w:r w:rsidR="00B174B8" w:rsidRPr="00A55C1E">
        <w:rPr>
          <w:rFonts w:ascii="Verdana" w:hAnsi="Verdana" w:cs="Tahoma"/>
          <w:lang w:val="es-ES"/>
        </w:rPr>
        <w:t>6 Dic 2021</w:t>
      </w:r>
      <w:r w:rsidRPr="00A55C1E">
        <w:rPr>
          <w:rFonts w:ascii="Verdana" w:hAnsi="Verdana" w:cs="Tahoma"/>
          <w:lang w:val="es-ES"/>
        </w:rPr>
        <w:t xml:space="preserve">];  149(7): [aprox. 6 p.].  Disponible en: </w:t>
      </w:r>
      <w:hyperlink r:id="rId24" w:history="1">
        <w:r w:rsidRPr="00A55C1E">
          <w:rPr>
            <w:rStyle w:val="Hipervnculo"/>
            <w:rFonts w:ascii="Verdana" w:hAnsi="Verdana" w:cs="Tahoma"/>
            <w:lang w:val="es-ES"/>
          </w:rPr>
          <w:t>http://www.scielo.cl/scielo.php?script=sci_arttext&amp;pid=S0034-98872021000701031&amp;lng=es</w:t>
        </w:r>
      </w:hyperlink>
      <w:r w:rsidRPr="00A55C1E">
        <w:rPr>
          <w:rFonts w:ascii="Verdana" w:hAnsi="Verdana" w:cs="Tahoma"/>
          <w:lang w:val="es-ES"/>
        </w:rPr>
        <w:t xml:space="preserve">. </w:t>
      </w:r>
    </w:p>
    <w:p w:rsidR="00FB69F4" w:rsidRPr="00A55C1E" w:rsidRDefault="0019012B" w:rsidP="00A55C1E">
      <w:pPr>
        <w:pStyle w:val="Prrafodelista"/>
        <w:numPr>
          <w:ilvl w:val="0"/>
          <w:numId w:val="2"/>
        </w:numPr>
        <w:spacing w:after="0" w:line="360" w:lineRule="auto"/>
        <w:jc w:val="both"/>
        <w:rPr>
          <w:rFonts w:ascii="Verdana" w:hAnsi="Verdana" w:cs="Tahoma"/>
          <w:lang w:val="es-ES"/>
        </w:rPr>
      </w:pPr>
      <w:r w:rsidRPr="00A55C1E">
        <w:rPr>
          <w:rFonts w:ascii="Verdana" w:hAnsi="Verdana" w:cs="Tahoma"/>
          <w:lang w:val="es-ES"/>
        </w:rPr>
        <w:t xml:space="preserve">Acosta Giancarlo EG, Bernaola </w:t>
      </w:r>
      <w:proofErr w:type="spellStart"/>
      <w:r w:rsidRPr="00A55C1E">
        <w:rPr>
          <w:rFonts w:ascii="Verdana" w:hAnsi="Verdana" w:cs="Tahoma"/>
          <w:lang w:val="es-ES"/>
        </w:rPr>
        <w:t>Gissela</w:t>
      </w:r>
      <w:proofErr w:type="spellEnd"/>
      <w:r w:rsidRPr="00A55C1E">
        <w:rPr>
          <w:rFonts w:ascii="Verdana" w:hAnsi="Verdana" w:cs="Tahoma"/>
          <w:lang w:val="es-ES"/>
        </w:rPr>
        <w:t xml:space="preserve"> AJ, Taype Waldo MC et </w:t>
      </w:r>
      <w:proofErr w:type="gramStart"/>
      <w:r w:rsidRPr="00A55C1E">
        <w:rPr>
          <w:rFonts w:ascii="Verdana" w:hAnsi="Verdana" w:cs="Tahoma"/>
          <w:lang w:val="es-ES"/>
        </w:rPr>
        <w:t>al .</w:t>
      </w:r>
      <w:proofErr w:type="gramEnd"/>
      <w:r w:rsidRPr="00A55C1E">
        <w:rPr>
          <w:rFonts w:ascii="Verdana" w:hAnsi="Verdana" w:cs="Tahoma"/>
          <w:lang w:val="es-ES"/>
        </w:rPr>
        <w:t xml:space="preserve"> Caracterización de pacientes con COVID-19 grave atendidos en un hospital de referencia nacional del Perú. Rev. </w:t>
      </w:r>
      <w:proofErr w:type="spellStart"/>
      <w:r w:rsidRPr="00A55C1E">
        <w:rPr>
          <w:rFonts w:ascii="Verdana" w:hAnsi="Verdana" w:cs="Tahoma"/>
          <w:lang w:val="es-ES"/>
        </w:rPr>
        <w:t>perú</w:t>
      </w:r>
      <w:proofErr w:type="spellEnd"/>
      <w:r w:rsidRPr="00A55C1E">
        <w:rPr>
          <w:rFonts w:ascii="Verdana" w:hAnsi="Verdana" w:cs="Tahoma"/>
          <w:lang w:val="es-ES"/>
        </w:rPr>
        <w:t xml:space="preserve">. </w:t>
      </w:r>
      <w:proofErr w:type="spellStart"/>
      <w:r w:rsidRPr="00A55C1E">
        <w:rPr>
          <w:rFonts w:ascii="Verdana" w:hAnsi="Verdana" w:cs="Tahoma"/>
          <w:lang w:val="es-ES"/>
        </w:rPr>
        <w:t>med</w:t>
      </w:r>
      <w:proofErr w:type="spellEnd"/>
      <w:r w:rsidRPr="00A55C1E">
        <w:rPr>
          <w:rFonts w:ascii="Verdana" w:hAnsi="Verdana" w:cs="Tahoma"/>
          <w:lang w:val="es-ES"/>
        </w:rPr>
        <w:t xml:space="preserve">. </w:t>
      </w:r>
      <w:proofErr w:type="spellStart"/>
      <w:r w:rsidRPr="00A55C1E">
        <w:rPr>
          <w:rFonts w:ascii="Verdana" w:hAnsi="Verdana" w:cs="Tahoma"/>
          <w:lang w:val="es-ES"/>
        </w:rPr>
        <w:t>exp</w:t>
      </w:r>
      <w:proofErr w:type="spellEnd"/>
      <w:r w:rsidRPr="00A55C1E">
        <w:rPr>
          <w:rFonts w:ascii="Verdana" w:hAnsi="Verdana" w:cs="Tahoma"/>
          <w:lang w:val="es-ES"/>
        </w:rPr>
        <w:t xml:space="preserve">. salud </w:t>
      </w:r>
      <w:proofErr w:type="gramStart"/>
      <w:r w:rsidRPr="00A55C1E">
        <w:rPr>
          <w:rFonts w:ascii="Verdana" w:hAnsi="Verdana" w:cs="Tahoma"/>
          <w:lang w:val="es-ES"/>
        </w:rPr>
        <w:t>publica</w:t>
      </w:r>
      <w:proofErr w:type="gramEnd"/>
      <w:r w:rsidRPr="00A55C1E">
        <w:rPr>
          <w:rFonts w:ascii="Verdana" w:hAnsi="Verdana" w:cs="Tahoma"/>
          <w:lang w:val="es-ES"/>
        </w:rPr>
        <w:t xml:space="preserve"> [Internet]. 2020</w:t>
      </w:r>
      <w:r w:rsidR="00F6155B" w:rsidRPr="00A55C1E">
        <w:rPr>
          <w:rFonts w:ascii="Verdana" w:hAnsi="Verdana" w:cs="Tahoma"/>
          <w:lang w:val="es-ES"/>
        </w:rPr>
        <w:t xml:space="preserve"> [citado</w:t>
      </w:r>
      <w:r w:rsidRPr="00A55C1E">
        <w:rPr>
          <w:rFonts w:ascii="Verdana" w:hAnsi="Verdana" w:cs="Tahoma"/>
          <w:lang w:val="es-ES"/>
        </w:rPr>
        <w:t xml:space="preserve"> 6 Dic 2021];  37(2): [aprox. 7 p.].   Disponible en: </w:t>
      </w:r>
      <w:hyperlink r:id="rId25" w:history="1">
        <w:r w:rsidRPr="00A55C1E">
          <w:rPr>
            <w:rStyle w:val="Hipervnculo"/>
            <w:rFonts w:ascii="Verdana" w:hAnsi="Verdana" w:cs="Tahoma"/>
            <w:lang w:val="es-ES"/>
          </w:rPr>
          <w:t>http://www.scielo.org.pe/scielo.php?script=sci_arttext&amp;pid=S1726-46342020000200253&amp;lng=es</w:t>
        </w:r>
      </w:hyperlink>
      <w:r w:rsidRPr="00A55C1E">
        <w:rPr>
          <w:rFonts w:ascii="Verdana" w:hAnsi="Verdana" w:cs="Tahoma"/>
          <w:lang w:val="es-ES"/>
        </w:rPr>
        <w:t xml:space="preserve"> </w:t>
      </w:r>
    </w:p>
    <w:p w:rsidR="00F6155B" w:rsidRPr="00A55C1E" w:rsidRDefault="00FB69F4" w:rsidP="00A55C1E">
      <w:pPr>
        <w:pStyle w:val="Prrafodelista"/>
        <w:numPr>
          <w:ilvl w:val="0"/>
          <w:numId w:val="2"/>
        </w:numPr>
        <w:spacing w:after="0" w:line="360" w:lineRule="auto"/>
        <w:jc w:val="both"/>
        <w:rPr>
          <w:rFonts w:ascii="Verdana" w:hAnsi="Verdana" w:cs="Tahoma"/>
          <w:lang w:val="es-ES"/>
        </w:rPr>
      </w:pPr>
      <w:r w:rsidRPr="00A55C1E">
        <w:rPr>
          <w:rFonts w:ascii="Verdana" w:hAnsi="Verdana" w:cs="Tahoma"/>
          <w:lang w:val="es-ES"/>
        </w:rPr>
        <w:t xml:space="preserve">Madrigal Rojas JP, Quesada </w:t>
      </w:r>
      <w:proofErr w:type="spellStart"/>
      <w:r w:rsidRPr="00A55C1E">
        <w:rPr>
          <w:rFonts w:ascii="Verdana" w:hAnsi="Verdana" w:cs="Tahoma"/>
          <w:lang w:val="es-ES"/>
        </w:rPr>
        <w:t>Loría</w:t>
      </w:r>
      <w:proofErr w:type="spellEnd"/>
      <w:r w:rsidRPr="00A55C1E">
        <w:rPr>
          <w:rFonts w:ascii="Verdana" w:hAnsi="Verdana" w:cs="Tahoma"/>
          <w:lang w:val="es-ES"/>
        </w:rPr>
        <w:t xml:space="preserve"> M, García Sánchez M, Solano Chinchilla A. SARS CoV-2, manifestaciones clínicas y consideraciones en el abordaje diagnóstico de COVID-19. Revista Médica de Costa Rica</w:t>
      </w:r>
      <w:r w:rsidR="00F6155B" w:rsidRPr="00A55C1E">
        <w:rPr>
          <w:rFonts w:ascii="Verdana" w:hAnsi="Verdana" w:cs="Tahoma"/>
          <w:lang w:val="es-ES"/>
        </w:rPr>
        <w:t xml:space="preserve"> </w:t>
      </w:r>
      <w:r w:rsidRPr="00A55C1E">
        <w:rPr>
          <w:rFonts w:ascii="Verdana" w:hAnsi="Verdana" w:cs="Tahoma"/>
          <w:lang w:val="es-ES"/>
        </w:rPr>
        <w:t>[Internet].  2020 [</w:t>
      </w:r>
      <w:r w:rsidR="00F6155B" w:rsidRPr="00A55C1E">
        <w:rPr>
          <w:rFonts w:ascii="Verdana" w:hAnsi="Verdana" w:cs="Tahoma"/>
          <w:lang w:val="es-ES"/>
        </w:rPr>
        <w:t xml:space="preserve">citado </w:t>
      </w:r>
      <w:r w:rsidRPr="00A55C1E">
        <w:rPr>
          <w:rFonts w:ascii="Verdana" w:hAnsi="Verdana" w:cs="Tahoma"/>
          <w:lang w:val="es-ES"/>
        </w:rPr>
        <w:t>6 Dic 2021]</w:t>
      </w:r>
      <w:proofErr w:type="gramStart"/>
      <w:r w:rsidRPr="00A55C1E">
        <w:rPr>
          <w:rFonts w:ascii="Verdana" w:hAnsi="Verdana" w:cs="Tahoma"/>
          <w:lang w:val="es-ES"/>
        </w:rPr>
        <w:t>;85</w:t>
      </w:r>
      <w:proofErr w:type="gramEnd"/>
      <w:r w:rsidRPr="00A55C1E">
        <w:rPr>
          <w:rFonts w:ascii="Verdana" w:hAnsi="Verdana" w:cs="Tahoma"/>
          <w:lang w:val="es-ES"/>
        </w:rPr>
        <w:t xml:space="preserve">(629):[aprox. 3 p.]. Disponible en: </w:t>
      </w:r>
      <w:hyperlink r:id="rId26" w:history="1">
        <w:r w:rsidRPr="00A55C1E">
          <w:rPr>
            <w:rStyle w:val="Hipervnculo"/>
            <w:rFonts w:ascii="Verdana" w:hAnsi="Verdana" w:cs="Tahoma"/>
            <w:lang w:val="es-ES"/>
          </w:rPr>
          <w:t>http://www.revistamedicacr.com/index.php/rmcr/article/viewFile/287/264</w:t>
        </w:r>
      </w:hyperlink>
      <w:r w:rsidRPr="00A55C1E">
        <w:rPr>
          <w:rFonts w:ascii="Verdana" w:hAnsi="Verdana" w:cs="Tahoma"/>
          <w:lang w:val="es-ES"/>
        </w:rPr>
        <w:t xml:space="preserve"> </w:t>
      </w:r>
    </w:p>
    <w:p w:rsidR="005B105B" w:rsidRPr="00A55C1E" w:rsidRDefault="00F6155B" w:rsidP="00A55C1E">
      <w:pPr>
        <w:pStyle w:val="Prrafodelista"/>
        <w:numPr>
          <w:ilvl w:val="0"/>
          <w:numId w:val="2"/>
        </w:numPr>
        <w:spacing w:after="0" w:line="360" w:lineRule="auto"/>
        <w:jc w:val="both"/>
        <w:rPr>
          <w:rFonts w:ascii="Verdana" w:hAnsi="Verdana" w:cs="Tahoma"/>
          <w:lang w:val="es-ES"/>
        </w:rPr>
      </w:pPr>
      <w:proofErr w:type="spellStart"/>
      <w:r w:rsidRPr="00A55C1E">
        <w:rPr>
          <w:rFonts w:ascii="Verdana" w:hAnsi="Verdana" w:cs="Tahoma"/>
          <w:lang w:val="es-ES"/>
        </w:rPr>
        <w:lastRenderedPageBreak/>
        <w:t>Huaroto</w:t>
      </w:r>
      <w:proofErr w:type="spellEnd"/>
      <w:r w:rsidRPr="00A55C1E">
        <w:rPr>
          <w:rFonts w:ascii="Verdana" w:hAnsi="Verdana" w:cs="Tahoma"/>
          <w:lang w:val="es-ES"/>
        </w:rPr>
        <w:t xml:space="preserve"> F, Reyes N, Huamán K, Bonilla C, </w:t>
      </w:r>
      <w:proofErr w:type="spellStart"/>
      <w:r w:rsidRPr="00A55C1E">
        <w:rPr>
          <w:rFonts w:ascii="Verdana" w:hAnsi="Verdana" w:cs="Tahoma"/>
          <w:lang w:val="es-ES"/>
        </w:rPr>
        <w:t>Curisinche</w:t>
      </w:r>
      <w:proofErr w:type="spellEnd"/>
      <w:r w:rsidRPr="00A55C1E">
        <w:rPr>
          <w:rFonts w:ascii="Verdana" w:hAnsi="Verdana" w:cs="Tahoma"/>
          <w:lang w:val="es-ES"/>
        </w:rPr>
        <w:t xml:space="preserve"> Rojas M, Carmona G, et al. Intervenciones farmacológicas para el tratamiento de la Enfermedad por Coronavirus (COVID-19). An. Fac. med.  [Internet]. 2020 [citado 6 Dic 2021]</w:t>
      </w:r>
      <w:proofErr w:type="gramStart"/>
      <w:r w:rsidRPr="00A55C1E">
        <w:rPr>
          <w:rFonts w:ascii="Verdana" w:hAnsi="Verdana" w:cs="Tahoma"/>
          <w:lang w:val="es-ES"/>
        </w:rPr>
        <w:t>;81</w:t>
      </w:r>
      <w:proofErr w:type="gramEnd"/>
      <w:r w:rsidRPr="00A55C1E">
        <w:rPr>
          <w:rFonts w:ascii="Verdana" w:hAnsi="Verdana" w:cs="Tahoma"/>
          <w:lang w:val="es-ES"/>
        </w:rPr>
        <w:t xml:space="preserve">(1): [aprox. 8 p.].Disponible en: </w:t>
      </w:r>
      <w:hyperlink r:id="rId27" w:history="1">
        <w:r w:rsidRPr="00A55C1E">
          <w:rPr>
            <w:rFonts w:ascii="Verdana" w:hAnsi="Verdana" w:cs="Tahoma"/>
            <w:lang w:val="es-ES"/>
          </w:rPr>
          <w:t>http://www.scielo.org.pe/scielo.php?script=sci_arttext&amp;pid=S1025-55832020000100071&amp;lng=es</w:t>
        </w:r>
      </w:hyperlink>
      <w:r w:rsidRPr="00A55C1E">
        <w:rPr>
          <w:rFonts w:ascii="Verdana" w:hAnsi="Verdana" w:cs="Tahoma"/>
          <w:lang w:val="es-ES"/>
        </w:rPr>
        <w:t xml:space="preserve">.  </w:t>
      </w:r>
    </w:p>
    <w:p w:rsidR="001E5A60" w:rsidRPr="00A55C1E" w:rsidRDefault="001E5A60" w:rsidP="00A55C1E">
      <w:pPr>
        <w:pStyle w:val="Prrafodelista"/>
        <w:numPr>
          <w:ilvl w:val="0"/>
          <w:numId w:val="2"/>
        </w:numPr>
        <w:spacing w:after="0" w:line="360" w:lineRule="auto"/>
        <w:jc w:val="both"/>
        <w:rPr>
          <w:rFonts w:ascii="Verdana" w:hAnsi="Verdana" w:cs="Tahoma"/>
          <w:lang w:val="es-ES"/>
        </w:rPr>
      </w:pPr>
      <w:r w:rsidRPr="00A55C1E">
        <w:rPr>
          <w:rFonts w:ascii="Verdana" w:hAnsi="Verdana" w:cs="Tahoma"/>
          <w:lang w:val="es-ES"/>
        </w:rPr>
        <w:t xml:space="preserve">Bouza E, Cantón Moreno R, De Lucas Ramos P, García-Botella A, et al. </w:t>
      </w:r>
      <w:r w:rsidRPr="00A55C1E">
        <w:rPr>
          <w:rFonts w:ascii="Verdana" w:hAnsi="Verdana" w:cs="Tahoma"/>
        </w:rPr>
        <w:t xml:space="preserve">Post-COVID syndrome: A reflection and opinion paper. Rev </w:t>
      </w:r>
      <w:proofErr w:type="spellStart"/>
      <w:proofErr w:type="gramStart"/>
      <w:r w:rsidRPr="00A55C1E">
        <w:rPr>
          <w:rFonts w:ascii="Verdana" w:hAnsi="Verdana" w:cs="Tahoma"/>
        </w:rPr>
        <w:t>Esp</w:t>
      </w:r>
      <w:proofErr w:type="spellEnd"/>
      <w:proofErr w:type="gramEnd"/>
      <w:r w:rsidRPr="00A55C1E">
        <w:rPr>
          <w:rFonts w:ascii="Verdana" w:hAnsi="Verdana" w:cs="Tahoma"/>
        </w:rPr>
        <w:t xml:space="preserve"> </w:t>
      </w:r>
      <w:proofErr w:type="spellStart"/>
      <w:r w:rsidRPr="00A55C1E">
        <w:rPr>
          <w:rFonts w:ascii="Verdana" w:hAnsi="Verdana" w:cs="Tahoma"/>
        </w:rPr>
        <w:t>Quimioter</w:t>
      </w:r>
      <w:proofErr w:type="spellEnd"/>
      <w:r w:rsidRPr="00A55C1E">
        <w:rPr>
          <w:rFonts w:ascii="Verdana" w:hAnsi="Verdana" w:cs="Tahoma"/>
        </w:rPr>
        <w:t xml:space="preserve"> [Internet]. </w:t>
      </w:r>
      <w:r w:rsidRPr="00A55C1E">
        <w:rPr>
          <w:rFonts w:ascii="Verdana" w:hAnsi="Verdana" w:cs="Tahoma"/>
          <w:lang w:val="es-ES"/>
        </w:rPr>
        <w:t xml:space="preserve">2021 [citado 6 Dic 2021]; 34(4): [aprox. 12 p.] Disponible en: </w:t>
      </w:r>
      <w:hyperlink r:id="rId28" w:history="1">
        <w:r w:rsidRPr="00A55C1E">
          <w:rPr>
            <w:rStyle w:val="Hipervnculo"/>
            <w:rFonts w:ascii="Verdana" w:hAnsi="Verdana" w:cs="Tahoma"/>
            <w:lang w:val="es-ES"/>
          </w:rPr>
          <w:t>https://www.ncbi.nlm.nih.gov/pmc/articles/PMC8329562/</w:t>
        </w:r>
      </w:hyperlink>
      <w:r w:rsidRPr="00A55C1E">
        <w:rPr>
          <w:rFonts w:ascii="Verdana" w:hAnsi="Verdana" w:cs="Tahoma"/>
          <w:lang w:val="es-ES"/>
        </w:rPr>
        <w:t xml:space="preserve"> </w:t>
      </w:r>
    </w:p>
    <w:p w:rsidR="00B13200" w:rsidRPr="00A55C1E" w:rsidRDefault="00DB312F" w:rsidP="00A55C1E">
      <w:pPr>
        <w:pStyle w:val="Prrafodelista"/>
        <w:numPr>
          <w:ilvl w:val="0"/>
          <w:numId w:val="2"/>
        </w:numPr>
        <w:spacing w:after="0" w:line="360" w:lineRule="auto"/>
        <w:jc w:val="both"/>
        <w:rPr>
          <w:rFonts w:ascii="Verdana" w:hAnsi="Verdana" w:cs="Tahoma"/>
          <w:lang w:val="es-ES"/>
        </w:rPr>
      </w:pPr>
      <w:r w:rsidRPr="00A55C1E">
        <w:rPr>
          <w:rFonts w:ascii="Verdana" w:hAnsi="Verdana" w:cs="Tahoma"/>
          <w:lang w:val="es-ES"/>
        </w:rPr>
        <w:t xml:space="preserve">Escobar G, </w:t>
      </w:r>
      <w:proofErr w:type="spellStart"/>
      <w:r w:rsidRPr="00A55C1E">
        <w:rPr>
          <w:rFonts w:ascii="Verdana" w:hAnsi="Verdana" w:cs="Tahoma"/>
          <w:lang w:val="es-ES"/>
        </w:rPr>
        <w:t>Matta</w:t>
      </w:r>
      <w:proofErr w:type="spellEnd"/>
      <w:r w:rsidRPr="00A55C1E">
        <w:rPr>
          <w:rFonts w:ascii="Verdana" w:hAnsi="Verdana" w:cs="Tahoma"/>
          <w:lang w:val="es-ES"/>
        </w:rPr>
        <w:t xml:space="preserve"> J, Ayala R, Amado J. Características clínico epidemiológicas de pacientes fallecidos por covid-19 en un hospital nacional de Lima, Perú. Rev. Fac. Med. Hum. [Internet]. 2020 [</w:t>
      </w:r>
      <w:r w:rsidR="00310A6A" w:rsidRPr="00A55C1E">
        <w:rPr>
          <w:rFonts w:ascii="Verdana" w:hAnsi="Verdana" w:cs="Tahoma"/>
          <w:lang w:val="es-ES"/>
        </w:rPr>
        <w:t>citado 6 Dic 2021</w:t>
      </w:r>
      <w:r w:rsidRPr="00A55C1E">
        <w:rPr>
          <w:rFonts w:ascii="Verdana" w:hAnsi="Verdana" w:cs="Tahoma"/>
          <w:lang w:val="es-ES"/>
        </w:rPr>
        <w:t>]</w:t>
      </w:r>
      <w:proofErr w:type="gramStart"/>
      <w:r w:rsidRPr="00A55C1E">
        <w:rPr>
          <w:rFonts w:ascii="Verdana" w:hAnsi="Verdana" w:cs="Tahoma"/>
          <w:lang w:val="es-ES"/>
        </w:rPr>
        <w:t>;20</w:t>
      </w:r>
      <w:proofErr w:type="gramEnd"/>
      <w:r w:rsidRPr="00A55C1E">
        <w:rPr>
          <w:rFonts w:ascii="Verdana" w:hAnsi="Verdana" w:cs="Tahoma"/>
          <w:lang w:val="es-ES"/>
        </w:rPr>
        <w:t>(2):</w:t>
      </w:r>
      <w:r w:rsidR="00310A6A" w:rsidRPr="00A55C1E">
        <w:rPr>
          <w:rFonts w:ascii="Verdana" w:hAnsi="Verdana" w:cs="Tahoma"/>
          <w:lang w:val="es-ES"/>
        </w:rPr>
        <w:t xml:space="preserve"> [aprox. 5 p.]. </w:t>
      </w:r>
      <w:r w:rsidRPr="00A55C1E">
        <w:rPr>
          <w:rFonts w:ascii="Verdana" w:hAnsi="Verdana" w:cs="Tahoma"/>
          <w:lang w:val="es-ES"/>
        </w:rPr>
        <w:t xml:space="preserve">Disponible en: </w:t>
      </w:r>
      <w:hyperlink r:id="rId29" w:history="1">
        <w:r w:rsidRPr="00A55C1E">
          <w:rPr>
            <w:rStyle w:val="Hipervnculo"/>
            <w:rFonts w:ascii="Verdana" w:hAnsi="Verdana" w:cs="Tahoma"/>
            <w:lang w:val="es-ES"/>
          </w:rPr>
          <w:t>http://www.scielo.org.pe/scielo.php?script=sci_arttext&amp;pid=S2308-05312020000200180&amp;lng=es.http://dx.doi.org/10.25176/rfmh.v20i2.2940</w:t>
        </w:r>
      </w:hyperlink>
      <w:r w:rsidRPr="00A55C1E">
        <w:rPr>
          <w:rFonts w:ascii="Verdana" w:hAnsi="Verdana" w:cs="Tahoma"/>
          <w:lang w:val="es-ES"/>
        </w:rPr>
        <w:t xml:space="preserve"> </w:t>
      </w:r>
    </w:p>
    <w:p w:rsidR="00CE49E6" w:rsidRPr="00A55C1E" w:rsidRDefault="00CE49E6" w:rsidP="00A55C1E">
      <w:pPr>
        <w:pStyle w:val="Prrafodelista"/>
        <w:numPr>
          <w:ilvl w:val="0"/>
          <w:numId w:val="2"/>
        </w:numPr>
        <w:spacing w:after="0" w:line="360" w:lineRule="auto"/>
        <w:jc w:val="both"/>
        <w:rPr>
          <w:rFonts w:ascii="Verdana" w:hAnsi="Verdana" w:cs="Tahoma"/>
          <w:lang w:val="es-ES"/>
        </w:rPr>
      </w:pPr>
      <w:proofErr w:type="spellStart"/>
      <w:r w:rsidRPr="00A55C1E">
        <w:rPr>
          <w:rFonts w:ascii="Verdana" w:hAnsi="Verdana" w:cs="Tahoma"/>
        </w:rPr>
        <w:t>Xu</w:t>
      </w:r>
      <w:proofErr w:type="spellEnd"/>
      <w:r w:rsidRPr="00A55C1E">
        <w:rPr>
          <w:rFonts w:ascii="Verdana" w:hAnsi="Verdana" w:cs="Tahoma"/>
        </w:rPr>
        <w:t xml:space="preserve"> X, Yu C, </w:t>
      </w:r>
      <w:proofErr w:type="spellStart"/>
      <w:r w:rsidRPr="00A55C1E">
        <w:rPr>
          <w:rFonts w:ascii="Verdana" w:hAnsi="Verdana" w:cs="Tahoma"/>
        </w:rPr>
        <w:t>Qu</w:t>
      </w:r>
      <w:proofErr w:type="spellEnd"/>
      <w:r w:rsidRPr="00A55C1E">
        <w:rPr>
          <w:rFonts w:ascii="Verdana" w:hAnsi="Verdana" w:cs="Tahoma"/>
        </w:rPr>
        <w:t xml:space="preserve"> J, Zhang L, Jiang S, Huang D, et al. Imaging and clinical features of patients with 2019 novel coronavirus SARS-CoV-2. </w:t>
      </w:r>
      <w:r w:rsidRPr="00A55C1E">
        <w:rPr>
          <w:rFonts w:ascii="Verdana" w:hAnsi="Verdana" w:cs="Tahoma"/>
          <w:lang w:val="es-ES"/>
        </w:rPr>
        <w:t xml:space="preserve">Eur J Nucl Med Mol Imaging [Internet]. </w:t>
      </w:r>
      <w:r w:rsidR="00A10B90" w:rsidRPr="00A55C1E">
        <w:rPr>
          <w:rFonts w:ascii="Verdana" w:hAnsi="Verdana" w:cs="Tahoma"/>
          <w:lang w:val="es-ES"/>
        </w:rPr>
        <w:t xml:space="preserve"> 2020 [citado 6 Dic 2021];</w:t>
      </w:r>
      <w:r w:rsidRPr="00A55C1E">
        <w:rPr>
          <w:rFonts w:ascii="Verdana" w:hAnsi="Verdana" w:cs="Tahoma"/>
          <w:lang w:val="es-ES"/>
        </w:rPr>
        <w:t xml:space="preserve"> 47(5):</w:t>
      </w:r>
      <w:r w:rsidR="00A10B90" w:rsidRPr="00A55C1E">
        <w:rPr>
          <w:rFonts w:ascii="Verdana" w:hAnsi="Verdana" w:cs="Tahoma"/>
          <w:lang w:val="es-ES"/>
        </w:rPr>
        <w:t xml:space="preserve"> [aprox. 5 p.]</w:t>
      </w:r>
      <w:r w:rsidRPr="00A55C1E">
        <w:rPr>
          <w:rFonts w:ascii="Verdana" w:hAnsi="Verdana" w:cs="Tahoma"/>
          <w:lang w:val="es-ES"/>
        </w:rPr>
        <w:t xml:space="preserve">. Disponible en: </w:t>
      </w:r>
      <w:hyperlink r:id="rId30" w:history="1">
        <w:r w:rsidR="00A10B90" w:rsidRPr="00A55C1E">
          <w:rPr>
            <w:rStyle w:val="Hipervnculo"/>
            <w:rFonts w:ascii="Verdana" w:hAnsi="Verdana" w:cs="Tahoma"/>
            <w:lang w:val="es-ES"/>
          </w:rPr>
          <w:t>https://doi.org/10.1007/s00259-020-04735-9</w:t>
        </w:r>
      </w:hyperlink>
      <w:r w:rsidR="00A10B90" w:rsidRPr="00A55C1E">
        <w:rPr>
          <w:rFonts w:ascii="Verdana" w:hAnsi="Verdana" w:cs="Tahoma"/>
          <w:lang w:val="es-ES"/>
        </w:rPr>
        <w:t xml:space="preserve"> </w:t>
      </w:r>
    </w:p>
    <w:p w:rsidR="00CE49E6" w:rsidRPr="00A55C1E" w:rsidRDefault="00CE49E6" w:rsidP="00A55C1E">
      <w:pPr>
        <w:pStyle w:val="Prrafodelista"/>
        <w:numPr>
          <w:ilvl w:val="0"/>
          <w:numId w:val="2"/>
        </w:numPr>
        <w:spacing w:after="0" w:line="360" w:lineRule="auto"/>
        <w:jc w:val="both"/>
        <w:rPr>
          <w:rFonts w:ascii="Verdana" w:hAnsi="Verdana" w:cs="Tahoma"/>
        </w:rPr>
      </w:pPr>
      <w:r w:rsidRPr="00A55C1E">
        <w:rPr>
          <w:rFonts w:ascii="Verdana" w:hAnsi="Verdana" w:cs="Tahoma"/>
        </w:rPr>
        <w:t xml:space="preserve">Chen X, Liu S, Zhang C, </w:t>
      </w:r>
      <w:proofErr w:type="spellStart"/>
      <w:r w:rsidRPr="00A55C1E">
        <w:rPr>
          <w:rFonts w:ascii="Verdana" w:hAnsi="Verdana" w:cs="Tahoma"/>
        </w:rPr>
        <w:t>Pu</w:t>
      </w:r>
      <w:proofErr w:type="spellEnd"/>
      <w:r w:rsidRPr="00A55C1E">
        <w:rPr>
          <w:rFonts w:ascii="Verdana" w:hAnsi="Verdana" w:cs="Tahoma"/>
        </w:rPr>
        <w:t xml:space="preserve"> G, Sun J, </w:t>
      </w:r>
      <w:proofErr w:type="spellStart"/>
      <w:r w:rsidRPr="00A55C1E">
        <w:rPr>
          <w:rFonts w:ascii="Verdana" w:hAnsi="Verdana" w:cs="Tahoma"/>
        </w:rPr>
        <w:t>Shen</w:t>
      </w:r>
      <w:proofErr w:type="spellEnd"/>
      <w:r w:rsidRPr="00A55C1E">
        <w:rPr>
          <w:rFonts w:ascii="Verdana" w:hAnsi="Verdana" w:cs="Tahoma"/>
        </w:rPr>
        <w:t xml:space="preserve"> J, et al. Dynamic Chest CT Evaluation in Three Cases of 2019 Novel Coron</w:t>
      </w:r>
      <w:r w:rsidR="00DF1FEF" w:rsidRPr="00A55C1E">
        <w:rPr>
          <w:rFonts w:ascii="Verdana" w:hAnsi="Verdana" w:cs="Tahoma"/>
        </w:rPr>
        <w:t xml:space="preserve">avirus Pneumonia. Arch Iran Med [Internet]. </w:t>
      </w:r>
      <w:r w:rsidRPr="00A55C1E">
        <w:rPr>
          <w:rFonts w:ascii="Verdana" w:hAnsi="Verdana" w:cs="Tahoma"/>
        </w:rPr>
        <w:t xml:space="preserve"> 2020</w:t>
      </w:r>
      <w:r w:rsidR="00DF1FEF" w:rsidRPr="00A55C1E">
        <w:rPr>
          <w:rFonts w:ascii="Verdana" w:hAnsi="Verdana" w:cs="Tahoma"/>
        </w:rPr>
        <w:t xml:space="preserve"> [citado 6 </w:t>
      </w:r>
      <w:proofErr w:type="spellStart"/>
      <w:r w:rsidR="00DF1FEF" w:rsidRPr="00A55C1E">
        <w:rPr>
          <w:rFonts w:ascii="Verdana" w:hAnsi="Verdana" w:cs="Tahoma"/>
        </w:rPr>
        <w:t>Dic</w:t>
      </w:r>
      <w:proofErr w:type="spellEnd"/>
      <w:r w:rsidR="00DF1FEF" w:rsidRPr="00A55C1E">
        <w:rPr>
          <w:rFonts w:ascii="Verdana" w:hAnsi="Verdana" w:cs="Tahoma"/>
        </w:rPr>
        <w:t xml:space="preserve"> 2021]</w:t>
      </w:r>
      <w:proofErr w:type="gramStart"/>
      <w:r w:rsidRPr="00A55C1E">
        <w:rPr>
          <w:rFonts w:ascii="Verdana" w:hAnsi="Verdana" w:cs="Tahoma"/>
        </w:rPr>
        <w:t>;23</w:t>
      </w:r>
      <w:proofErr w:type="gramEnd"/>
      <w:r w:rsidRPr="00A55C1E">
        <w:rPr>
          <w:rFonts w:ascii="Verdana" w:hAnsi="Verdana" w:cs="Tahoma"/>
        </w:rPr>
        <w:t>(4):</w:t>
      </w:r>
      <w:r w:rsidR="00DF1FEF" w:rsidRPr="00A55C1E">
        <w:rPr>
          <w:rFonts w:ascii="Verdana" w:hAnsi="Verdana" w:cs="Tahoma"/>
        </w:rPr>
        <w:t xml:space="preserve"> [aprox. 4 p.].</w:t>
      </w:r>
      <w:r w:rsidRPr="00A55C1E">
        <w:rPr>
          <w:rFonts w:ascii="Verdana" w:hAnsi="Verdana" w:cs="Tahoma"/>
        </w:rPr>
        <w:t xml:space="preserve"> Disponible en: https://doi.org/10.34172/aim.2020.11 </w:t>
      </w:r>
    </w:p>
    <w:p w:rsidR="00CE49E6" w:rsidRPr="00A55C1E" w:rsidRDefault="00CE49E6" w:rsidP="00A55C1E">
      <w:pPr>
        <w:pStyle w:val="Prrafodelista"/>
        <w:numPr>
          <w:ilvl w:val="0"/>
          <w:numId w:val="2"/>
        </w:numPr>
        <w:spacing w:after="0" w:line="360" w:lineRule="auto"/>
        <w:jc w:val="both"/>
        <w:rPr>
          <w:rFonts w:ascii="Verdana" w:hAnsi="Verdana" w:cs="Tahoma"/>
        </w:rPr>
      </w:pPr>
      <w:r w:rsidRPr="00A55C1E">
        <w:rPr>
          <w:rFonts w:ascii="Verdana" w:hAnsi="Verdana" w:cs="Tahoma"/>
        </w:rPr>
        <w:t xml:space="preserve">Chin TW, Lo C, </w:t>
      </w:r>
      <w:proofErr w:type="spellStart"/>
      <w:r w:rsidRPr="00A55C1E">
        <w:rPr>
          <w:rFonts w:ascii="Verdana" w:hAnsi="Verdana" w:cs="Tahoma"/>
        </w:rPr>
        <w:t>Lui</w:t>
      </w:r>
      <w:proofErr w:type="spellEnd"/>
      <w:r w:rsidRPr="00A55C1E">
        <w:rPr>
          <w:rFonts w:ascii="Verdana" w:hAnsi="Verdana" w:cs="Tahoma"/>
        </w:rPr>
        <w:t xml:space="preserve"> MM, Lee J, Chiu KW, Chung TW, et al. Frequency and Distribution of Chest Radiographic Findings in Patients Positive for COVID-19. Radiology.</w:t>
      </w:r>
      <w:r w:rsidR="000D299E" w:rsidRPr="00A55C1E">
        <w:rPr>
          <w:rFonts w:ascii="Verdana" w:hAnsi="Verdana" w:cs="Tahoma"/>
        </w:rPr>
        <w:t xml:space="preserve"> [Internet].  </w:t>
      </w:r>
      <w:r w:rsidRPr="00A55C1E">
        <w:rPr>
          <w:rFonts w:ascii="Verdana" w:hAnsi="Verdana" w:cs="Tahoma"/>
        </w:rPr>
        <w:t xml:space="preserve"> 2020</w:t>
      </w:r>
      <w:r w:rsidR="000D299E" w:rsidRPr="00A55C1E">
        <w:rPr>
          <w:rFonts w:ascii="Verdana" w:hAnsi="Verdana" w:cs="Tahoma"/>
        </w:rPr>
        <w:t xml:space="preserve"> [citado 6 </w:t>
      </w:r>
      <w:proofErr w:type="spellStart"/>
      <w:r w:rsidR="000D299E" w:rsidRPr="00A55C1E">
        <w:rPr>
          <w:rFonts w:ascii="Verdana" w:hAnsi="Verdana" w:cs="Tahoma"/>
        </w:rPr>
        <w:t>Dic</w:t>
      </w:r>
      <w:proofErr w:type="spellEnd"/>
      <w:r w:rsidR="000D299E" w:rsidRPr="00A55C1E">
        <w:rPr>
          <w:rFonts w:ascii="Verdana" w:hAnsi="Verdana" w:cs="Tahoma"/>
        </w:rPr>
        <w:t xml:space="preserve"> 2021]</w:t>
      </w:r>
      <w:proofErr w:type="gramStart"/>
      <w:r w:rsidRPr="00A55C1E">
        <w:rPr>
          <w:rFonts w:ascii="Verdana" w:hAnsi="Verdana" w:cs="Tahoma"/>
        </w:rPr>
        <w:t>;296</w:t>
      </w:r>
      <w:proofErr w:type="gramEnd"/>
      <w:r w:rsidRPr="00A55C1E">
        <w:rPr>
          <w:rFonts w:ascii="Verdana" w:hAnsi="Verdana" w:cs="Tahoma"/>
        </w:rPr>
        <w:t>(2):</w:t>
      </w:r>
      <w:r w:rsidR="000D299E" w:rsidRPr="00A55C1E">
        <w:rPr>
          <w:rFonts w:ascii="Verdana" w:hAnsi="Verdana" w:cs="Tahoma"/>
        </w:rPr>
        <w:t xml:space="preserve"> [aprox. 6 p.]. </w:t>
      </w:r>
      <w:r w:rsidRPr="00A55C1E">
        <w:rPr>
          <w:rFonts w:ascii="Verdana" w:hAnsi="Verdana" w:cs="Tahoma"/>
        </w:rPr>
        <w:t xml:space="preserve">Disponible en: </w:t>
      </w:r>
      <w:hyperlink r:id="rId31" w:history="1">
        <w:r w:rsidR="000D299E" w:rsidRPr="00A55C1E">
          <w:rPr>
            <w:rStyle w:val="Hipervnculo"/>
            <w:rFonts w:ascii="Verdana" w:hAnsi="Verdana" w:cs="Tahoma"/>
          </w:rPr>
          <w:t>https://doi.org/10.1148/radiol.2020201160</w:t>
        </w:r>
      </w:hyperlink>
      <w:r w:rsidRPr="00A55C1E">
        <w:rPr>
          <w:rFonts w:ascii="Verdana" w:hAnsi="Verdana" w:cs="Tahoma"/>
        </w:rPr>
        <w:t>.</w:t>
      </w:r>
      <w:r w:rsidR="000D299E" w:rsidRPr="00A55C1E">
        <w:rPr>
          <w:rFonts w:ascii="Verdana" w:hAnsi="Verdana" w:cs="Tahoma"/>
        </w:rPr>
        <w:t xml:space="preserve"> </w:t>
      </w:r>
    </w:p>
    <w:p w:rsidR="00CE49E6" w:rsidRPr="00A55C1E" w:rsidRDefault="00CE49E6" w:rsidP="00A55C1E">
      <w:pPr>
        <w:pStyle w:val="Prrafodelista"/>
        <w:numPr>
          <w:ilvl w:val="0"/>
          <w:numId w:val="2"/>
        </w:numPr>
        <w:spacing w:after="0" w:line="360" w:lineRule="auto"/>
        <w:jc w:val="both"/>
        <w:rPr>
          <w:rFonts w:ascii="Verdana" w:hAnsi="Verdana" w:cs="Tahoma"/>
          <w:lang w:val="es-ES"/>
        </w:rPr>
      </w:pPr>
      <w:r w:rsidRPr="00A55C1E">
        <w:rPr>
          <w:rFonts w:ascii="Verdana" w:hAnsi="Verdana" w:cs="Tahoma"/>
          <w:lang w:val="es-ES"/>
        </w:rPr>
        <w:t xml:space="preserve">Guanche </w:t>
      </w:r>
      <w:proofErr w:type="spellStart"/>
      <w:r w:rsidRPr="00A55C1E">
        <w:rPr>
          <w:rFonts w:ascii="Verdana" w:hAnsi="Verdana" w:cs="Tahoma"/>
          <w:lang w:val="es-ES"/>
        </w:rPr>
        <w:t>Garcell</w:t>
      </w:r>
      <w:proofErr w:type="spellEnd"/>
      <w:r w:rsidRPr="00A55C1E">
        <w:rPr>
          <w:rFonts w:ascii="Verdana" w:hAnsi="Verdana" w:cs="Tahoma"/>
          <w:lang w:val="es-ES"/>
        </w:rPr>
        <w:t xml:space="preserve"> H. COVID-19. Un reto para los profesionales de la salud. Revista Habanera de Ciencias Médicas. </w:t>
      </w:r>
      <w:r w:rsidR="00253046" w:rsidRPr="00A55C1E">
        <w:rPr>
          <w:rFonts w:ascii="Verdana" w:hAnsi="Verdana" w:cs="Tahoma"/>
          <w:lang w:val="es-ES"/>
        </w:rPr>
        <w:t xml:space="preserve">[Internet].   </w:t>
      </w:r>
      <w:r w:rsidRPr="00A55C1E">
        <w:rPr>
          <w:rFonts w:ascii="Verdana" w:hAnsi="Verdana" w:cs="Tahoma"/>
          <w:lang w:val="es-ES"/>
        </w:rPr>
        <w:t>2020 [</w:t>
      </w:r>
      <w:r w:rsidR="00253046" w:rsidRPr="00A55C1E">
        <w:rPr>
          <w:rFonts w:ascii="Verdana" w:hAnsi="Verdana" w:cs="Tahoma"/>
          <w:lang w:val="es-ES"/>
        </w:rPr>
        <w:t>citado 6 Dic 2021</w:t>
      </w:r>
      <w:r w:rsidRPr="00A55C1E">
        <w:rPr>
          <w:rFonts w:ascii="Verdana" w:hAnsi="Verdana" w:cs="Tahoma"/>
          <w:lang w:val="es-ES"/>
        </w:rPr>
        <w:t>]</w:t>
      </w:r>
      <w:proofErr w:type="gramStart"/>
      <w:r w:rsidRPr="00A55C1E">
        <w:rPr>
          <w:rFonts w:ascii="Verdana" w:hAnsi="Verdana" w:cs="Tahoma"/>
          <w:lang w:val="es-ES"/>
        </w:rPr>
        <w:t>;19</w:t>
      </w:r>
      <w:proofErr w:type="gramEnd"/>
      <w:r w:rsidRPr="00A55C1E">
        <w:rPr>
          <w:rFonts w:ascii="Verdana" w:hAnsi="Verdana" w:cs="Tahoma"/>
          <w:lang w:val="es-ES"/>
        </w:rPr>
        <w:t xml:space="preserve">(2):[aprox. 10 p.]. Disponible en: </w:t>
      </w:r>
      <w:hyperlink r:id="rId32" w:history="1">
        <w:r w:rsidR="00253046" w:rsidRPr="00A55C1E">
          <w:rPr>
            <w:rStyle w:val="Hipervnculo"/>
            <w:rFonts w:ascii="Verdana" w:hAnsi="Verdana" w:cs="Tahoma"/>
            <w:lang w:val="es-ES"/>
          </w:rPr>
          <w:t>http://www.revhabanera.sld.cu/index.php/rhab/article/view/3284</w:t>
        </w:r>
      </w:hyperlink>
      <w:r w:rsidR="00253046" w:rsidRPr="00A55C1E">
        <w:rPr>
          <w:rFonts w:ascii="Verdana" w:hAnsi="Verdana" w:cs="Tahoma"/>
          <w:lang w:val="es-ES"/>
        </w:rPr>
        <w:t xml:space="preserve"> </w:t>
      </w:r>
    </w:p>
    <w:p w:rsidR="006859D1" w:rsidRPr="00A55C1E" w:rsidRDefault="006859D1" w:rsidP="00A55C1E">
      <w:pPr>
        <w:pStyle w:val="Prrafodelista"/>
        <w:numPr>
          <w:ilvl w:val="0"/>
          <w:numId w:val="2"/>
        </w:numPr>
        <w:spacing w:line="360" w:lineRule="auto"/>
        <w:rPr>
          <w:rFonts w:ascii="Verdana" w:hAnsi="Verdana" w:cs="Tahoma"/>
          <w:lang w:val="es-ES"/>
        </w:rPr>
      </w:pPr>
      <w:r w:rsidRPr="00A55C1E">
        <w:rPr>
          <w:rFonts w:ascii="Verdana" w:hAnsi="Verdana" w:cs="Tahoma"/>
          <w:lang w:val="es-ES"/>
        </w:rPr>
        <w:lastRenderedPageBreak/>
        <w:t>Rivero Morey RJ, Vázquez Núñez MA, Rocha Vázquez M, Rivero Morey J, Magariño Abreus LR. COVID-19: apuntes clínico-epidemiológicos y enfrentamiento desde la Atención Primaria de Salud. Revista Cubana de Medicina General Integral [Internet]. 2021 [citado 10/10/21]</w:t>
      </w:r>
      <w:proofErr w:type="gramStart"/>
      <w:r w:rsidRPr="00A55C1E">
        <w:rPr>
          <w:rFonts w:ascii="Verdana" w:hAnsi="Verdana" w:cs="Tahoma"/>
          <w:lang w:val="es-ES"/>
        </w:rPr>
        <w:t>;37</w:t>
      </w:r>
      <w:proofErr w:type="gramEnd"/>
      <w:r w:rsidRPr="00A55C1E">
        <w:rPr>
          <w:rFonts w:ascii="Verdana" w:hAnsi="Verdana" w:cs="Tahoma"/>
          <w:lang w:val="es-ES"/>
        </w:rPr>
        <w:t>(</w:t>
      </w:r>
      <w:proofErr w:type="spellStart"/>
      <w:r w:rsidRPr="00A55C1E">
        <w:rPr>
          <w:rFonts w:ascii="Verdana" w:hAnsi="Verdana" w:cs="Tahoma"/>
          <w:lang w:val="es-ES"/>
        </w:rPr>
        <w:t>Sup</w:t>
      </w:r>
      <w:proofErr w:type="spellEnd"/>
      <w:r w:rsidRPr="00A55C1E">
        <w:rPr>
          <w:rFonts w:ascii="Verdana" w:hAnsi="Verdana" w:cs="Tahoma"/>
          <w:lang w:val="es-ES"/>
        </w:rPr>
        <w:t xml:space="preserve">):e1681. Disponible en: </w:t>
      </w:r>
      <w:hyperlink r:id="rId33" w:history="1">
        <w:r w:rsidRPr="00A55C1E">
          <w:rPr>
            <w:rStyle w:val="Hipervnculo"/>
            <w:rFonts w:ascii="Verdana" w:hAnsi="Verdana" w:cs="Tahoma"/>
            <w:lang w:val="es-ES"/>
          </w:rPr>
          <w:t>http://revmgi.sld.cu/index.php/mgi/article/download/1681/446</w:t>
        </w:r>
      </w:hyperlink>
      <w:r w:rsidRPr="00A55C1E">
        <w:rPr>
          <w:rFonts w:ascii="Verdana" w:hAnsi="Verdana" w:cs="Tahoma"/>
          <w:lang w:val="es-ES"/>
        </w:rPr>
        <w:t xml:space="preserve">     </w:t>
      </w:r>
    </w:p>
    <w:sectPr w:rsidR="006859D1" w:rsidRPr="00A55C1E">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A58"/>
    <w:multiLevelType w:val="hybridMultilevel"/>
    <w:tmpl w:val="E8DE3EDA"/>
    <w:lvl w:ilvl="0" w:tplc="0C0A000F">
      <w:start w:val="1"/>
      <w:numFmt w:val="decimal"/>
      <w:lvlText w:val="%1."/>
      <w:lvlJc w:val="left"/>
      <w:pPr>
        <w:ind w:left="390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FB3EA0"/>
    <w:multiLevelType w:val="hybridMultilevel"/>
    <w:tmpl w:val="DCF6730C"/>
    <w:lvl w:ilvl="0" w:tplc="00E82010">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34"/>
    <w:rsid w:val="000002C5"/>
    <w:rsid w:val="00007026"/>
    <w:rsid w:val="00022EDE"/>
    <w:rsid w:val="00024086"/>
    <w:rsid w:val="000267E1"/>
    <w:rsid w:val="00036C22"/>
    <w:rsid w:val="00047E4D"/>
    <w:rsid w:val="00051832"/>
    <w:rsid w:val="00065170"/>
    <w:rsid w:val="000B6BC4"/>
    <w:rsid w:val="000C7571"/>
    <w:rsid w:val="000D299E"/>
    <w:rsid w:val="000D52A7"/>
    <w:rsid w:val="000F4C6B"/>
    <w:rsid w:val="001169BD"/>
    <w:rsid w:val="00135C09"/>
    <w:rsid w:val="00146803"/>
    <w:rsid w:val="00147426"/>
    <w:rsid w:val="00181D53"/>
    <w:rsid w:val="0019012B"/>
    <w:rsid w:val="00196950"/>
    <w:rsid w:val="001B1EA0"/>
    <w:rsid w:val="001C2D5E"/>
    <w:rsid w:val="001E5A60"/>
    <w:rsid w:val="00230D05"/>
    <w:rsid w:val="00233488"/>
    <w:rsid w:val="00253046"/>
    <w:rsid w:val="00272AE3"/>
    <w:rsid w:val="00282C24"/>
    <w:rsid w:val="002877DF"/>
    <w:rsid w:val="00290398"/>
    <w:rsid w:val="002C0937"/>
    <w:rsid w:val="002D3C77"/>
    <w:rsid w:val="002F2631"/>
    <w:rsid w:val="00310A6A"/>
    <w:rsid w:val="00316690"/>
    <w:rsid w:val="003209F3"/>
    <w:rsid w:val="003339D2"/>
    <w:rsid w:val="00341003"/>
    <w:rsid w:val="00344194"/>
    <w:rsid w:val="00346580"/>
    <w:rsid w:val="003602EF"/>
    <w:rsid w:val="0036163A"/>
    <w:rsid w:val="003A4DD9"/>
    <w:rsid w:val="003B4E52"/>
    <w:rsid w:val="003B76E4"/>
    <w:rsid w:val="003D7FD9"/>
    <w:rsid w:val="003F0887"/>
    <w:rsid w:val="0040554D"/>
    <w:rsid w:val="00410625"/>
    <w:rsid w:val="004225BA"/>
    <w:rsid w:val="0045322E"/>
    <w:rsid w:val="00456572"/>
    <w:rsid w:val="00467FAF"/>
    <w:rsid w:val="004D3370"/>
    <w:rsid w:val="005000FA"/>
    <w:rsid w:val="0053120D"/>
    <w:rsid w:val="00551BB8"/>
    <w:rsid w:val="005571C1"/>
    <w:rsid w:val="00571B34"/>
    <w:rsid w:val="005B105B"/>
    <w:rsid w:val="005B5647"/>
    <w:rsid w:val="005C5565"/>
    <w:rsid w:val="005F7AA5"/>
    <w:rsid w:val="00663644"/>
    <w:rsid w:val="00675EEF"/>
    <w:rsid w:val="006859D1"/>
    <w:rsid w:val="00692014"/>
    <w:rsid w:val="006A44F9"/>
    <w:rsid w:val="006B50CE"/>
    <w:rsid w:val="006C288E"/>
    <w:rsid w:val="007015F2"/>
    <w:rsid w:val="00721338"/>
    <w:rsid w:val="00721C28"/>
    <w:rsid w:val="007A0339"/>
    <w:rsid w:val="007A4BE7"/>
    <w:rsid w:val="007B2FFC"/>
    <w:rsid w:val="007B6E18"/>
    <w:rsid w:val="007D77FF"/>
    <w:rsid w:val="007F7BB2"/>
    <w:rsid w:val="00827BCB"/>
    <w:rsid w:val="008974E9"/>
    <w:rsid w:val="008A0669"/>
    <w:rsid w:val="008A1117"/>
    <w:rsid w:val="008A6AA6"/>
    <w:rsid w:val="008B6969"/>
    <w:rsid w:val="008C4A8C"/>
    <w:rsid w:val="008E7842"/>
    <w:rsid w:val="009032E9"/>
    <w:rsid w:val="00937C3A"/>
    <w:rsid w:val="0097435C"/>
    <w:rsid w:val="0098773E"/>
    <w:rsid w:val="00991483"/>
    <w:rsid w:val="009B6F53"/>
    <w:rsid w:val="009E6D24"/>
    <w:rsid w:val="00A10B90"/>
    <w:rsid w:val="00A477A8"/>
    <w:rsid w:val="00A55C1E"/>
    <w:rsid w:val="00A74504"/>
    <w:rsid w:val="00A835F5"/>
    <w:rsid w:val="00A86A71"/>
    <w:rsid w:val="00A87E11"/>
    <w:rsid w:val="00A945E3"/>
    <w:rsid w:val="00AA617C"/>
    <w:rsid w:val="00AB6269"/>
    <w:rsid w:val="00AC23F2"/>
    <w:rsid w:val="00AD12B6"/>
    <w:rsid w:val="00AD2443"/>
    <w:rsid w:val="00B12101"/>
    <w:rsid w:val="00B13200"/>
    <w:rsid w:val="00B174B8"/>
    <w:rsid w:val="00B20148"/>
    <w:rsid w:val="00B345FA"/>
    <w:rsid w:val="00B4076C"/>
    <w:rsid w:val="00B45714"/>
    <w:rsid w:val="00B57448"/>
    <w:rsid w:val="00B838C4"/>
    <w:rsid w:val="00B85EB5"/>
    <w:rsid w:val="00B9624B"/>
    <w:rsid w:val="00BB1D71"/>
    <w:rsid w:val="00BC659F"/>
    <w:rsid w:val="00BC72A2"/>
    <w:rsid w:val="00BD7BC4"/>
    <w:rsid w:val="00C120AC"/>
    <w:rsid w:val="00C12204"/>
    <w:rsid w:val="00C30977"/>
    <w:rsid w:val="00C33635"/>
    <w:rsid w:val="00C63694"/>
    <w:rsid w:val="00CA5193"/>
    <w:rsid w:val="00CE49E6"/>
    <w:rsid w:val="00CF62A6"/>
    <w:rsid w:val="00D14028"/>
    <w:rsid w:val="00D21CEE"/>
    <w:rsid w:val="00D27741"/>
    <w:rsid w:val="00D643D7"/>
    <w:rsid w:val="00D841CA"/>
    <w:rsid w:val="00D91437"/>
    <w:rsid w:val="00DB0E2D"/>
    <w:rsid w:val="00DB312F"/>
    <w:rsid w:val="00DE5FA9"/>
    <w:rsid w:val="00DF1FEF"/>
    <w:rsid w:val="00DF53BB"/>
    <w:rsid w:val="00E037A8"/>
    <w:rsid w:val="00E31E00"/>
    <w:rsid w:val="00E547E6"/>
    <w:rsid w:val="00EA41EF"/>
    <w:rsid w:val="00EE64A7"/>
    <w:rsid w:val="00EF7171"/>
    <w:rsid w:val="00F07182"/>
    <w:rsid w:val="00F20CE6"/>
    <w:rsid w:val="00F3610E"/>
    <w:rsid w:val="00F6155B"/>
    <w:rsid w:val="00F708D8"/>
    <w:rsid w:val="00F73839"/>
    <w:rsid w:val="00F913F5"/>
    <w:rsid w:val="00FA10A1"/>
    <w:rsid w:val="00FB69F4"/>
    <w:rsid w:val="00FD5824"/>
    <w:rsid w:val="00FD5D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34FA0-2B50-4BEA-BF41-77F89E6E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000FF"/>
      <w:u w:val="single"/>
    </w:rPr>
  </w:style>
  <w:style w:type="table" w:styleId="Tablaconcuadrcula">
    <w:name w:val="Table Grid"/>
    <w:basedOn w:val="Tablanormal"/>
    <w:uiPriority w:val="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spacing w:after="160" w:line="259" w:lineRule="auto"/>
      <w:ind w:left="720"/>
      <w:contextualSpacing/>
    </w:pPr>
    <w:rPr>
      <w:rFonts w:eastAsiaTheme="minorHAnsi"/>
      <w:lang w:val="en-US" w:eastAsia="en-U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paragraph" w:styleId="Encabezado">
    <w:name w:val="header"/>
    <w:basedOn w:val="Normal"/>
    <w:link w:val="EncabezadoCar"/>
    <w:rsid w:val="002D3C77"/>
    <w:pPr>
      <w:tabs>
        <w:tab w:val="center" w:pos="4419"/>
        <w:tab w:val="right" w:pos="8838"/>
      </w:tabs>
      <w:suppressAutoHyphens/>
      <w:spacing w:after="0" w:line="240" w:lineRule="auto"/>
    </w:pPr>
    <w:rPr>
      <w:rFonts w:ascii="Times New Roman" w:eastAsia="Times New Roman" w:hAnsi="Times New Roman" w:cs="Times New Roman"/>
      <w:sz w:val="20"/>
      <w:szCs w:val="24"/>
      <w:lang w:eastAsia="ar-SA"/>
    </w:rPr>
  </w:style>
  <w:style w:type="character" w:customStyle="1" w:styleId="EncabezadoCar">
    <w:name w:val="Encabezado Car"/>
    <w:basedOn w:val="Fuentedeprrafopredeter"/>
    <w:link w:val="Encabezado"/>
    <w:rsid w:val="002D3C77"/>
    <w:rPr>
      <w:rFonts w:ascii="Times New Roman" w:eastAsia="Times New Roman" w:hAnsi="Times New Roman" w:cs="Times New Roman"/>
      <w:sz w:val="20"/>
      <w:szCs w:val="24"/>
      <w:lang w:eastAsia="ar-SA"/>
    </w:rPr>
  </w:style>
  <w:style w:type="paragraph" w:customStyle="1" w:styleId="Default">
    <w:name w:val="Default"/>
    <w:rsid w:val="00A74504"/>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17923">
      <w:bodyDiv w:val="1"/>
      <w:marLeft w:val="0"/>
      <w:marRight w:val="0"/>
      <w:marTop w:val="0"/>
      <w:marBottom w:val="0"/>
      <w:divBdr>
        <w:top w:val="none" w:sz="0" w:space="0" w:color="auto"/>
        <w:left w:val="none" w:sz="0" w:space="0" w:color="auto"/>
        <w:bottom w:val="none" w:sz="0" w:space="0" w:color="auto"/>
        <w:right w:val="none" w:sz="0" w:space="0" w:color="auto"/>
      </w:divBdr>
    </w:div>
    <w:div w:id="1121152137">
      <w:bodyDiv w:val="1"/>
      <w:marLeft w:val="0"/>
      <w:marRight w:val="0"/>
      <w:marTop w:val="0"/>
      <w:marBottom w:val="0"/>
      <w:divBdr>
        <w:top w:val="none" w:sz="0" w:space="0" w:color="auto"/>
        <w:left w:val="none" w:sz="0" w:space="0" w:color="auto"/>
        <w:bottom w:val="none" w:sz="0" w:space="0" w:color="auto"/>
        <w:right w:val="none" w:sz="0" w:space="0" w:color="auto"/>
      </w:divBdr>
    </w:div>
    <w:div w:id="1472988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co/scielo.php?script=sci_arttext&amp;pid=S0123-93922020000500061&amp;lng=en" TargetMode="External"/><Relationship Id="rId18" Type="http://schemas.openxmlformats.org/officeDocument/2006/relationships/hyperlink" Target="https://www.ncbi.nlm.nih.gov/pmc/articles/PMC7685043/" TargetMode="External"/><Relationship Id="rId26" Type="http://schemas.openxmlformats.org/officeDocument/2006/relationships/hyperlink" Target="http://www.revistamedicacr.com/index.php/rmcr/article/viewFile/287/264" TargetMode="External"/><Relationship Id="rId3" Type="http://schemas.openxmlformats.org/officeDocument/2006/relationships/settings" Target="settings.xml"/><Relationship Id="rId21" Type="http://schemas.openxmlformats.org/officeDocument/2006/relationships/hyperlink" Target="http://www.scielo.cl/scielo.php?script=sci_arttext&amp;pid=S0717-93082020000300088&amp;lng=es" TargetMode="External"/><Relationship Id="rId34" Type="http://schemas.openxmlformats.org/officeDocument/2006/relationships/fontTable" Target="fontTable.xml"/><Relationship Id="rId7" Type="http://schemas.openxmlformats.org/officeDocument/2006/relationships/hyperlink" Target="https://orcid.org/0000-0002-6357-6045" TargetMode="External"/><Relationship Id="rId12" Type="http://schemas.openxmlformats.org/officeDocument/2006/relationships/chart" Target="charts/chart1.xml"/><Relationship Id="rId17" Type="http://schemas.openxmlformats.org/officeDocument/2006/relationships/hyperlink" Target="http://www.scielo.org.mx/scielo.php?script=sci_arttext&amp;pid=S2448-91902020000400350&amp;lng=es" TargetMode="External"/><Relationship Id="rId25" Type="http://schemas.openxmlformats.org/officeDocument/2006/relationships/hyperlink" Target="http://www.scielo.org.pe/scielo.php?script=sci_arttext&amp;pid=S1726-46342020000200253&amp;lng=es" TargetMode="External"/><Relationship Id="rId33" Type="http://schemas.openxmlformats.org/officeDocument/2006/relationships/hyperlink" Target="http://revmgi.sld.cu/index.php/mgi/article/download/1681/446" TargetMode="External"/><Relationship Id="rId2" Type="http://schemas.openxmlformats.org/officeDocument/2006/relationships/styles" Target="styles.xml"/><Relationship Id="rId16" Type="http://schemas.openxmlformats.org/officeDocument/2006/relationships/hyperlink" Target="http://www.revhabanera.sld.cu/index.php/rhab/article/view/3254" TargetMode="External"/><Relationship Id="rId20" Type="http://schemas.openxmlformats.org/officeDocument/2006/relationships/hyperlink" Target="https://www.thelancet.com/journals/lancet/article/PIIS0140-6736%2820%2930211-7/fulltext" TargetMode="External"/><Relationship Id="rId29" Type="http://schemas.openxmlformats.org/officeDocument/2006/relationships/hyperlink" Target="http://www.scielo.org.pe/scielo.php?script=sci_arttext&amp;pid=S2308-05312020000200180&amp;lng=es.http://dx.doi.org/10.25176/rfmh.v20i2.2940" TargetMode="External"/><Relationship Id="rId1" Type="http://schemas.openxmlformats.org/officeDocument/2006/relationships/numbering" Target="numbering.xml"/><Relationship Id="rId6" Type="http://schemas.openxmlformats.org/officeDocument/2006/relationships/hyperlink" Target="https://orcid.org/0000-0001-8608-955X" TargetMode="External"/><Relationship Id="rId11" Type="http://schemas.openxmlformats.org/officeDocument/2006/relationships/hyperlink" Target="mailto:javiermorey98@" TargetMode="External"/><Relationship Id="rId24" Type="http://schemas.openxmlformats.org/officeDocument/2006/relationships/hyperlink" Target="http://www.scielo.cl/scielo.php?script=sci_arttext&amp;pid=S0034-98872021000701031&amp;lng=es" TargetMode="External"/><Relationship Id="rId32" Type="http://schemas.openxmlformats.org/officeDocument/2006/relationships/hyperlink" Target="http://www.revhabanera.sld.cu/index.php/rhab/article/view/3284" TargetMode="External"/><Relationship Id="rId5" Type="http://schemas.openxmlformats.org/officeDocument/2006/relationships/hyperlink" Target="https://orcid.org/0000-0003-2484-9597" TargetMode="External"/><Relationship Id="rId15" Type="http://schemas.openxmlformats.org/officeDocument/2006/relationships/hyperlink" Target="http://revistamedicinainterna.net/index.php/spmi/article/view/506" TargetMode="External"/><Relationship Id="rId23" Type="http://schemas.openxmlformats.org/officeDocument/2006/relationships/hyperlink" Target="http://scielo.sld.cu/scielo.php?script=sci_arttext&amp;pid=S1729-519X2020000100001&amp;lng=es" TargetMode="External"/><Relationship Id="rId28" Type="http://schemas.openxmlformats.org/officeDocument/2006/relationships/hyperlink" Target="https://www.ncbi.nlm.nih.gov/pmc/articles/PMC8329562/" TargetMode="External"/><Relationship Id="rId10" Type="http://schemas.openxmlformats.org/officeDocument/2006/relationships/hyperlink" Target="https://orcid.org/0000-0002-9933-5323" TargetMode="External"/><Relationship Id="rId19" Type="http://schemas.openxmlformats.org/officeDocument/2006/relationships/hyperlink" Target="http://www.scielo.org.pe/scielo.php?script=sci_arttext&amp;pid=S2308-05312020000400731&amp;lng=es" TargetMode="External"/><Relationship Id="rId31" Type="http://schemas.openxmlformats.org/officeDocument/2006/relationships/hyperlink" Target="https://doi.org/10.1148/radiol.2020201160" TargetMode="External"/><Relationship Id="rId4" Type="http://schemas.openxmlformats.org/officeDocument/2006/relationships/webSettings" Target="webSettings.xml"/><Relationship Id="rId9" Type="http://schemas.openxmlformats.org/officeDocument/2006/relationships/hyperlink" Target="http://orcid.org/0000-0003-1826-3928" TargetMode="External"/><Relationship Id="rId14" Type="http://schemas.openxmlformats.org/officeDocument/2006/relationships/hyperlink" Target="http://scielo.sld.cu/scielo.php?script=sci_arttext&amp;pid=S1608-89212020000100001&amp;lng=es" TargetMode="External"/><Relationship Id="rId22" Type="http://schemas.openxmlformats.org/officeDocument/2006/relationships/hyperlink" Target="http://www.revmedmilitar.sld.cu/index.php/mil/article/view/793" TargetMode="External"/><Relationship Id="rId27" Type="http://schemas.openxmlformats.org/officeDocument/2006/relationships/hyperlink" Target="http://www.scielo.org.pe/scielo.php?script=sci_arttext&amp;pid=S1025-55832020000100071&amp;lng=es" TargetMode="External"/><Relationship Id="rId30" Type="http://schemas.openxmlformats.org/officeDocument/2006/relationships/hyperlink" Target="https://doi.org/10.1007/s00259-020-04735-9" TargetMode="External"/><Relationship Id="rId35" Type="http://schemas.openxmlformats.org/officeDocument/2006/relationships/theme" Target="theme/theme1.xml"/><Relationship Id="rId8" Type="http://schemas.openxmlformats.org/officeDocument/2006/relationships/hyperlink" Target="https://orcid.org/0000-0003-4869-928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Hoja1!$B$1</c:f>
              <c:strCache>
                <c:ptCount val="1"/>
                <c:pt idx="0">
                  <c:v>Incidencia de pacientes con NAC ingresados en UCIC</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Hoja1!$A$2:$A$14</c:f>
              <c:strCache>
                <c:ptCount val="13"/>
                <c:pt idx="0">
                  <c:v>mar. 20</c:v>
                </c:pt>
                <c:pt idx="1">
                  <c:v>abr. 20</c:v>
                </c:pt>
                <c:pt idx="2">
                  <c:v>may. 20</c:v>
                </c:pt>
                <c:pt idx="3">
                  <c:v>jun. 20</c:v>
                </c:pt>
                <c:pt idx="4">
                  <c:v>jul. 20</c:v>
                </c:pt>
                <c:pt idx="5">
                  <c:v>ago. 20</c:v>
                </c:pt>
                <c:pt idx="6">
                  <c:v>sep. 20</c:v>
                </c:pt>
                <c:pt idx="7">
                  <c:v>oct. 20</c:v>
                </c:pt>
                <c:pt idx="8">
                  <c:v>nov. 20</c:v>
                </c:pt>
                <c:pt idx="9">
                  <c:v>dic. 20</c:v>
                </c:pt>
                <c:pt idx="10">
                  <c:v>ene. 21</c:v>
                </c:pt>
                <c:pt idx="11">
                  <c:v>feb. 21</c:v>
                </c:pt>
                <c:pt idx="12">
                  <c:v>mar. 21</c:v>
                </c:pt>
              </c:strCache>
            </c:strRef>
          </c:cat>
          <c:val>
            <c:numRef>
              <c:f>Hoja1!$B$2:$B$14</c:f>
              <c:numCache>
                <c:formatCode>General</c:formatCode>
                <c:ptCount val="13"/>
                <c:pt idx="0">
                  <c:v>7</c:v>
                </c:pt>
                <c:pt idx="1">
                  <c:v>28</c:v>
                </c:pt>
                <c:pt idx="2">
                  <c:v>29</c:v>
                </c:pt>
                <c:pt idx="3">
                  <c:v>32</c:v>
                </c:pt>
                <c:pt idx="4">
                  <c:v>32</c:v>
                </c:pt>
                <c:pt idx="5">
                  <c:v>28</c:v>
                </c:pt>
                <c:pt idx="6">
                  <c:v>20</c:v>
                </c:pt>
                <c:pt idx="7">
                  <c:v>15</c:v>
                </c:pt>
                <c:pt idx="8">
                  <c:v>28</c:v>
                </c:pt>
                <c:pt idx="9">
                  <c:v>29</c:v>
                </c:pt>
                <c:pt idx="10">
                  <c:v>39</c:v>
                </c:pt>
                <c:pt idx="11">
                  <c:v>46</c:v>
                </c:pt>
                <c:pt idx="12">
                  <c:v>55</c:v>
                </c:pt>
              </c:numCache>
            </c:numRef>
          </c:val>
          <c:smooth val="0"/>
        </c:ser>
        <c:dLbls>
          <c:showLegendKey val="0"/>
          <c:showVal val="0"/>
          <c:showCatName val="0"/>
          <c:showSerName val="0"/>
          <c:showPercent val="0"/>
          <c:showBubbleSize val="0"/>
        </c:dLbls>
        <c:smooth val="0"/>
        <c:axId val="1170315808"/>
        <c:axId val="1170316352"/>
      </c:lineChart>
      <c:catAx>
        <c:axId val="117031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crossAx val="1170316352"/>
        <c:crosses val="autoZero"/>
        <c:auto val="1"/>
        <c:lblAlgn val="ctr"/>
        <c:lblOffset val="100"/>
        <c:noMultiLvlLbl val="0"/>
      </c:catAx>
      <c:valAx>
        <c:axId val="117031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ES"/>
          </a:p>
        </c:txPr>
        <c:crossAx val="1170315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17</Pages>
  <Words>4826</Words>
  <Characters>26546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Yaray</cp:lastModifiedBy>
  <cp:revision>146</cp:revision>
  <dcterms:created xsi:type="dcterms:W3CDTF">2021-05-23T02:13:00Z</dcterms:created>
  <dcterms:modified xsi:type="dcterms:W3CDTF">2022-11-06T12:54:00Z</dcterms:modified>
</cp:coreProperties>
</file>