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678" w:rsidRPr="00E53571" w:rsidRDefault="00A80678" w:rsidP="00D83BAE">
      <w:pPr>
        <w:tabs>
          <w:tab w:val="left" w:pos="2268"/>
        </w:tabs>
        <w:spacing w:after="0" w:line="360" w:lineRule="auto"/>
        <w:ind w:right="-376"/>
        <w:rPr>
          <w:rFonts w:ascii="Arial" w:hAnsi="Arial" w:cs="Arial"/>
          <w:b/>
          <w:color w:val="C45911"/>
          <w:sz w:val="24"/>
          <w:szCs w:val="24"/>
        </w:rPr>
      </w:pPr>
      <w:r w:rsidRPr="00E53571">
        <w:rPr>
          <w:rFonts w:ascii="Arial" w:hAnsi="Arial" w:cs="Arial"/>
          <w:b/>
          <w:color w:val="C45911"/>
          <w:sz w:val="24"/>
          <w:szCs w:val="24"/>
        </w:rPr>
        <w:t>Morfovirtual 2022</w:t>
      </w:r>
    </w:p>
    <w:p w:rsidR="00A80678" w:rsidRPr="00E53571" w:rsidRDefault="00A80678" w:rsidP="00AE4390">
      <w:pPr>
        <w:tabs>
          <w:tab w:val="left" w:pos="2268"/>
        </w:tabs>
        <w:spacing w:after="0" w:line="360" w:lineRule="auto"/>
        <w:ind w:right="-376"/>
        <w:rPr>
          <w:rFonts w:ascii="Arial" w:hAnsi="Arial" w:cs="Arial"/>
          <w:b/>
          <w:color w:val="C45911"/>
          <w:sz w:val="24"/>
          <w:szCs w:val="24"/>
        </w:rPr>
      </w:pPr>
    </w:p>
    <w:p w:rsidR="00A80678" w:rsidRPr="00E53571" w:rsidRDefault="00A80678" w:rsidP="00AE4390">
      <w:pPr>
        <w:tabs>
          <w:tab w:val="left" w:pos="2268"/>
        </w:tabs>
        <w:spacing w:after="0" w:line="360" w:lineRule="auto"/>
        <w:ind w:right="-376"/>
        <w:rPr>
          <w:rFonts w:ascii="Arial" w:hAnsi="Arial" w:cs="Arial"/>
          <w:b/>
          <w:color w:val="C45911"/>
          <w:sz w:val="24"/>
          <w:szCs w:val="24"/>
        </w:rPr>
      </w:pPr>
      <w:r w:rsidRPr="00E53571">
        <w:rPr>
          <w:rFonts w:ascii="Arial" w:hAnsi="Arial" w:cs="Arial"/>
          <w:b/>
          <w:color w:val="C45911"/>
          <w:sz w:val="24"/>
          <w:szCs w:val="24"/>
        </w:rPr>
        <w:t>VI Congreso virtual de Ciencias Morfológicas.</w:t>
      </w:r>
    </w:p>
    <w:p w:rsidR="00A80678" w:rsidRPr="00E53571" w:rsidRDefault="00A80678" w:rsidP="00B945E4">
      <w:pPr>
        <w:spacing w:after="0" w:line="360" w:lineRule="auto"/>
        <w:ind w:left="-425"/>
        <w:rPr>
          <w:rFonts w:ascii="Arial" w:hAnsi="Arial" w:cs="Arial"/>
          <w:b/>
          <w:color w:val="C45911"/>
          <w:sz w:val="24"/>
          <w:szCs w:val="24"/>
        </w:rPr>
      </w:pPr>
      <w:r w:rsidRPr="00E53571">
        <w:rPr>
          <w:rFonts w:ascii="Arial" w:hAnsi="Arial" w:cs="Arial"/>
          <w:b/>
          <w:color w:val="C45911"/>
          <w:sz w:val="24"/>
          <w:szCs w:val="24"/>
        </w:rPr>
        <w:t>Sexta Jornada Científica de la Cátedra Santiago Ramón y Cajal.</w:t>
      </w:r>
    </w:p>
    <w:p w:rsidR="00A80678" w:rsidRPr="00E53571" w:rsidRDefault="00A80678" w:rsidP="00B945E4">
      <w:pPr>
        <w:spacing w:after="0" w:line="360" w:lineRule="auto"/>
        <w:ind w:left="-425"/>
        <w:rPr>
          <w:rFonts w:ascii="Arial" w:hAnsi="Arial" w:cs="Arial"/>
          <w:sz w:val="24"/>
          <w:szCs w:val="24"/>
        </w:rPr>
      </w:pPr>
    </w:p>
    <w:p w:rsidR="00A80678" w:rsidRPr="00E53571" w:rsidRDefault="00A80678" w:rsidP="00DC1B19">
      <w:pPr>
        <w:spacing w:after="0" w:line="360" w:lineRule="auto"/>
        <w:ind w:left="-425"/>
        <w:jc w:val="both"/>
        <w:rPr>
          <w:rFonts w:ascii="Arial" w:hAnsi="Arial" w:cs="Arial"/>
          <w:b/>
          <w:sz w:val="24"/>
          <w:szCs w:val="24"/>
        </w:rPr>
      </w:pPr>
      <w:bookmarkStart w:id="0" w:name="_GoBack"/>
      <w:bookmarkEnd w:id="0"/>
      <w:r w:rsidRPr="00E53571">
        <w:rPr>
          <w:rFonts w:ascii="Arial" w:hAnsi="Arial" w:cs="Arial"/>
          <w:b/>
          <w:sz w:val="24"/>
          <w:szCs w:val="24"/>
        </w:rPr>
        <w:t xml:space="preserve"> </w:t>
      </w:r>
      <w:r w:rsidRPr="00682EB4">
        <w:rPr>
          <w:rFonts w:ascii="Arial" w:hAnsi="Arial" w:cs="Arial"/>
          <w:b/>
          <w:caps/>
          <w:sz w:val="24"/>
          <w:szCs w:val="24"/>
        </w:rPr>
        <w:t xml:space="preserve">Extractos ricos en saponinas de </w:t>
      </w:r>
      <w:r w:rsidRPr="00682EB4">
        <w:rPr>
          <w:rFonts w:ascii="Arial" w:hAnsi="Arial" w:cs="Arial"/>
          <w:b/>
          <w:i/>
          <w:caps/>
          <w:sz w:val="24"/>
          <w:szCs w:val="24"/>
        </w:rPr>
        <w:t>Agave brittoniana</w:t>
      </w:r>
      <w:r w:rsidRPr="00682EB4">
        <w:rPr>
          <w:rFonts w:ascii="Arial" w:hAnsi="Arial" w:cs="Arial"/>
          <w:b/>
          <w:caps/>
          <w:sz w:val="24"/>
          <w:szCs w:val="24"/>
        </w:rPr>
        <w:t xml:space="preserve"> Trel en el daño ocasionado por el síndrome metabólico experimental en hígado y riñón.</w:t>
      </w:r>
    </w:p>
    <w:p w:rsidR="00A80678" w:rsidRPr="00E53571" w:rsidRDefault="00A80678" w:rsidP="00DC1B19">
      <w:pPr>
        <w:spacing w:after="0" w:line="360" w:lineRule="auto"/>
        <w:ind w:left="-425"/>
        <w:rPr>
          <w:rFonts w:ascii="Arial" w:hAnsi="Arial" w:cs="Arial"/>
          <w:b/>
          <w:sz w:val="24"/>
          <w:szCs w:val="24"/>
        </w:rPr>
      </w:pPr>
    </w:p>
    <w:p w:rsidR="00A80678" w:rsidRPr="00E53571" w:rsidRDefault="00A80678" w:rsidP="00DC1B19">
      <w:pPr>
        <w:spacing w:after="0" w:line="360" w:lineRule="auto"/>
        <w:ind w:left="-425"/>
        <w:rPr>
          <w:rFonts w:ascii="Arial" w:hAnsi="Arial" w:cs="Arial"/>
          <w:b/>
          <w:sz w:val="24"/>
          <w:szCs w:val="24"/>
        </w:rPr>
      </w:pPr>
      <w:r w:rsidRPr="00E53571">
        <w:rPr>
          <w:rFonts w:ascii="Arial" w:hAnsi="Arial" w:cs="Arial"/>
          <w:b/>
          <w:sz w:val="24"/>
          <w:szCs w:val="24"/>
        </w:rPr>
        <w:t xml:space="preserve">Autores: </w:t>
      </w:r>
    </w:p>
    <w:p w:rsidR="00A80678" w:rsidRPr="00E53571" w:rsidRDefault="00A80678" w:rsidP="00DC1B19">
      <w:pPr>
        <w:spacing w:after="0" w:line="360" w:lineRule="auto"/>
        <w:ind w:left="-425"/>
        <w:rPr>
          <w:rFonts w:ascii="Arial" w:hAnsi="Arial" w:cs="Arial"/>
          <w:b/>
          <w:sz w:val="24"/>
          <w:szCs w:val="24"/>
        </w:rPr>
      </w:pPr>
      <w:r w:rsidRPr="00E53571">
        <w:rPr>
          <w:rFonts w:ascii="Arial" w:hAnsi="Arial" w:cs="Arial"/>
          <w:b/>
          <w:sz w:val="24"/>
          <w:szCs w:val="24"/>
        </w:rPr>
        <w:t>Yisel González-Madariaga</w:t>
      </w:r>
      <w:r w:rsidRPr="00E53571">
        <w:rPr>
          <w:rFonts w:ascii="Arial" w:hAnsi="Arial" w:cs="Arial"/>
          <w:b/>
          <w:sz w:val="24"/>
          <w:szCs w:val="24"/>
          <w:vertAlign w:val="superscript"/>
        </w:rPr>
        <w:t>1</w:t>
      </w:r>
      <w:r w:rsidRPr="00E53571">
        <w:rPr>
          <w:rFonts w:ascii="Arial" w:hAnsi="Arial" w:cs="Arial"/>
          <w:b/>
          <w:sz w:val="24"/>
          <w:szCs w:val="24"/>
        </w:rPr>
        <w:t>, María Luisa García-Gómez</w:t>
      </w:r>
      <w:r w:rsidRPr="00E53571">
        <w:rPr>
          <w:rFonts w:ascii="Arial" w:hAnsi="Arial" w:cs="Arial"/>
          <w:b/>
          <w:sz w:val="24"/>
          <w:szCs w:val="24"/>
          <w:vertAlign w:val="superscript"/>
        </w:rPr>
        <w:t>2</w:t>
      </w:r>
      <w:r w:rsidRPr="00E53571">
        <w:rPr>
          <w:rFonts w:ascii="Arial" w:hAnsi="Arial" w:cs="Arial"/>
          <w:b/>
          <w:sz w:val="24"/>
          <w:szCs w:val="24"/>
        </w:rPr>
        <w:t>, Milene Águila Castillo</w:t>
      </w:r>
      <w:r w:rsidRPr="00E53571">
        <w:rPr>
          <w:rFonts w:ascii="Arial" w:hAnsi="Arial" w:cs="Arial"/>
          <w:b/>
          <w:sz w:val="24"/>
          <w:szCs w:val="24"/>
          <w:vertAlign w:val="superscript"/>
        </w:rPr>
        <w:t>3</w:t>
      </w:r>
      <w:r w:rsidRPr="00E53571">
        <w:rPr>
          <w:rFonts w:ascii="Arial" w:hAnsi="Arial" w:cs="Arial"/>
          <w:b/>
          <w:sz w:val="24"/>
          <w:szCs w:val="24"/>
        </w:rPr>
        <w:t>, Leisy Nieto-Reyes</w:t>
      </w:r>
      <w:r w:rsidRPr="00E53571">
        <w:rPr>
          <w:rFonts w:ascii="Arial" w:hAnsi="Arial" w:cs="Arial"/>
          <w:b/>
          <w:sz w:val="24"/>
          <w:szCs w:val="24"/>
          <w:vertAlign w:val="superscript"/>
        </w:rPr>
        <w:t>4</w:t>
      </w:r>
      <w:r w:rsidRPr="00E53571">
        <w:rPr>
          <w:rFonts w:ascii="Arial" w:hAnsi="Arial" w:cs="Arial"/>
          <w:b/>
          <w:sz w:val="24"/>
          <w:szCs w:val="24"/>
        </w:rPr>
        <w:t xml:space="preserve"> </w:t>
      </w:r>
    </w:p>
    <w:p w:rsidR="00A80678" w:rsidRPr="00E53571" w:rsidRDefault="00A80678" w:rsidP="00DC1B19">
      <w:pPr>
        <w:spacing w:after="0" w:line="360" w:lineRule="auto"/>
        <w:ind w:left="-425"/>
        <w:rPr>
          <w:rFonts w:ascii="Arial" w:hAnsi="Arial" w:cs="Arial"/>
          <w:b/>
          <w:sz w:val="24"/>
          <w:szCs w:val="24"/>
        </w:rPr>
      </w:pPr>
    </w:p>
    <w:p w:rsidR="00A80678" w:rsidRPr="00E53571" w:rsidRDefault="00A80678" w:rsidP="00DC1B19">
      <w:pPr>
        <w:spacing w:after="0" w:line="360" w:lineRule="auto"/>
        <w:ind w:left="-425"/>
        <w:rPr>
          <w:rFonts w:ascii="Arial" w:hAnsi="Arial" w:cs="Arial"/>
          <w:sz w:val="24"/>
          <w:szCs w:val="24"/>
        </w:rPr>
      </w:pPr>
      <w:r w:rsidRPr="00E53571">
        <w:rPr>
          <w:rFonts w:ascii="Arial" w:hAnsi="Arial" w:cs="Arial"/>
          <w:b/>
          <w:sz w:val="24"/>
          <w:szCs w:val="24"/>
          <w:vertAlign w:val="superscript"/>
        </w:rPr>
        <w:t>1</w:t>
      </w:r>
      <w:r w:rsidRPr="00E53571">
        <w:rPr>
          <w:rFonts w:ascii="Arial" w:hAnsi="Arial" w:cs="Arial"/>
          <w:sz w:val="24"/>
          <w:szCs w:val="24"/>
        </w:rPr>
        <w:t xml:space="preserve"> Máster en Bioquímica, Unidad de Toxicología Experimental. Universidad de Ciencias Médicas de Villa Clara. Cuba</w:t>
      </w:r>
    </w:p>
    <w:p w:rsidR="00A80678" w:rsidRPr="00E53571" w:rsidRDefault="00A80678" w:rsidP="00F16464">
      <w:pPr>
        <w:spacing w:after="0" w:line="360" w:lineRule="auto"/>
        <w:ind w:left="-425"/>
        <w:rPr>
          <w:rFonts w:ascii="Arial" w:hAnsi="Arial" w:cs="Arial"/>
          <w:sz w:val="24"/>
          <w:szCs w:val="24"/>
        </w:rPr>
      </w:pPr>
      <w:r w:rsidRPr="00E53571">
        <w:rPr>
          <w:rFonts w:ascii="Arial" w:hAnsi="Arial" w:cs="Arial"/>
          <w:sz w:val="24"/>
          <w:szCs w:val="24"/>
          <w:vertAlign w:val="superscript"/>
        </w:rPr>
        <w:t>2</w:t>
      </w:r>
      <w:r w:rsidRPr="00E53571">
        <w:rPr>
          <w:rFonts w:ascii="Arial" w:hAnsi="Arial" w:cs="Arial"/>
          <w:sz w:val="24"/>
          <w:szCs w:val="24"/>
        </w:rPr>
        <w:t xml:space="preserve"> Anatomia Patológica, Unidad de Toxicología Experimental. Universidad de Ciencias Médicas de Villa Clara. Cuba</w:t>
      </w:r>
    </w:p>
    <w:p w:rsidR="00A80678" w:rsidRPr="00E53571" w:rsidRDefault="00A80678" w:rsidP="00DC1B19">
      <w:pPr>
        <w:spacing w:after="0" w:line="360" w:lineRule="auto"/>
        <w:ind w:left="-425"/>
        <w:rPr>
          <w:rFonts w:ascii="Arial" w:hAnsi="Arial" w:cs="Arial"/>
          <w:sz w:val="24"/>
          <w:szCs w:val="24"/>
        </w:rPr>
      </w:pPr>
      <w:r w:rsidRPr="00E53571">
        <w:rPr>
          <w:rFonts w:ascii="Arial" w:hAnsi="Arial" w:cs="Arial"/>
          <w:sz w:val="24"/>
          <w:szCs w:val="24"/>
          <w:vertAlign w:val="superscript"/>
        </w:rPr>
        <w:t xml:space="preserve">3 </w:t>
      </w:r>
      <w:r w:rsidRPr="00E53571">
        <w:rPr>
          <w:rFonts w:ascii="Arial" w:hAnsi="Arial" w:cs="Arial"/>
          <w:sz w:val="24"/>
          <w:szCs w:val="24"/>
        </w:rPr>
        <w:t>Citohistopatología, Unidad de Toxicología Experimental. Universidad de Ciencias Médicas de Villa Clara. Cuba</w:t>
      </w:r>
    </w:p>
    <w:p w:rsidR="00A80678" w:rsidRPr="00E53571" w:rsidRDefault="00A80678" w:rsidP="00DC1B19">
      <w:pPr>
        <w:spacing w:after="0" w:line="360" w:lineRule="auto"/>
        <w:ind w:left="-425"/>
        <w:rPr>
          <w:rFonts w:ascii="Arial" w:hAnsi="Arial" w:cs="Arial"/>
          <w:sz w:val="24"/>
          <w:szCs w:val="24"/>
        </w:rPr>
      </w:pPr>
      <w:r w:rsidRPr="00E53571">
        <w:rPr>
          <w:rFonts w:ascii="Arial" w:hAnsi="Arial" w:cs="Arial"/>
          <w:sz w:val="24"/>
          <w:szCs w:val="24"/>
          <w:vertAlign w:val="superscript"/>
        </w:rPr>
        <w:t>4</w:t>
      </w:r>
      <w:r w:rsidRPr="00E53571">
        <w:rPr>
          <w:rFonts w:ascii="Arial" w:hAnsi="Arial" w:cs="Arial"/>
          <w:sz w:val="24"/>
          <w:szCs w:val="24"/>
        </w:rPr>
        <w:t xml:space="preserve"> Doctora en Ciencias Farmacéuticas, Departamento de Farmacia, Universidad Central Marta Abreu de las Villas. Cuba</w:t>
      </w:r>
    </w:p>
    <w:p w:rsidR="00A80678" w:rsidRPr="00E53571" w:rsidRDefault="00A80678" w:rsidP="00DC1B19">
      <w:pPr>
        <w:spacing w:after="0" w:line="360" w:lineRule="auto"/>
        <w:ind w:left="-425"/>
        <w:rPr>
          <w:rFonts w:ascii="Arial" w:hAnsi="Arial" w:cs="Arial"/>
          <w:sz w:val="24"/>
          <w:szCs w:val="24"/>
        </w:rPr>
      </w:pPr>
    </w:p>
    <w:p w:rsidR="00A80678" w:rsidRPr="00E53571" w:rsidRDefault="00CD61EC" w:rsidP="00DC1B19">
      <w:pPr>
        <w:spacing w:after="0" w:line="360" w:lineRule="auto"/>
        <w:ind w:left="-425"/>
        <w:rPr>
          <w:rFonts w:ascii="Arial" w:hAnsi="Arial" w:cs="Arial"/>
          <w:sz w:val="24"/>
          <w:szCs w:val="24"/>
        </w:rPr>
      </w:pPr>
      <w:hyperlink r:id="rId7" w:history="1">
        <w:r w:rsidR="00A80678" w:rsidRPr="00E53571">
          <w:rPr>
            <w:rStyle w:val="Hipervnculo"/>
            <w:rFonts w:ascii="Arial" w:hAnsi="Arial" w:cs="Arial"/>
            <w:sz w:val="24"/>
            <w:szCs w:val="24"/>
          </w:rPr>
          <w:t>yiselmadariaga@infomed.sld.cu</w:t>
        </w:r>
      </w:hyperlink>
    </w:p>
    <w:p w:rsidR="00A80678" w:rsidRPr="00E53571" w:rsidRDefault="00A80678" w:rsidP="00DC1B19">
      <w:pPr>
        <w:spacing w:after="0" w:line="360" w:lineRule="auto"/>
        <w:ind w:left="-425"/>
        <w:rPr>
          <w:rFonts w:ascii="Arial" w:hAnsi="Arial" w:cs="Arial"/>
          <w:sz w:val="24"/>
          <w:szCs w:val="24"/>
        </w:rPr>
      </w:pPr>
    </w:p>
    <w:p w:rsidR="00A80678" w:rsidRPr="00E53571" w:rsidRDefault="00A80678" w:rsidP="00DC1B19">
      <w:pPr>
        <w:spacing w:after="0" w:line="360" w:lineRule="auto"/>
        <w:ind w:left="-425"/>
        <w:jc w:val="both"/>
        <w:rPr>
          <w:rFonts w:ascii="Arial" w:hAnsi="Arial" w:cs="Arial"/>
          <w:b/>
          <w:sz w:val="24"/>
          <w:szCs w:val="24"/>
        </w:rPr>
      </w:pPr>
      <w:r w:rsidRPr="00E53571">
        <w:rPr>
          <w:rFonts w:ascii="Arial" w:hAnsi="Arial" w:cs="Arial"/>
          <w:b/>
          <w:sz w:val="24"/>
          <w:szCs w:val="24"/>
        </w:rPr>
        <w:t>Resumen</w:t>
      </w:r>
    </w:p>
    <w:p w:rsidR="00A80678" w:rsidRPr="00E53571" w:rsidRDefault="00A80678" w:rsidP="00F16464">
      <w:pPr>
        <w:spacing w:line="240" w:lineRule="auto"/>
        <w:jc w:val="both"/>
        <w:rPr>
          <w:rFonts w:ascii="Arial" w:hAnsi="Arial" w:cs="Arial"/>
          <w:sz w:val="24"/>
          <w:szCs w:val="24"/>
        </w:rPr>
      </w:pPr>
      <w:r w:rsidRPr="00E53571">
        <w:rPr>
          <w:rFonts w:ascii="Arial" w:hAnsi="Arial" w:cs="Arial"/>
          <w:b/>
          <w:bCs/>
          <w:color w:val="000000"/>
          <w:sz w:val="24"/>
          <w:szCs w:val="24"/>
        </w:rPr>
        <w:t>INTRODUCCIÓN</w:t>
      </w:r>
      <w:r w:rsidRPr="00E53571">
        <w:rPr>
          <w:rFonts w:ascii="Arial" w:hAnsi="Arial" w:cs="Arial"/>
          <w:bCs/>
          <w:color w:val="000000"/>
          <w:sz w:val="24"/>
          <w:szCs w:val="24"/>
        </w:rPr>
        <w:t xml:space="preserve">: Estudios previos han demostrado el efecto hipolipemiante y antiinflamatorio de la especie </w:t>
      </w:r>
      <w:r w:rsidRPr="00E53571">
        <w:rPr>
          <w:rFonts w:ascii="Arial" w:hAnsi="Arial" w:cs="Arial"/>
          <w:bCs/>
          <w:i/>
          <w:color w:val="000000"/>
          <w:sz w:val="24"/>
          <w:szCs w:val="24"/>
        </w:rPr>
        <w:t>Agave brittoniana</w:t>
      </w:r>
      <w:r w:rsidRPr="00E53571">
        <w:rPr>
          <w:rFonts w:ascii="Arial" w:hAnsi="Arial" w:cs="Arial"/>
          <w:bCs/>
          <w:color w:val="000000"/>
          <w:sz w:val="24"/>
          <w:szCs w:val="24"/>
        </w:rPr>
        <w:t xml:space="preserve"> T en modelo de síndrome metabólico experimental (SME). Por otra parte se conoce que el hígado y los riñones se encuentran dentro de los órganos más afectados en esta condición metabólica. Evaluar el posible efecto a nivel tisular que causaría el tratamiento con productos extraídos de la especie en un modelo de SME, contribuiría a comprender los mecanismos involucrados en el efecto farmacológico de esta. </w:t>
      </w:r>
      <w:r w:rsidRPr="00E53571">
        <w:rPr>
          <w:rFonts w:ascii="Arial" w:hAnsi="Arial" w:cs="Arial"/>
          <w:b/>
          <w:bCs/>
          <w:color w:val="000000"/>
          <w:sz w:val="24"/>
          <w:szCs w:val="24"/>
        </w:rPr>
        <w:t>MATERIALES Y MÉTODOS</w:t>
      </w:r>
      <w:r w:rsidRPr="00E53571">
        <w:rPr>
          <w:rFonts w:ascii="Arial" w:hAnsi="Arial" w:cs="Arial"/>
          <w:bCs/>
          <w:color w:val="000000"/>
          <w:sz w:val="24"/>
          <w:szCs w:val="24"/>
        </w:rPr>
        <w:t xml:space="preserve">: </w:t>
      </w:r>
      <w:r w:rsidRPr="00E53571">
        <w:rPr>
          <w:rFonts w:ascii="Arial" w:eastAsia="DejaVu Sans" w:hAnsi="Arial" w:cs="Arial"/>
          <w:sz w:val="24"/>
          <w:szCs w:val="24"/>
        </w:rPr>
        <w:t xml:space="preserve">La obtención de SME se logró por suministro al 35% de solución de sacarosa durante 20 semanas a ratas machos Wistar recién destetados. Posteriormente se conformaron los grupos experimentales y se evaluaron dosis de 25, 50 y 100 mg/kg de </w:t>
      </w:r>
      <w:r>
        <w:rPr>
          <w:rFonts w:ascii="Arial" w:eastAsia="DejaVu Sans" w:hAnsi="Arial" w:cs="Arial"/>
          <w:sz w:val="24"/>
          <w:szCs w:val="24"/>
        </w:rPr>
        <w:t xml:space="preserve">un </w:t>
      </w:r>
      <w:r w:rsidRPr="00E53571">
        <w:rPr>
          <w:rFonts w:ascii="Arial" w:eastAsia="DejaVu Sans" w:hAnsi="Arial" w:cs="Arial"/>
          <w:sz w:val="24"/>
          <w:szCs w:val="24"/>
        </w:rPr>
        <w:t xml:space="preserve">crudo de sapogeninas. Se emplearon como controles la metformina y el ácido nicotínico. Las muestras de </w:t>
      </w:r>
      <w:r w:rsidRPr="00E53571">
        <w:rPr>
          <w:rFonts w:ascii="Arial" w:eastAsia="DejaVu Sans" w:hAnsi="Arial" w:cs="Arial"/>
          <w:sz w:val="24"/>
          <w:szCs w:val="24"/>
        </w:rPr>
        <w:lastRenderedPageBreak/>
        <w:t xml:space="preserve">hígado y riñón fueron extraídas posteriores a los 14 días de tratamiento, empleando los procedimientos para el procesamiento y estudio histopatológico de muestras. </w:t>
      </w:r>
      <w:r w:rsidRPr="00E53571">
        <w:rPr>
          <w:rFonts w:ascii="Arial" w:hAnsi="Arial" w:cs="Arial"/>
          <w:b/>
          <w:bCs/>
          <w:color w:val="000000"/>
          <w:sz w:val="24"/>
          <w:szCs w:val="24"/>
        </w:rPr>
        <w:t>RESULTADOS</w:t>
      </w:r>
      <w:r w:rsidRPr="00E53571">
        <w:rPr>
          <w:rFonts w:ascii="Arial" w:hAnsi="Arial" w:cs="Arial"/>
          <w:bCs/>
          <w:color w:val="000000"/>
          <w:sz w:val="24"/>
          <w:szCs w:val="24"/>
        </w:rPr>
        <w:t>: Se corroboró la presencia de esteatosis hepática micro y macrovacuolar en los animales con SME sin tratar. Las dosis baja y media de las sapogeninas disminuyeron este signo. En el grupo de mayor dosis de las sapogeninas el aspecto de los hepatocitos es completamente normal. En el estudio de las arteriolas renales se observó en SME sin tratamiento un engrosamiento arteriolar marcado con depósito de matriz extraceluar y disminución de la luz. En los grupos de menor dosis aún vemos que predomina este signo. Las dosis media y alta mejoran notableme</w:t>
      </w:r>
      <w:r>
        <w:rPr>
          <w:rFonts w:ascii="Arial" w:hAnsi="Arial" w:cs="Arial"/>
          <w:bCs/>
          <w:color w:val="000000"/>
          <w:sz w:val="24"/>
          <w:szCs w:val="24"/>
        </w:rPr>
        <w:t>nte el engrosamiento arteriolar</w:t>
      </w:r>
      <w:r w:rsidRPr="00E53571">
        <w:rPr>
          <w:rFonts w:ascii="Arial" w:hAnsi="Arial" w:cs="Arial"/>
          <w:bCs/>
          <w:color w:val="000000"/>
          <w:sz w:val="24"/>
          <w:szCs w:val="24"/>
        </w:rPr>
        <w:t xml:space="preserve">. También se aprecia en el grupo SME sin tratamiento atrofia glomerular y de tubulis. Este signo solo </w:t>
      </w:r>
      <w:r>
        <w:rPr>
          <w:rFonts w:ascii="Arial" w:hAnsi="Arial" w:cs="Arial"/>
          <w:bCs/>
          <w:color w:val="000000"/>
          <w:sz w:val="24"/>
          <w:szCs w:val="24"/>
        </w:rPr>
        <w:t>se observa en mayor grado en la dosis baja</w:t>
      </w:r>
      <w:r w:rsidRPr="00E53571">
        <w:rPr>
          <w:rFonts w:ascii="Arial" w:hAnsi="Arial" w:cs="Arial"/>
          <w:bCs/>
          <w:color w:val="000000"/>
          <w:sz w:val="24"/>
          <w:szCs w:val="24"/>
        </w:rPr>
        <w:t xml:space="preserve"> de </w:t>
      </w:r>
      <w:r>
        <w:rPr>
          <w:rFonts w:ascii="Arial" w:hAnsi="Arial" w:cs="Arial"/>
          <w:bCs/>
          <w:color w:val="000000"/>
          <w:sz w:val="24"/>
          <w:szCs w:val="24"/>
        </w:rPr>
        <w:t>las sapogeninas</w:t>
      </w:r>
      <w:r w:rsidRPr="00E53571">
        <w:rPr>
          <w:rFonts w:ascii="Arial" w:hAnsi="Arial" w:cs="Arial"/>
          <w:bCs/>
          <w:color w:val="000000"/>
          <w:sz w:val="24"/>
          <w:szCs w:val="24"/>
        </w:rPr>
        <w:t xml:space="preserve">. </w:t>
      </w:r>
      <w:r w:rsidRPr="00E53571">
        <w:rPr>
          <w:rFonts w:ascii="Arial" w:hAnsi="Arial" w:cs="Arial"/>
          <w:b/>
          <w:bCs/>
          <w:color w:val="000000"/>
          <w:sz w:val="24"/>
          <w:szCs w:val="24"/>
        </w:rPr>
        <w:t>CONCLUSIONES</w:t>
      </w:r>
      <w:r w:rsidRPr="00E53571">
        <w:rPr>
          <w:rFonts w:ascii="Arial" w:hAnsi="Arial" w:cs="Arial"/>
          <w:bCs/>
          <w:color w:val="000000"/>
          <w:sz w:val="24"/>
          <w:szCs w:val="24"/>
        </w:rPr>
        <w:t>: Solo en los grupos de dosis bajas de</w:t>
      </w:r>
      <w:r>
        <w:rPr>
          <w:rFonts w:ascii="Arial" w:hAnsi="Arial" w:cs="Arial"/>
          <w:bCs/>
          <w:color w:val="000000"/>
          <w:sz w:val="24"/>
          <w:szCs w:val="24"/>
        </w:rPr>
        <w:t>l</w:t>
      </w:r>
      <w:r w:rsidRPr="00E53571">
        <w:rPr>
          <w:rFonts w:ascii="Arial" w:hAnsi="Arial" w:cs="Arial"/>
          <w:bCs/>
          <w:color w:val="000000"/>
          <w:sz w:val="24"/>
          <w:szCs w:val="24"/>
        </w:rPr>
        <w:t xml:space="preserve"> </w:t>
      </w:r>
      <w:r>
        <w:rPr>
          <w:rFonts w:ascii="Arial" w:hAnsi="Arial" w:cs="Arial"/>
          <w:bCs/>
          <w:color w:val="000000"/>
          <w:sz w:val="24"/>
          <w:szCs w:val="24"/>
        </w:rPr>
        <w:t>producto evaluado</w:t>
      </w:r>
      <w:r w:rsidRPr="00E53571">
        <w:rPr>
          <w:rFonts w:ascii="Arial" w:hAnsi="Arial" w:cs="Arial"/>
          <w:bCs/>
          <w:color w:val="000000"/>
          <w:sz w:val="24"/>
          <w:szCs w:val="24"/>
        </w:rPr>
        <w:t xml:space="preserve"> de la especie, las alteraciones encontradas son similares al grupo enfermo sin tratar.</w:t>
      </w:r>
      <w:r>
        <w:rPr>
          <w:rFonts w:ascii="Arial" w:hAnsi="Arial" w:cs="Arial"/>
          <w:bCs/>
          <w:color w:val="000000"/>
          <w:sz w:val="24"/>
          <w:szCs w:val="24"/>
        </w:rPr>
        <w:t xml:space="preserve"> La dosis alta de sapogeninas logra</w:t>
      </w:r>
      <w:r w:rsidRPr="00E53571">
        <w:rPr>
          <w:rFonts w:ascii="Arial" w:hAnsi="Arial" w:cs="Arial"/>
          <w:bCs/>
          <w:color w:val="000000"/>
          <w:sz w:val="24"/>
          <w:szCs w:val="24"/>
        </w:rPr>
        <w:t xml:space="preserve"> resultados a nivel tisular similares al grupo sano.</w:t>
      </w:r>
    </w:p>
    <w:p w:rsidR="00A80678" w:rsidRPr="00E53571" w:rsidRDefault="00A80678" w:rsidP="006C08B4">
      <w:pPr>
        <w:spacing w:after="0" w:line="360" w:lineRule="auto"/>
        <w:jc w:val="both"/>
        <w:rPr>
          <w:rFonts w:ascii="Arial" w:hAnsi="Arial" w:cs="Arial"/>
          <w:b/>
          <w:sz w:val="24"/>
          <w:szCs w:val="24"/>
        </w:rPr>
      </w:pPr>
    </w:p>
    <w:p w:rsidR="00A80678" w:rsidRPr="00E53571" w:rsidRDefault="00A80678" w:rsidP="003317F1">
      <w:pPr>
        <w:spacing w:after="0" w:line="360" w:lineRule="auto"/>
        <w:jc w:val="both"/>
        <w:rPr>
          <w:rFonts w:ascii="Arial" w:hAnsi="Arial" w:cs="Arial"/>
          <w:b/>
          <w:sz w:val="24"/>
          <w:szCs w:val="24"/>
        </w:rPr>
      </w:pPr>
      <w:r w:rsidRPr="00E53571">
        <w:rPr>
          <w:rFonts w:ascii="Arial" w:hAnsi="Arial" w:cs="Arial"/>
          <w:b/>
          <w:sz w:val="24"/>
          <w:szCs w:val="24"/>
        </w:rPr>
        <w:t>Introducción</w:t>
      </w:r>
    </w:p>
    <w:p w:rsidR="00A80678" w:rsidRDefault="00A80678" w:rsidP="00F80412">
      <w:pPr>
        <w:pStyle w:val="Predeterminado"/>
        <w:spacing w:before="240" w:after="0" w:line="360" w:lineRule="auto"/>
        <w:jc w:val="both"/>
        <w:rPr>
          <w:rFonts w:ascii="Arial" w:hAnsi="Arial" w:cs="Arial"/>
          <w:sz w:val="24"/>
          <w:szCs w:val="24"/>
          <w:vertAlign w:val="superscript"/>
        </w:rPr>
      </w:pPr>
      <w:r w:rsidRPr="00E53571">
        <w:rPr>
          <w:rFonts w:ascii="Arial" w:hAnsi="Arial" w:cs="Arial"/>
          <w:sz w:val="24"/>
          <w:szCs w:val="24"/>
        </w:rPr>
        <w:t>La importancia clínica del diagnóstico de SM ha sido tema de debate en los últimos años y un panel de expertos de la Organización Mundial de la Salud (OMS) ha opinado que el SM es más un concepto fisiopatológico que una herramienta de uso clínico.</w:t>
      </w:r>
      <w:r>
        <w:rPr>
          <w:rFonts w:ascii="Arial" w:hAnsi="Arial" w:cs="Arial"/>
          <w:sz w:val="24"/>
          <w:szCs w:val="24"/>
          <w:vertAlign w:val="superscript"/>
        </w:rPr>
        <w:t>(1)</w:t>
      </w:r>
      <w:r>
        <w:rPr>
          <w:rFonts w:ascii="Arial" w:hAnsi="Arial" w:cs="Arial"/>
          <w:sz w:val="24"/>
          <w:szCs w:val="24"/>
        </w:rPr>
        <w:t xml:space="preserve"> </w:t>
      </w:r>
      <w:r w:rsidRPr="00E53571">
        <w:rPr>
          <w:rFonts w:ascii="Arial" w:hAnsi="Arial" w:cs="Arial"/>
          <w:sz w:val="24"/>
          <w:szCs w:val="24"/>
        </w:rPr>
        <w:t>Más allá de este debate, existe consenso en que la identificación de individuos con alto riesgo de desarrollar diabetes o eventos cardiovasculares por presentar un mayor grado de resistencia a la insulina (e hiperinsulinemia compensadora) es el tema central.</w:t>
      </w:r>
      <w:r>
        <w:rPr>
          <w:rFonts w:ascii="Arial" w:hAnsi="Arial" w:cs="Arial"/>
          <w:sz w:val="24"/>
          <w:szCs w:val="24"/>
          <w:vertAlign w:val="superscript"/>
        </w:rPr>
        <w:t>(2,3)</w:t>
      </w:r>
    </w:p>
    <w:p w:rsidR="00A80678" w:rsidRPr="00E53571" w:rsidRDefault="00A80678" w:rsidP="00F80412">
      <w:pPr>
        <w:pStyle w:val="Predeterminado"/>
        <w:spacing w:before="240" w:after="0" w:line="360" w:lineRule="auto"/>
        <w:jc w:val="both"/>
        <w:rPr>
          <w:rFonts w:ascii="Arial" w:hAnsi="Arial" w:cs="Arial"/>
          <w:sz w:val="24"/>
          <w:szCs w:val="24"/>
          <w:vertAlign w:val="superscript"/>
        </w:rPr>
      </w:pPr>
      <w:r w:rsidRPr="00E53571">
        <w:rPr>
          <w:rFonts w:ascii="Arial" w:hAnsi="Arial" w:cs="Arial"/>
          <w:sz w:val="24"/>
          <w:szCs w:val="24"/>
        </w:rPr>
        <w:t>Dentro de los componentes del SM destacamos los metabólicos (obesidad, diabetes tipo 2, dislipemia, hiperglucemia) y los no metabólicos (hipertensión arterial, inflamatorios, protrombóticos).</w:t>
      </w:r>
      <w:r>
        <w:rPr>
          <w:rFonts w:ascii="Arial" w:hAnsi="Arial" w:cs="Arial"/>
          <w:sz w:val="24"/>
          <w:szCs w:val="24"/>
          <w:vertAlign w:val="superscript"/>
        </w:rPr>
        <w:t>(4)</w:t>
      </w:r>
      <w:r w:rsidRPr="00E53571">
        <w:rPr>
          <w:rFonts w:ascii="Arial" w:hAnsi="Arial" w:cs="Arial"/>
          <w:sz w:val="24"/>
          <w:szCs w:val="24"/>
        </w:rPr>
        <w:t xml:space="preserve"> El SM se relaciona con la diabetes mellitus y las enfermedades cardiovasculares y además, se asocia a un número creciente de entidades nosológicas. El hígado graso no alcohólico se considera la manifestación hepática del síndrome </w:t>
      </w:r>
      <w:r>
        <w:rPr>
          <w:rFonts w:ascii="Arial" w:hAnsi="Arial" w:cs="Arial"/>
          <w:noProof/>
          <w:sz w:val="24"/>
          <w:szCs w:val="24"/>
          <w:vertAlign w:val="superscript"/>
        </w:rPr>
        <w:t>(5)</w:t>
      </w:r>
      <w:r w:rsidRPr="00E53571">
        <w:rPr>
          <w:rFonts w:ascii="Arial" w:hAnsi="Arial" w:cs="Arial"/>
          <w:sz w:val="24"/>
          <w:szCs w:val="24"/>
        </w:rPr>
        <w:t xml:space="preserve"> </w:t>
      </w:r>
    </w:p>
    <w:p w:rsidR="00A80678" w:rsidRPr="00E53571" w:rsidRDefault="00A80678" w:rsidP="003317F1">
      <w:pPr>
        <w:spacing w:before="240" w:after="0" w:line="360" w:lineRule="auto"/>
        <w:jc w:val="both"/>
        <w:rPr>
          <w:rFonts w:ascii="Arial" w:hAnsi="Arial" w:cs="Arial"/>
          <w:b/>
          <w:sz w:val="24"/>
          <w:szCs w:val="24"/>
        </w:rPr>
      </w:pPr>
      <w:r w:rsidRPr="00E53571">
        <w:rPr>
          <w:rFonts w:ascii="Arial" w:hAnsi="Arial" w:cs="Arial"/>
          <w:b/>
          <w:sz w:val="24"/>
          <w:szCs w:val="24"/>
        </w:rPr>
        <w:t>Objetivos</w:t>
      </w:r>
      <w:r>
        <w:rPr>
          <w:rFonts w:ascii="Arial" w:hAnsi="Arial" w:cs="Arial"/>
          <w:b/>
          <w:sz w:val="24"/>
          <w:szCs w:val="24"/>
        </w:rPr>
        <w:t xml:space="preserve">: </w:t>
      </w:r>
      <w:r w:rsidRPr="00E53571">
        <w:rPr>
          <w:rFonts w:ascii="Arial" w:hAnsi="Arial" w:cs="Arial"/>
          <w:bCs/>
          <w:color w:val="000000"/>
          <w:sz w:val="24"/>
          <w:szCs w:val="24"/>
        </w:rPr>
        <w:t xml:space="preserve">Evaluar el posible efecto a nivel tisular en hígado y riñón, que causaría el tratamiento con productos extraídos de la especie </w:t>
      </w:r>
      <w:r w:rsidRPr="00E53571">
        <w:rPr>
          <w:rFonts w:ascii="Arial" w:hAnsi="Arial" w:cs="Arial"/>
          <w:bCs/>
          <w:i/>
          <w:color w:val="000000"/>
          <w:sz w:val="24"/>
          <w:szCs w:val="24"/>
        </w:rPr>
        <w:t>Agave brittoniana</w:t>
      </w:r>
      <w:r w:rsidRPr="00E53571">
        <w:rPr>
          <w:rFonts w:ascii="Arial" w:hAnsi="Arial" w:cs="Arial"/>
          <w:bCs/>
          <w:color w:val="000000"/>
          <w:sz w:val="24"/>
          <w:szCs w:val="24"/>
        </w:rPr>
        <w:t xml:space="preserve"> Trel subespecie </w:t>
      </w:r>
      <w:r w:rsidRPr="00E53571">
        <w:rPr>
          <w:rFonts w:ascii="Arial" w:hAnsi="Arial" w:cs="Arial"/>
          <w:bCs/>
          <w:i/>
          <w:color w:val="000000"/>
          <w:sz w:val="24"/>
          <w:szCs w:val="24"/>
        </w:rPr>
        <w:t>brachypus</w:t>
      </w:r>
      <w:r w:rsidRPr="00E53571">
        <w:rPr>
          <w:rFonts w:ascii="Arial" w:hAnsi="Arial" w:cs="Arial"/>
          <w:bCs/>
          <w:color w:val="000000"/>
          <w:sz w:val="24"/>
          <w:szCs w:val="24"/>
        </w:rPr>
        <w:t xml:space="preserve"> en un modelo de Síndrome Metabólico Experimental (SME).</w:t>
      </w:r>
    </w:p>
    <w:p w:rsidR="00A80678" w:rsidRDefault="00A80678" w:rsidP="003317F1">
      <w:pPr>
        <w:spacing w:before="240" w:line="360" w:lineRule="auto"/>
        <w:jc w:val="both"/>
        <w:rPr>
          <w:rFonts w:ascii="Arial" w:hAnsi="Arial" w:cs="Arial"/>
          <w:b/>
          <w:sz w:val="24"/>
          <w:szCs w:val="24"/>
        </w:rPr>
      </w:pPr>
    </w:p>
    <w:p w:rsidR="00A80678" w:rsidRPr="00E53571" w:rsidRDefault="00A80678" w:rsidP="003317F1">
      <w:pPr>
        <w:spacing w:before="240" w:line="360" w:lineRule="auto"/>
        <w:jc w:val="both"/>
        <w:rPr>
          <w:rFonts w:ascii="Arial" w:hAnsi="Arial" w:cs="Arial"/>
          <w:b/>
          <w:sz w:val="24"/>
          <w:szCs w:val="24"/>
        </w:rPr>
      </w:pPr>
      <w:r w:rsidRPr="00E53571">
        <w:rPr>
          <w:rFonts w:ascii="Arial" w:hAnsi="Arial" w:cs="Arial"/>
          <w:b/>
          <w:sz w:val="24"/>
          <w:szCs w:val="24"/>
        </w:rPr>
        <w:lastRenderedPageBreak/>
        <w:t>Materiales y métodos</w:t>
      </w:r>
    </w:p>
    <w:p w:rsidR="00A80678" w:rsidRPr="00E53571" w:rsidRDefault="00A80678" w:rsidP="001D2980">
      <w:pPr>
        <w:spacing w:before="240" w:line="360" w:lineRule="auto"/>
        <w:jc w:val="both"/>
        <w:rPr>
          <w:rFonts w:ascii="Arial" w:hAnsi="Arial" w:cs="Arial"/>
          <w:sz w:val="24"/>
          <w:szCs w:val="24"/>
        </w:rPr>
      </w:pPr>
      <w:bookmarkStart w:id="1" w:name="_Toc454661640"/>
      <w:bookmarkStart w:id="2" w:name="_Toc455675948"/>
      <w:r w:rsidRPr="00E53571">
        <w:rPr>
          <w:rFonts w:ascii="Arial" w:hAnsi="Arial" w:cs="Arial"/>
          <w:sz w:val="24"/>
          <w:szCs w:val="24"/>
        </w:rPr>
        <w:t xml:space="preserve">El modelo de SME se logró por la aplicación de una solución de sacarosa </w:t>
      </w:r>
      <w:r w:rsidRPr="00E53571">
        <w:rPr>
          <w:rFonts w:ascii="Arial" w:hAnsi="Arial" w:cs="Arial"/>
          <w:i/>
          <w:sz w:val="24"/>
          <w:szCs w:val="24"/>
        </w:rPr>
        <w:t>ad libitum</w:t>
      </w:r>
      <w:r w:rsidRPr="00E53571">
        <w:rPr>
          <w:rFonts w:ascii="Arial" w:hAnsi="Arial" w:cs="Arial"/>
          <w:sz w:val="24"/>
          <w:szCs w:val="24"/>
        </w:rPr>
        <w:t xml:space="preserve"> al 35% como agua de bebida durante 20 semanas a </w:t>
      </w:r>
      <w:r w:rsidRPr="00E53571">
        <w:rPr>
          <w:rFonts w:ascii="Arial" w:hAnsi="Arial" w:cs="Arial"/>
          <w:snapToGrid w:val="0"/>
          <w:color w:val="000000"/>
          <w:sz w:val="24"/>
          <w:szCs w:val="24"/>
          <w:lang w:val="es-ES_tradnl"/>
        </w:rPr>
        <w:t>neonatos machos, resultado del cruzamiento de ratas Wistar.</w:t>
      </w:r>
      <w:r w:rsidRPr="00E53571">
        <w:rPr>
          <w:rFonts w:ascii="Arial" w:hAnsi="Arial" w:cs="Arial"/>
          <w:sz w:val="24"/>
          <w:szCs w:val="24"/>
        </w:rPr>
        <w:t xml:space="preserve"> E</w:t>
      </w:r>
      <w:r w:rsidRPr="00E53571">
        <w:rPr>
          <w:rFonts w:ascii="Arial" w:hAnsi="Arial" w:cs="Arial"/>
          <w:snapToGrid w:val="0"/>
          <w:sz w:val="24"/>
          <w:szCs w:val="24"/>
          <w:lang w:val="es-ES_tradnl"/>
        </w:rPr>
        <w:t xml:space="preserve">l apareamiento fue realizado con ratas Wistar de 180 a 200 g procedentes del CENPALAB </w:t>
      </w:r>
      <w:r w:rsidRPr="00E53571">
        <w:rPr>
          <w:rFonts w:ascii="Arial" w:hAnsi="Arial" w:cs="Arial"/>
          <w:sz w:val="24"/>
          <w:szCs w:val="24"/>
          <w:lang w:val="es-CO"/>
        </w:rPr>
        <w:t xml:space="preserve">en condiciones libres de patógenos, </w:t>
      </w:r>
      <w:r w:rsidRPr="00E53571">
        <w:rPr>
          <w:rFonts w:ascii="Arial" w:hAnsi="Arial" w:cs="Arial"/>
          <w:snapToGrid w:val="0"/>
          <w:color w:val="000000"/>
          <w:sz w:val="24"/>
          <w:szCs w:val="24"/>
          <w:lang w:val="es-ES_tradnl"/>
        </w:rPr>
        <w:t>a razón de dos hembras por macho. L</w:t>
      </w:r>
      <w:r w:rsidRPr="00E53571">
        <w:rPr>
          <w:rFonts w:ascii="Arial" w:hAnsi="Arial" w:cs="Arial"/>
          <w:sz w:val="24"/>
          <w:szCs w:val="24"/>
        </w:rPr>
        <w:t xml:space="preserve">as progenitoras estuvieron 42 días sometidas a la dieta hiperglucídica, período que coincidió con la gestación y la lactancia materna. </w:t>
      </w:r>
    </w:p>
    <w:p w:rsidR="00A80678" w:rsidRPr="00E53571" w:rsidRDefault="00A80678" w:rsidP="001D2980">
      <w:pPr>
        <w:spacing w:before="240" w:after="0" w:line="360" w:lineRule="auto"/>
        <w:jc w:val="both"/>
        <w:rPr>
          <w:rFonts w:ascii="Arial" w:hAnsi="Arial" w:cs="Arial"/>
          <w:sz w:val="24"/>
          <w:szCs w:val="24"/>
        </w:rPr>
      </w:pPr>
      <w:r w:rsidRPr="00E53571">
        <w:rPr>
          <w:rFonts w:ascii="Arial" w:hAnsi="Arial" w:cs="Arial"/>
          <w:sz w:val="24"/>
          <w:szCs w:val="24"/>
        </w:rPr>
        <w:t xml:space="preserve">El grupo control negativo solo consumió dieta convencional, el resto de los animales consumió la dieta convencional más solución de sacarosa al 35%. Diariamente los animales tuvieron acceso a la solución hiperglucídica al mismo tiempo que al agua, situadas en recipientes separados. </w:t>
      </w:r>
    </w:p>
    <w:p w:rsidR="00A80678" w:rsidRPr="00E53571" w:rsidRDefault="00A80678" w:rsidP="001D2980">
      <w:pPr>
        <w:spacing w:before="240" w:after="0" w:line="360" w:lineRule="auto"/>
        <w:jc w:val="both"/>
        <w:rPr>
          <w:rFonts w:ascii="Arial" w:hAnsi="Arial" w:cs="Arial"/>
          <w:snapToGrid w:val="0"/>
          <w:sz w:val="24"/>
          <w:szCs w:val="24"/>
          <w:lang w:eastAsia="es-ES"/>
        </w:rPr>
      </w:pPr>
      <w:r w:rsidRPr="00E53571">
        <w:rPr>
          <w:rFonts w:ascii="Arial" w:hAnsi="Arial" w:cs="Arial"/>
          <w:snapToGrid w:val="0"/>
          <w:color w:val="000000"/>
          <w:sz w:val="24"/>
          <w:szCs w:val="24"/>
          <w:lang w:val="es-ES_tradnl"/>
        </w:rPr>
        <w:t xml:space="preserve">Se formaron grupos experimentales de 10 animales cada uno correspondiente a </w:t>
      </w:r>
      <w:r w:rsidRPr="00E53571">
        <w:rPr>
          <w:rFonts w:ascii="Arial" w:hAnsi="Arial" w:cs="Arial"/>
          <w:snapToGrid w:val="0"/>
          <w:sz w:val="24"/>
          <w:szCs w:val="24"/>
          <w:lang w:eastAsia="es-ES"/>
        </w:rPr>
        <w:t>Sapogeninas (SAPOG) con tres grupos de dosis baja (25 mg/Kg), dosis media (50 mg/Kg) y dosis alta (100 mg/Kg), Metformina (METF) y Ácido nicotínico (ANICT), estos tres últimos grupos con 100 mg/Kg y finalmente un grupo con la inducción del SME pero sin tratar y el grupo control negativo o sano.</w:t>
      </w:r>
    </w:p>
    <w:p w:rsidR="00A80678" w:rsidRPr="00E53571" w:rsidRDefault="00A80678" w:rsidP="001D2980">
      <w:pPr>
        <w:spacing w:before="240" w:after="0" w:line="360" w:lineRule="auto"/>
        <w:jc w:val="both"/>
        <w:rPr>
          <w:rFonts w:ascii="Arial" w:hAnsi="Arial" w:cs="Arial"/>
          <w:sz w:val="24"/>
          <w:szCs w:val="24"/>
        </w:rPr>
      </w:pPr>
      <w:r w:rsidRPr="00E53571">
        <w:rPr>
          <w:rFonts w:ascii="Arial" w:hAnsi="Arial" w:cs="Arial"/>
          <w:bCs/>
          <w:color w:val="000000"/>
          <w:sz w:val="24"/>
          <w:szCs w:val="24"/>
        </w:rPr>
        <w:t xml:space="preserve">Terminada la inducción del SME en la semana 20, se comenzó la administración diaria durante 14 días, por vía oral de las sustancias de estudio. La misma dieta hiperglucídica, se mantuvo hasta finalizar el estudio en la semana 22. Las muestras de tejido fueron tomadas inmediatamente después de la eutanasia y conservadas en formol al 10% durante 24 horas. Todas fueron procesadas por la técnica clásica de </w:t>
      </w:r>
      <w:bookmarkEnd w:id="1"/>
      <w:bookmarkEnd w:id="2"/>
      <w:r w:rsidRPr="00E53571">
        <w:rPr>
          <w:rFonts w:ascii="Arial" w:hAnsi="Arial" w:cs="Arial"/>
          <w:sz w:val="24"/>
          <w:szCs w:val="24"/>
        </w:rPr>
        <w:t>de inclusión en parafina para la obtención de los bloques procedentes de dicho estudio.</w:t>
      </w:r>
      <w:r w:rsidRPr="00E53571">
        <w:rPr>
          <w:rFonts w:ascii="Arial" w:hAnsi="Arial" w:cs="Arial"/>
          <w:sz w:val="24"/>
          <w:szCs w:val="24"/>
          <w:vertAlign w:val="superscript"/>
        </w:rPr>
        <w:t>(</w:t>
      </w:r>
      <w:r>
        <w:rPr>
          <w:rFonts w:ascii="Arial" w:hAnsi="Arial" w:cs="Arial"/>
          <w:sz w:val="24"/>
          <w:szCs w:val="24"/>
          <w:vertAlign w:val="superscript"/>
        </w:rPr>
        <w:t>6</w:t>
      </w:r>
      <w:r w:rsidRPr="00E53571">
        <w:rPr>
          <w:rFonts w:ascii="Arial" w:hAnsi="Arial" w:cs="Arial"/>
          <w:sz w:val="24"/>
          <w:szCs w:val="24"/>
          <w:vertAlign w:val="superscript"/>
        </w:rPr>
        <w:t xml:space="preserve">) </w:t>
      </w:r>
    </w:p>
    <w:p w:rsidR="00A80678" w:rsidRPr="00E53571" w:rsidRDefault="00A80678" w:rsidP="00A80678">
      <w:pPr>
        <w:spacing w:before="240" w:after="0" w:line="360" w:lineRule="auto"/>
        <w:jc w:val="both"/>
        <w:rPr>
          <w:rFonts w:ascii="Arial" w:hAnsi="Arial" w:cs="Arial"/>
          <w:sz w:val="24"/>
          <w:szCs w:val="24"/>
        </w:rPr>
      </w:pPr>
      <w:r w:rsidRPr="00E53571">
        <w:rPr>
          <w:rFonts w:ascii="Arial" w:hAnsi="Arial" w:cs="Arial"/>
          <w:sz w:val="24"/>
          <w:szCs w:val="24"/>
        </w:rPr>
        <w:t>La observación se realizó en microscopio óptico binocular OPTECH (Optical Technology Japan), con ocular 10x y objetivo 4x, 10x y 40x. La captación de imágenes se efectuó con una cámara digital Canon Power Shot G11 (Japan), acoplada a dicho microscopio. Los hallazgos se concentraron en la localización de cambios grasos en los tejidos evaluados, necrosis, inflamación, así como atrofia y/o hipertrofia de las células.</w:t>
      </w:r>
    </w:p>
    <w:p w:rsidR="00A80678" w:rsidRDefault="00A80678" w:rsidP="003317F1">
      <w:pPr>
        <w:spacing w:before="240" w:after="0" w:line="360" w:lineRule="auto"/>
        <w:jc w:val="both"/>
        <w:rPr>
          <w:rFonts w:ascii="Arial" w:hAnsi="Arial" w:cs="Arial"/>
          <w:b/>
          <w:sz w:val="24"/>
          <w:szCs w:val="24"/>
        </w:rPr>
      </w:pPr>
    </w:p>
    <w:p w:rsidR="00A80678" w:rsidRPr="00E53571" w:rsidRDefault="00A80678" w:rsidP="003317F1">
      <w:pPr>
        <w:spacing w:before="240" w:after="0" w:line="360" w:lineRule="auto"/>
        <w:jc w:val="both"/>
        <w:rPr>
          <w:rFonts w:ascii="Arial" w:hAnsi="Arial" w:cs="Arial"/>
          <w:b/>
          <w:sz w:val="24"/>
          <w:szCs w:val="24"/>
        </w:rPr>
      </w:pPr>
      <w:r w:rsidRPr="00E53571">
        <w:rPr>
          <w:rFonts w:ascii="Arial" w:hAnsi="Arial" w:cs="Arial"/>
          <w:b/>
          <w:sz w:val="24"/>
          <w:szCs w:val="24"/>
        </w:rPr>
        <w:t>Resultados y discusión</w:t>
      </w:r>
    </w:p>
    <w:p w:rsidR="00A80678" w:rsidRPr="00E53571" w:rsidRDefault="00A80678" w:rsidP="003317F1">
      <w:pPr>
        <w:tabs>
          <w:tab w:val="center" w:pos="10512"/>
        </w:tabs>
        <w:spacing w:before="240" w:line="360" w:lineRule="auto"/>
        <w:jc w:val="both"/>
        <w:rPr>
          <w:rFonts w:ascii="Arial" w:hAnsi="Arial" w:cs="Arial"/>
          <w:bCs/>
          <w:color w:val="000000"/>
          <w:sz w:val="24"/>
          <w:szCs w:val="24"/>
        </w:rPr>
      </w:pPr>
      <w:r w:rsidRPr="00E53571">
        <w:rPr>
          <w:rFonts w:ascii="Arial" w:hAnsi="Arial" w:cs="Arial"/>
          <w:bCs/>
          <w:color w:val="000000"/>
          <w:sz w:val="24"/>
          <w:szCs w:val="24"/>
        </w:rPr>
        <w:t>Los estudios de los cortes histológicos del tejido hepático mostrados en la Fig.1. La presencia de esteatosis micro y macrovacuolar constituyen signos característicos de este modelo experimental.</w:t>
      </w:r>
    </w:p>
    <w:p w:rsidR="00A80678" w:rsidRPr="00E53571" w:rsidRDefault="00A80678" w:rsidP="003317F1">
      <w:pPr>
        <w:tabs>
          <w:tab w:val="center" w:pos="10512"/>
        </w:tabs>
        <w:spacing w:after="0" w:line="360" w:lineRule="auto"/>
        <w:jc w:val="both"/>
        <w:rPr>
          <w:rFonts w:ascii="Arial" w:hAnsi="Arial" w:cs="Arial"/>
          <w:sz w:val="24"/>
          <w:szCs w:val="24"/>
        </w:rPr>
      </w:pPr>
      <w:r w:rsidRPr="00E53571">
        <w:rPr>
          <w:rFonts w:ascii="Arial" w:hAnsi="Arial" w:cs="Arial"/>
          <w:bCs/>
          <w:color w:val="000000"/>
          <w:sz w:val="24"/>
          <w:szCs w:val="24"/>
        </w:rPr>
        <w:t>La siguiente figura muestra tejido h</w:t>
      </w:r>
      <w:r>
        <w:rPr>
          <w:rFonts w:ascii="Arial" w:hAnsi="Arial" w:cs="Arial"/>
          <w:bCs/>
          <w:color w:val="000000"/>
          <w:sz w:val="24"/>
          <w:szCs w:val="24"/>
        </w:rPr>
        <w:t>epático de grupos tratados con m</w:t>
      </w:r>
      <w:r w:rsidRPr="00E53571">
        <w:rPr>
          <w:rFonts w:ascii="Arial" w:hAnsi="Arial" w:cs="Arial"/>
          <w:bCs/>
          <w:color w:val="000000"/>
          <w:sz w:val="24"/>
          <w:szCs w:val="24"/>
        </w:rPr>
        <w:t>etformina y ácido nicotínico, así como los tres niveles de dosis de las sapogeninas extraídas de la planta.</w:t>
      </w:r>
    </w:p>
    <w:p w:rsidR="00A80678" w:rsidRPr="00E53571" w:rsidRDefault="00A80678" w:rsidP="003317F1">
      <w:pPr>
        <w:tabs>
          <w:tab w:val="center" w:pos="10512"/>
        </w:tabs>
        <w:spacing w:before="240" w:line="360" w:lineRule="auto"/>
        <w:jc w:val="both"/>
        <w:rPr>
          <w:rFonts w:ascii="Arial" w:hAnsi="Arial" w:cs="Arial"/>
          <w:sz w:val="24"/>
          <w:szCs w:val="24"/>
          <w:lang w:val="es-ES"/>
        </w:rPr>
      </w:pPr>
      <w:r w:rsidRPr="00E53571">
        <w:rPr>
          <w:rFonts w:ascii="Arial" w:hAnsi="Arial" w:cs="Arial"/>
          <w:bCs/>
          <w:color w:val="000000"/>
          <w:sz w:val="24"/>
          <w:szCs w:val="24"/>
        </w:rPr>
        <w:t>En las dosis dosis baja y media de las sapogeninas la esteatosis micro y macrovacuolar es leve, sin embargo, ya en el grupo de mayor dosis el aspecto de los hepatocitos es completamente normal, al igual que en los controles de Metformina y Ácido Nicotínico.</w:t>
      </w:r>
    </w:p>
    <w:p w:rsidR="00A80678" w:rsidRPr="00180887" w:rsidRDefault="00A80678" w:rsidP="003317F1">
      <w:pPr>
        <w:spacing w:before="240" w:line="360" w:lineRule="auto"/>
        <w:jc w:val="both"/>
        <w:rPr>
          <w:rFonts w:ascii="Arial" w:hAnsi="Arial" w:cs="Arial"/>
          <w:bCs/>
          <w:color w:val="000000"/>
          <w:sz w:val="24"/>
          <w:szCs w:val="24"/>
        </w:rPr>
      </w:pPr>
      <w:r>
        <w:rPr>
          <w:rFonts w:ascii="Arial" w:hAnsi="Arial" w:cs="Arial"/>
          <w:bCs/>
          <w:color w:val="000000"/>
          <w:sz w:val="24"/>
          <w:szCs w:val="24"/>
        </w:rPr>
        <w:t xml:space="preserve">El </w:t>
      </w:r>
      <w:r w:rsidRPr="00180887">
        <w:rPr>
          <w:rFonts w:ascii="Arial" w:hAnsi="Arial" w:cs="Arial"/>
          <w:bCs/>
          <w:color w:val="000000"/>
          <w:sz w:val="24"/>
          <w:szCs w:val="24"/>
        </w:rPr>
        <w:t xml:space="preserve">hígado </w:t>
      </w:r>
      <w:r>
        <w:rPr>
          <w:rFonts w:ascii="Arial" w:hAnsi="Arial" w:cs="Arial"/>
          <w:bCs/>
          <w:color w:val="000000"/>
          <w:sz w:val="24"/>
          <w:szCs w:val="24"/>
        </w:rPr>
        <w:t xml:space="preserve">es uno de los órganos blancos de </w:t>
      </w:r>
      <w:r>
        <w:rPr>
          <w:rFonts w:eastAsia="Symbol"/>
        </w:rPr>
        <w:t>los daños metabólicos</w:t>
      </w:r>
      <w:r w:rsidRPr="00180887">
        <w:rPr>
          <w:rFonts w:ascii="Arial" w:hAnsi="Arial" w:cs="Arial"/>
          <w:bCs/>
          <w:color w:val="000000"/>
          <w:sz w:val="24"/>
          <w:szCs w:val="24"/>
        </w:rPr>
        <w:t xml:space="preserve"> </w:t>
      </w:r>
      <w:r>
        <w:rPr>
          <w:rFonts w:ascii="Arial" w:hAnsi="Arial" w:cs="Arial"/>
          <w:bCs/>
          <w:color w:val="000000"/>
          <w:sz w:val="24"/>
          <w:szCs w:val="24"/>
        </w:rPr>
        <w:t>que se asocian al SM.</w:t>
      </w:r>
      <w:r w:rsidRPr="005E1AB0">
        <w:rPr>
          <w:rFonts w:ascii="Arial" w:hAnsi="Arial" w:cs="Arial"/>
          <w:bCs/>
          <w:noProof/>
          <w:color w:val="000000"/>
          <w:sz w:val="24"/>
          <w:szCs w:val="24"/>
          <w:vertAlign w:val="superscript"/>
        </w:rPr>
        <w:t>(</w:t>
      </w:r>
      <w:r>
        <w:rPr>
          <w:rFonts w:ascii="Arial" w:hAnsi="Arial" w:cs="Arial"/>
          <w:bCs/>
          <w:noProof/>
          <w:color w:val="000000"/>
          <w:sz w:val="24"/>
          <w:szCs w:val="24"/>
          <w:vertAlign w:val="superscript"/>
        </w:rPr>
        <w:t>7</w:t>
      </w:r>
      <w:r w:rsidRPr="005E1AB0">
        <w:rPr>
          <w:rFonts w:ascii="Arial" w:hAnsi="Arial" w:cs="Arial"/>
          <w:bCs/>
          <w:noProof/>
          <w:color w:val="000000"/>
          <w:sz w:val="24"/>
          <w:szCs w:val="24"/>
          <w:vertAlign w:val="superscript"/>
        </w:rPr>
        <w:t>)</w:t>
      </w:r>
      <w:r>
        <w:rPr>
          <w:rFonts w:ascii="Arial" w:hAnsi="Arial" w:cs="Arial"/>
          <w:bCs/>
          <w:color w:val="000000"/>
          <w:sz w:val="24"/>
          <w:szCs w:val="24"/>
        </w:rPr>
        <w:t xml:space="preserve"> De esta manera es en el  hepatocito donde se encuentran un notable cambio en su arquitectura, que por supuesto altera su funcionamiento. La disminución del grado de estaeatosis provocado por la sapogeninas de manera dosis dependiente, estaría relacionado con </w:t>
      </w:r>
      <w:r w:rsidRPr="00180887">
        <w:rPr>
          <w:rFonts w:ascii="Arial" w:hAnsi="Arial" w:cs="Arial"/>
          <w:bCs/>
          <w:color w:val="000000"/>
          <w:sz w:val="24"/>
          <w:szCs w:val="24"/>
        </w:rPr>
        <w:t xml:space="preserve">el posible efecto reductor en la síntesis de lípidos a nivel hepático y la formación de las VLDL, </w:t>
      </w:r>
      <w:r>
        <w:rPr>
          <w:rFonts w:ascii="Arial" w:hAnsi="Arial" w:cs="Arial"/>
          <w:bCs/>
          <w:color w:val="000000"/>
          <w:sz w:val="24"/>
          <w:szCs w:val="24"/>
        </w:rPr>
        <w:t>lo que contribuiría</w:t>
      </w:r>
      <w:r w:rsidRPr="00180887">
        <w:rPr>
          <w:rFonts w:ascii="Arial" w:hAnsi="Arial" w:cs="Arial"/>
          <w:bCs/>
          <w:color w:val="000000"/>
          <w:sz w:val="24"/>
          <w:szCs w:val="24"/>
        </w:rPr>
        <w:t xml:space="preserve"> a </w:t>
      </w:r>
      <w:r>
        <w:rPr>
          <w:rFonts w:ascii="Arial" w:hAnsi="Arial" w:cs="Arial"/>
          <w:bCs/>
          <w:color w:val="000000"/>
          <w:sz w:val="24"/>
          <w:szCs w:val="24"/>
        </w:rPr>
        <w:t>disminuir</w:t>
      </w:r>
      <w:r w:rsidRPr="00180887">
        <w:rPr>
          <w:rFonts w:ascii="Arial" w:hAnsi="Arial" w:cs="Arial"/>
          <w:bCs/>
          <w:color w:val="000000"/>
          <w:sz w:val="24"/>
          <w:szCs w:val="24"/>
        </w:rPr>
        <w:t xml:space="preserve"> los almacenes grasos en este tejido </w:t>
      </w:r>
      <w:r>
        <w:rPr>
          <w:rFonts w:ascii="Arial" w:hAnsi="Arial" w:cs="Arial"/>
          <w:bCs/>
          <w:color w:val="000000"/>
          <w:sz w:val="24"/>
          <w:szCs w:val="24"/>
        </w:rPr>
        <w:t xml:space="preserve">que permiten la </w:t>
      </w:r>
      <w:r w:rsidRPr="00180887">
        <w:rPr>
          <w:rFonts w:ascii="Arial" w:hAnsi="Arial" w:cs="Arial"/>
          <w:bCs/>
          <w:color w:val="000000"/>
          <w:sz w:val="24"/>
          <w:szCs w:val="24"/>
        </w:rPr>
        <w:t xml:space="preserve">consiguiente </w:t>
      </w:r>
      <w:r>
        <w:rPr>
          <w:rFonts w:ascii="Arial" w:hAnsi="Arial" w:cs="Arial"/>
          <w:bCs/>
          <w:color w:val="000000"/>
          <w:sz w:val="24"/>
          <w:szCs w:val="24"/>
        </w:rPr>
        <w:t>instauración de la</w:t>
      </w:r>
      <w:r w:rsidRPr="00180887">
        <w:rPr>
          <w:rFonts w:ascii="Arial" w:hAnsi="Arial" w:cs="Arial"/>
          <w:bCs/>
          <w:color w:val="000000"/>
          <w:sz w:val="24"/>
          <w:szCs w:val="24"/>
        </w:rPr>
        <w:t xml:space="preserve"> esteatosis hepática.</w:t>
      </w:r>
    </w:p>
    <w:p w:rsidR="00A80678" w:rsidRPr="00E53571" w:rsidRDefault="00A80678" w:rsidP="003317F1">
      <w:pPr>
        <w:spacing w:before="240" w:line="360" w:lineRule="auto"/>
        <w:jc w:val="both"/>
        <w:rPr>
          <w:rFonts w:ascii="Arial" w:hAnsi="Arial" w:cs="Arial"/>
          <w:sz w:val="24"/>
          <w:szCs w:val="24"/>
          <w:vertAlign w:val="superscript"/>
          <w:lang w:val="es-ES"/>
        </w:rPr>
      </w:pPr>
      <w:r w:rsidRPr="00E53571">
        <w:rPr>
          <w:rFonts w:ascii="Arial" w:hAnsi="Arial" w:cs="Arial"/>
          <w:bCs/>
          <w:color w:val="000000"/>
          <w:sz w:val="24"/>
          <w:szCs w:val="24"/>
        </w:rPr>
        <w:t>La Fig.3 muestra la morfología de los glomérulos y tubulis en los diferentes grupos experimentales. En el grupo SME sin tratamiento se observa atrofia de la mayoría de los glomérulos del campo de observación. Las paredes capilares del ovillo se observan arrugadas, retraídas e irregulares, algunas con aspecto ondulado o en forma de “acordeón” y un aumento del espacio de Bowman, lo que se corresponde con glomeruloesclerosis inducida por isquemia. También se observan alteraciones a nivel de los tubulis, algunos atróficos con disminución del diámetro de su luz, mezclados con algunos conservados y otros con dilatación compensatoria. Estos cambios se asocian con isquemia renal que produce alteraciones vasculares propias de HTA.</w:t>
      </w:r>
      <w:r>
        <w:rPr>
          <w:rFonts w:ascii="Arial" w:hAnsi="Arial" w:cs="Arial"/>
          <w:bCs/>
          <w:noProof/>
          <w:color w:val="000000"/>
          <w:sz w:val="24"/>
          <w:szCs w:val="24"/>
          <w:vertAlign w:val="superscript"/>
        </w:rPr>
        <w:t>(8)</w:t>
      </w:r>
    </w:p>
    <w:p w:rsidR="00A80678" w:rsidRDefault="00A80678" w:rsidP="00E32521">
      <w:pPr>
        <w:spacing w:before="240" w:line="360" w:lineRule="auto"/>
        <w:jc w:val="both"/>
        <w:rPr>
          <w:rFonts w:ascii="Arial" w:hAnsi="Arial" w:cs="Arial"/>
          <w:bCs/>
          <w:color w:val="000000"/>
          <w:sz w:val="24"/>
          <w:szCs w:val="24"/>
        </w:rPr>
      </w:pPr>
      <w:r w:rsidRPr="00E53571">
        <w:rPr>
          <w:rFonts w:ascii="Arial" w:hAnsi="Arial" w:cs="Arial"/>
          <w:bCs/>
          <w:color w:val="000000"/>
          <w:sz w:val="24"/>
          <w:szCs w:val="24"/>
        </w:rPr>
        <w:lastRenderedPageBreak/>
        <w:t>En el grupo tratado con Metformina no hay afectación histopatológica a nivel glomerular ni tubular, a diferencia del grupo tratado con Ácido Nicotínico. En este último grupo se observó el predominio de la atrofia glomerular y tubular en algunas áreas, mezcladas con algunas de estas estructuras relativamente conservados, hallazgos que se corresponden con las alteraciones vasculares a este nivel, ya descritas. Solo en el grupo de menor dosis las alteraciones encontradas son similares al grupo enfermo sin tratar.</w:t>
      </w:r>
    </w:p>
    <w:p w:rsidR="00A80678" w:rsidRPr="00BC6621" w:rsidRDefault="00A80678" w:rsidP="00E32521">
      <w:pPr>
        <w:spacing w:before="240" w:line="360" w:lineRule="auto"/>
        <w:jc w:val="both"/>
        <w:rPr>
          <w:rFonts w:ascii="Arial" w:hAnsi="Arial" w:cs="Arial"/>
          <w:sz w:val="24"/>
          <w:szCs w:val="24"/>
          <w:vertAlign w:val="superscript"/>
        </w:rPr>
      </w:pPr>
      <w:r>
        <w:rPr>
          <w:rFonts w:ascii="Arial" w:hAnsi="Arial" w:cs="Arial"/>
          <w:sz w:val="24"/>
          <w:szCs w:val="24"/>
        </w:rPr>
        <w:t>El resultado observado a nivel renal con el tratamiento de estos metabolitos esteroidales nos sugiere pensar en el posible efecto sensibilizador de la insulina que tienen estos compuestos.</w:t>
      </w:r>
      <w:r w:rsidRPr="00B11A22">
        <w:rPr>
          <w:rFonts w:ascii="Arial" w:hAnsi="Arial" w:cs="Arial"/>
          <w:noProof/>
          <w:sz w:val="24"/>
          <w:szCs w:val="24"/>
          <w:vertAlign w:val="superscript"/>
        </w:rPr>
        <w:t>(</w:t>
      </w:r>
      <w:r>
        <w:rPr>
          <w:rFonts w:ascii="Arial" w:hAnsi="Arial" w:cs="Arial"/>
          <w:noProof/>
          <w:sz w:val="24"/>
          <w:szCs w:val="24"/>
          <w:vertAlign w:val="superscript"/>
        </w:rPr>
        <w:t>9</w:t>
      </w:r>
      <w:r w:rsidRPr="00B11A22">
        <w:rPr>
          <w:rFonts w:ascii="Arial" w:hAnsi="Arial" w:cs="Arial"/>
          <w:noProof/>
          <w:sz w:val="24"/>
          <w:szCs w:val="24"/>
          <w:vertAlign w:val="superscript"/>
        </w:rPr>
        <w:t>)</w:t>
      </w:r>
      <w:r>
        <w:rPr>
          <w:rFonts w:ascii="Arial" w:hAnsi="Arial" w:cs="Arial"/>
          <w:sz w:val="24"/>
          <w:szCs w:val="24"/>
        </w:rPr>
        <w:t xml:space="preserve"> De esta manera las sapogeninas pudieran evitar la elevación de la tensión arterial y por tanto el desarrollo de los cambios vasculares que se aprecian en las arteriolas renales y en la atrofia de los glomérulos y tubulis. Esta acción justificaría la no instauración de la glomeruloesclerosis inducida por isquemia que se observa en el síndrome metabólico.</w:t>
      </w:r>
      <w:r>
        <w:rPr>
          <w:rFonts w:ascii="Arial" w:hAnsi="Arial" w:cs="Arial"/>
          <w:noProof/>
          <w:sz w:val="24"/>
          <w:szCs w:val="24"/>
          <w:vertAlign w:val="superscript"/>
        </w:rPr>
        <w:t>(10)</w:t>
      </w:r>
    </w:p>
    <w:p w:rsidR="00A80678" w:rsidRPr="00E53571" w:rsidRDefault="00A80678" w:rsidP="00E32521">
      <w:pPr>
        <w:spacing w:before="240" w:line="360" w:lineRule="auto"/>
        <w:jc w:val="both"/>
        <w:rPr>
          <w:rFonts w:ascii="Arial" w:hAnsi="Arial" w:cs="Arial"/>
          <w:b/>
          <w:sz w:val="24"/>
          <w:szCs w:val="24"/>
        </w:rPr>
      </w:pPr>
      <w:r w:rsidRPr="00E53571">
        <w:rPr>
          <w:rFonts w:ascii="Arial" w:hAnsi="Arial" w:cs="Arial"/>
          <w:b/>
          <w:sz w:val="24"/>
          <w:szCs w:val="24"/>
        </w:rPr>
        <w:t>Conclusiones</w:t>
      </w:r>
    </w:p>
    <w:p w:rsidR="00A80678" w:rsidRPr="00E53571" w:rsidRDefault="00A80678" w:rsidP="00E53571">
      <w:pPr>
        <w:pStyle w:val="Prrafodelista"/>
        <w:numPr>
          <w:ilvl w:val="0"/>
          <w:numId w:val="2"/>
        </w:numPr>
        <w:spacing w:line="360" w:lineRule="auto"/>
        <w:jc w:val="both"/>
        <w:rPr>
          <w:rFonts w:ascii="Arial" w:hAnsi="Arial" w:cs="Arial"/>
          <w:sz w:val="24"/>
          <w:szCs w:val="24"/>
        </w:rPr>
      </w:pPr>
      <w:r w:rsidRPr="00E53571">
        <w:rPr>
          <w:rFonts w:ascii="Arial" w:hAnsi="Arial" w:cs="Arial"/>
          <w:sz w:val="24"/>
          <w:szCs w:val="24"/>
        </w:rPr>
        <w:t>La esteatosis micro y macrovacuolar disminuye  su graduación  con el incremento de la dosis, observándose en la mayor dosis de las sapogeninas un hepatocito normal.</w:t>
      </w:r>
    </w:p>
    <w:p w:rsidR="00A80678" w:rsidRPr="00E53571" w:rsidRDefault="00A80678" w:rsidP="00E53571">
      <w:pPr>
        <w:pStyle w:val="Prrafodelista"/>
        <w:numPr>
          <w:ilvl w:val="0"/>
          <w:numId w:val="2"/>
        </w:numPr>
        <w:spacing w:line="360" w:lineRule="auto"/>
        <w:jc w:val="both"/>
        <w:rPr>
          <w:rFonts w:ascii="Arial" w:hAnsi="Arial" w:cs="Arial"/>
          <w:sz w:val="24"/>
          <w:szCs w:val="24"/>
        </w:rPr>
      </w:pPr>
      <w:r w:rsidRPr="00E53571">
        <w:rPr>
          <w:rFonts w:ascii="Arial" w:hAnsi="Arial" w:cs="Arial"/>
          <w:sz w:val="24"/>
          <w:szCs w:val="24"/>
        </w:rPr>
        <w:t>La dosis alta de sapogeninas logra evitar que aparezca arterioloesclerosis hialina a nivel renal, así como atrofia glomerular y tubular.</w:t>
      </w:r>
    </w:p>
    <w:p w:rsidR="00A80678" w:rsidRPr="00E53571" w:rsidRDefault="00A80678" w:rsidP="00E32521">
      <w:pPr>
        <w:spacing w:after="0" w:line="360" w:lineRule="auto"/>
        <w:jc w:val="both"/>
        <w:rPr>
          <w:rFonts w:ascii="Arial" w:hAnsi="Arial" w:cs="Arial"/>
          <w:b/>
          <w:sz w:val="24"/>
          <w:szCs w:val="24"/>
        </w:rPr>
      </w:pPr>
    </w:p>
    <w:p w:rsidR="00A80678" w:rsidRPr="00E53571" w:rsidRDefault="00A80678" w:rsidP="00E32521">
      <w:pPr>
        <w:spacing w:after="0" w:line="360" w:lineRule="auto"/>
        <w:jc w:val="both"/>
        <w:rPr>
          <w:rFonts w:ascii="Arial" w:hAnsi="Arial" w:cs="Arial"/>
          <w:sz w:val="24"/>
          <w:szCs w:val="24"/>
        </w:rPr>
      </w:pPr>
      <w:r w:rsidRPr="00E53571">
        <w:rPr>
          <w:rFonts w:ascii="Arial" w:hAnsi="Arial" w:cs="Arial"/>
          <w:b/>
          <w:sz w:val="24"/>
          <w:szCs w:val="24"/>
        </w:rPr>
        <w:t>Bibliografía</w:t>
      </w:r>
      <w:r w:rsidRPr="00E53571">
        <w:rPr>
          <w:rFonts w:ascii="Arial" w:hAnsi="Arial" w:cs="Arial"/>
          <w:sz w:val="24"/>
          <w:szCs w:val="24"/>
        </w:rPr>
        <w:t xml:space="preserve"> </w:t>
      </w:r>
    </w:p>
    <w:p w:rsidR="00A80678" w:rsidRPr="00A80678" w:rsidRDefault="00A80678" w:rsidP="00A80678">
      <w:pPr>
        <w:pStyle w:val="Prrafodelista"/>
        <w:numPr>
          <w:ilvl w:val="0"/>
          <w:numId w:val="4"/>
        </w:numPr>
        <w:spacing w:before="240" w:after="0" w:line="240" w:lineRule="auto"/>
        <w:jc w:val="both"/>
        <w:rPr>
          <w:rFonts w:ascii="Arial" w:hAnsi="Arial" w:cs="Arial"/>
          <w:noProof/>
        </w:rPr>
      </w:pPr>
      <w:bookmarkStart w:id="3" w:name="_ENREF_1"/>
      <w:r w:rsidRPr="00A80678">
        <w:rPr>
          <w:rFonts w:ascii="Arial" w:hAnsi="Arial" w:cs="Arial"/>
          <w:noProof/>
        </w:rPr>
        <w:t>Nápoles MB, Rodríguez ODP, Santos MO. Síndrome X. La epidemia del siglo XXI. Revista Infociencia. 2013;17(1).</w:t>
      </w:r>
      <w:bookmarkEnd w:id="3"/>
    </w:p>
    <w:p w:rsidR="00A80678" w:rsidRPr="00A80678" w:rsidRDefault="00A80678" w:rsidP="00A80678">
      <w:pPr>
        <w:pStyle w:val="Prrafodelista"/>
        <w:numPr>
          <w:ilvl w:val="0"/>
          <w:numId w:val="4"/>
        </w:numPr>
        <w:spacing w:before="240" w:after="0" w:line="240" w:lineRule="auto"/>
        <w:jc w:val="both"/>
        <w:rPr>
          <w:rFonts w:ascii="Arial" w:hAnsi="Arial" w:cs="Arial"/>
          <w:noProof/>
        </w:rPr>
      </w:pPr>
      <w:bookmarkStart w:id="4" w:name="_ENREF_2"/>
      <w:r w:rsidRPr="00811713">
        <w:rPr>
          <w:rFonts w:ascii="Arial" w:hAnsi="Arial" w:cs="Arial"/>
          <w:noProof/>
          <w:lang w:val="en-US"/>
        </w:rPr>
        <w:t xml:space="preserve">Cheal K, Abbasi F, Lamendola C, McLaughlin T, Reaven G, Ford E. Relationship to insulin resistance of the adult treatment panel III diagnostic criteria for identification of the metabolic syndrome. </w:t>
      </w:r>
      <w:r w:rsidRPr="00A80678">
        <w:rPr>
          <w:rFonts w:ascii="Arial" w:hAnsi="Arial" w:cs="Arial"/>
          <w:noProof/>
        </w:rPr>
        <w:t>Diabetes. 2004;53(5):1195-200.</w:t>
      </w:r>
      <w:bookmarkEnd w:id="4"/>
    </w:p>
    <w:p w:rsidR="00A80678" w:rsidRPr="00811713" w:rsidRDefault="00A80678" w:rsidP="00A80678">
      <w:pPr>
        <w:pStyle w:val="Prrafodelista"/>
        <w:numPr>
          <w:ilvl w:val="0"/>
          <w:numId w:val="4"/>
        </w:numPr>
        <w:spacing w:before="240" w:line="240" w:lineRule="auto"/>
        <w:jc w:val="both"/>
        <w:rPr>
          <w:rFonts w:ascii="Arial" w:hAnsi="Arial" w:cs="Arial"/>
          <w:noProof/>
          <w:lang w:val="en-US"/>
        </w:rPr>
      </w:pPr>
      <w:bookmarkStart w:id="5" w:name="_ENREF_3"/>
      <w:r w:rsidRPr="00811713">
        <w:rPr>
          <w:rFonts w:ascii="Arial" w:hAnsi="Arial" w:cs="Arial"/>
          <w:noProof/>
          <w:lang w:val="en-US"/>
        </w:rPr>
        <w:t>Kraemer FB, Ginsberg HN. Demonstration of the Central Role of Insulin Resistance in Type 2 Diabetes and Cardiovascular Disease Diabetes Care. 2014; 37:1181.</w:t>
      </w:r>
      <w:bookmarkEnd w:id="5"/>
    </w:p>
    <w:p w:rsidR="00A80678" w:rsidRPr="00A80678" w:rsidRDefault="00A80678" w:rsidP="00A80678">
      <w:pPr>
        <w:pStyle w:val="Prrafodelista"/>
        <w:numPr>
          <w:ilvl w:val="0"/>
          <w:numId w:val="4"/>
        </w:numPr>
        <w:spacing w:before="240" w:after="0" w:line="240" w:lineRule="auto"/>
        <w:jc w:val="both"/>
        <w:rPr>
          <w:rFonts w:ascii="Arial" w:hAnsi="Arial" w:cs="Arial"/>
          <w:noProof/>
        </w:rPr>
      </w:pPr>
      <w:bookmarkStart w:id="6" w:name="_ENREF_4"/>
      <w:r w:rsidRPr="00A80678">
        <w:rPr>
          <w:rFonts w:ascii="Arial" w:hAnsi="Arial" w:cs="Arial"/>
          <w:noProof/>
        </w:rPr>
        <w:t>Bello Rodríguez B, Sánchez Cruz G, Ferreira Pinto A, Báez Pérez E, Fernández Morín J, Achiong Estupiñan F. Síndrome Metabólico: un problema de salud con múltiples definiciones. Revista Médica Electrónica. 2012;34(2):199-213.</w:t>
      </w:r>
      <w:bookmarkEnd w:id="6"/>
    </w:p>
    <w:p w:rsidR="00A80678" w:rsidRPr="00A80678" w:rsidRDefault="00A80678" w:rsidP="00A80678">
      <w:pPr>
        <w:pStyle w:val="Prrafodelista"/>
        <w:numPr>
          <w:ilvl w:val="0"/>
          <w:numId w:val="4"/>
        </w:numPr>
        <w:spacing w:before="240" w:after="0" w:line="240" w:lineRule="auto"/>
        <w:jc w:val="both"/>
        <w:rPr>
          <w:rFonts w:ascii="Arial" w:hAnsi="Arial" w:cs="Arial"/>
          <w:noProof/>
        </w:rPr>
      </w:pPr>
      <w:bookmarkStart w:id="7" w:name="_ENREF_5"/>
      <w:r w:rsidRPr="00811713">
        <w:rPr>
          <w:rFonts w:ascii="Arial" w:hAnsi="Arial" w:cs="Arial"/>
          <w:noProof/>
          <w:lang w:val="en-US"/>
        </w:rPr>
        <w:lastRenderedPageBreak/>
        <w:t xml:space="preserve">Kim D, Touros A, Kim W. Nonalcoholic fatty liver disease and metabolic syndrome. </w:t>
      </w:r>
      <w:r w:rsidRPr="00A80678">
        <w:rPr>
          <w:rFonts w:ascii="Arial" w:hAnsi="Arial" w:cs="Arial"/>
          <w:noProof/>
        </w:rPr>
        <w:t>Clinics in Liver Disease. 2018;22(1):133-40.</w:t>
      </w:r>
      <w:bookmarkStart w:id="8" w:name="_ENREF_6"/>
      <w:bookmarkEnd w:id="7"/>
    </w:p>
    <w:p w:rsidR="00A80678" w:rsidRPr="00A80678" w:rsidRDefault="00A80678" w:rsidP="00A80678">
      <w:pPr>
        <w:pStyle w:val="Prrafodelista"/>
        <w:numPr>
          <w:ilvl w:val="0"/>
          <w:numId w:val="4"/>
        </w:numPr>
        <w:spacing w:before="240" w:after="0" w:line="240" w:lineRule="auto"/>
        <w:jc w:val="both"/>
        <w:rPr>
          <w:rFonts w:ascii="Arial" w:hAnsi="Arial" w:cs="Arial"/>
          <w:noProof/>
        </w:rPr>
      </w:pPr>
      <w:r w:rsidRPr="00A80678">
        <w:rPr>
          <w:rFonts w:ascii="Arial" w:hAnsi="Arial" w:cs="Arial"/>
          <w:sz w:val="24"/>
          <w:szCs w:val="24"/>
          <w:lang w:val="en-US"/>
        </w:rPr>
        <w:t>Bancroft J, Gamble M. Theory and Practice of Histological Techniques. 6ta ed ed. Livingston: Elsevier; 2008.</w:t>
      </w:r>
    </w:p>
    <w:p w:rsidR="00A80678" w:rsidRPr="00A80678" w:rsidRDefault="00A80678" w:rsidP="00A80678">
      <w:pPr>
        <w:pStyle w:val="Prrafodelista"/>
        <w:numPr>
          <w:ilvl w:val="0"/>
          <w:numId w:val="4"/>
        </w:numPr>
        <w:spacing w:before="240" w:after="0" w:line="240" w:lineRule="auto"/>
        <w:jc w:val="both"/>
        <w:rPr>
          <w:rFonts w:ascii="Arial" w:hAnsi="Arial" w:cs="Arial"/>
          <w:noProof/>
        </w:rPr>
      </w:pPr>
      <w:r w:rsidRPr="00A80678">
        <w:rPr>
          <w:rFonts w:ascii="Arial" w:hAnsi="Arial" w:cs="Arial"/>
          <w:noProof/>
        </w:rPr>
        <w:t>Romero CP. Aspectos fisiopatológicos del síndrome metabólico. Arch Cardiol Mex. 2007; 77(4):42-7.</w:t>
      </w:r>
      <w:bookmarkStart w:id="9" w:name="_ENREF_7"/>
      <w:bookmarkEnd w:id="8"/>
    </w:p>
    <w:p w:rsidR="00A80678" w:rsidRPr="00A80678" w:rsidRDefault="00A80678" w:rsidP="00A80678">
      <w:pPr>
        <w:pStyle w:val="Prrafodelista"/>
        <w:numPr>
          <w:ilvl w:val="0"/>
          <w:numId w:val="4"/>
        </w:numPr>
        <w:spacing w:before="240" w:after="0" w:line="240" w:lineRule="auto"/>
        <w:jc w:val="both"/>
        <w:rPr>
          <w:rFonts w:ascii="Arial" w:hAnsi="Arial" w:cs="Arial"/>
          <w:noProof/>
        </w:rPr>
      </w:pPr>
      <w:r w:rsidRPr="00A80678">
        <w:rPr>
          <w:rFonts w:ascii="Arial" w:hAnsi="Arial" w:cs="Arial"/>
          <w:noProof/>
        </w:rPr>
        <w:t>Robbins S, Cotran R, Kumar V. Patología estructural y funcional Illinois. Chicago. 2015.</w:t>
      </w:r>
      <w:bookmarkStart w:id="10" w:name="_ENREF_8"/>
      <w:bookmarkEnd w:id="9"/>
    </w:p>
    <w:p w:rsidR="00A80678" w:rsidRPr="00811713" w:rsidRDefault="00A80678" w:rsidP="00A80678">
      <w:pPr>
        <w:pStyle w:val="Prrafodelista"/>
        <w:numPr>
          <w:ilvl w:val="0"/>
          <w:numId w:val="4"/>
        </w:numPr>
        <w:spacing w:before="240" w:after="0" w:line="240" w:lineRule="auto"/>
        <w:jc w:val="both"/>
        <w:rPr>
          <w:rFonts w:ascii="Arial" w:hAnsi="Arial" w:cs="Arial"/>
          <w:noProof/>
          <w:lang w:val="en-US"/>
        </w:rPr>
      </w:pPr>
      <w:r w:rsidRPr="00811713">
        <w:rPr>
          <w:rFonts w:ascii="Arial" w:hAnsi="Arial" w:cs="Arial"/>
          <w:noProof/>
          <w:lang w:val="en-US"/>
        </w:rPr>
        <w:t>Maheshwari-Srinivasa U, Madhava-Naidu M. Fenugreek (</w:t>
      </w:r>
      <w:r w:rsidRPr="00811713">
        <w:rPr>
          <w:rFonts w:ascii="Arial" w:hAnsi="Arial" w:cs="Arial"/>
          <w:i/>
          <w:noProof/>
          <w:lang w:val="en-US"/>
        </w:rPr>
        <w:t>Trigonella foenumgraecum</w:t>
      </w:r>
      <w:r w:rsidRPr="00811713">
        <w:rPr>
          <w:rFonts w:ascii="Arial" w:hAnsi="Arial" w:cs="Arial"/>
          <w:noProof/>
          <w:lang w:val="en-US"/>
        </w:rPr>
        <w:t xml:space="preserve"> L)  seed: promising source or nutraceutical. En: Studies in Natural products Chemistry. Atta-ur-Rahman, editor: Elsevier; 2021</w:t>
      </w:r>
      <w:bookmarkEnd w:id="10"/>
      <w:r w:rsidRPr="00811713">
        <w:rPr>
          <w:rFonts w:ascii="Arial" w:hAnsi="Arial" w:cs="Arial"/>
          <w:noProof/>
          <w:lang w:val="en-US"/>
        </w:rPr>
        <w:t>;</w:t>
      </w:r>
      <w:r w:rsidRPr="00811713">
        <w:rPr>
          <w:rFonts w:ascii="Arial" w:hAnsi="Arial" w:cs="Arial"/>
          <w:lang w:val="en-US"/>
        </w:rPr>
        <w:t>71</w:t>
      </w:r>
      <w:r w:rsidRPr="00811713">
        <w:rPr>
          <w:rFonts w:ascii="Arial" w:hAnsi="Arial" w:cs="Arial"/>
          <w:noProof/>
          <w:lang w:val="en-US"/>
        </w:rPr>
        <w:t>:</w:t>
      </w:r>
      <w:r w:rsidRPr="00811713">
        <w:rPr>
          <w:rFonts w:ascii="Arial" w:hAnsi="Arial" w:cs="Arial"/>
          <w:lang w:val="en-US"/>
        </w:rPr>
        <w:t xml:space="preserve"> 141-184</w:t>
      </w:r>
      <w:bookmarkStart w:id="11" w:name="_ENREF_9"/>
    </w:p>
    <w:p w:rsidR="00A80678" w:rsidRPr="00A80678" w:rsidRDefault="00A80678" w:rsidP="00A80678">
      <w:pPr>
        <w:pStyle w:val="Prrafodelista"/>
        <w:numPr>
          <w:ilvl w:val="0"/>
          <w:numId w:val="4"/>
        </w:numPr>
        <w:spacing w:before="240" w:after="0" w:line="240" w:lineRule="auto"/>
        <w:jc w:val="both"/>
        <w:rPr>
          <w:rFonts w:ascii="Arial" w:hAnsi="Arial" w:cs="Arial"/>
          <w:noProof/>
        </w:rPr>
      </w:pPr>
      <w:r w:rsidRPr="00A80678">
        <w:rPr>
          <w:rFonts w:ascii="Arial" w:hAnsi="Arial" w:cs="Arial"/>
          <w:noProof/>
        </w:rPr>
        <w:t>Landecho MF, Colina I, Huerta A, Fortuño A, Zalba G, Beloqui O. Relación entre las fases precoces de la enfermedad renal y el síndrome metabólico. Revista Española de Cardiología. 2011;64(5):373-8.</w:t>
      </w:r>
      <w:bookmarkEnd w:id="11"/>
    </w:p>
    <w:p w:rsidR="00811713" w:rsidRDefault="00811713">
      <w:pPr>
        <w:rPr>
          <w:rFonts w:ascii="Arial" w:hAnsi="Arial" w:cs="Arial"/>
          <w:bCs/>
          <w:color w:val="000000"/>
          <w:sz w:val="24"/>
          <w:szCs w:val="24"/>
        </w:rPr>
      </w:pPr>
      <w:r>
        <w:rPr>
          <w:rFonts w:ascii="Arial" w:hAnsi="Arial" w:cs="Arial"/>
          <w:bCs/>
          <w:color w:val="000000"/>
          <w:sz w:val="24"/>
          <w:szCs w:val="24"/>
        </w:rPr>
        <w:br w:type="page"/>
      </w:r>
    </w:p>
    <w:p w:rsidR="00814F9D" w:rsidRPr="00FD6044" w:rsidRDefault="00811713" w:rsidP="00A80678">
      <w:pPr>
        <w:spacing w:before="240" w:after="0" w:line="360" w:lineRule="auto"/>
        <w:jc w:val="both"/>
        <w:rPr>
          <w:rFonts w:ascii="Arial" w:hAnsi="Arial" w:cs="Arial"/>
          <w:b/>
          <w:bCs/>
          <w:color w:val="000000"/>
          <w:sz w:val="24"/>
          <w:szCs w:val="24"/>
        </w:rPr>
      </w:pPr>
      <w:r w:rsidRPr="00FD6044">
        <w:rPr>
          <w:rFonts w:ascii="Arial" w:hAnsi="Arial" w:cs="Arial"/>
          <w:b/>
          <w:bCs/>
          <w:color w:val="000000"/>
          <w:sz w:val="24"/>
          <w:szCs w:val="24"/>
        </w:rPr>
        <w:lastRenderedPageBreak/>
        <w:t>ANEXOS</w:t>
      </w:r>
    </w:p>
    <w:p w:rsidR="00811713" w:rsidRPr="00E53571" w:rsidRDefault="00811713" w:rsidP="00811713">
      <w:pPr>
        <w:tabs>
          <w:tab w:val="center" w:pos="10512"/>
        </w:tabs>
        <w:spacing w:after="0" w:line="240" w:lineRule="auto"/>
        <w:ind w:left="1134" w:hanging="1134"/>
        <w:jc w:val="both"/>
        <w:rPr>
          <w:rFonts w:ascii="Arial" w:hAnsi="Arial" w:cs="Arial"/>
          <w:bCs/>
          <w:color w:val="000000"/>
          <w:sz w:val="24"/>
          <w:szCs w:val="24"/>
        </w:rPr>
      </w:pPr>
    </w:p>
    <w:p w:rsidR="00811713" w:rsidRPr="00E53571" w:rsidRDefault="00811713" w:rsidP="00811713">
      <w:pPr>
        <w:tabs>
          <w:tab w:val="center" w:pos="10512"/>
        </w:tabs>
        <w:spacing w:after="0" w:line="240" w:lineRule="auto"/>
        <w:ind w:left="1134" w:hanging="1134"/>
        <w:jc w:val="both"/>
        <w:rPr>
          <w:rFonts w:ascii="Arial" w:hAnsi="Arial" w:cs="Arial"/>
          <w:b/>
          <w:sz w:val="24"/>
          <w:szCs w:val="24"/>
          <w:lang w:eastAsia="es-ES"/>
        </w:rPr>
      </w:pPr>
      <w:r w:rsidRPr="00E53571">
        <w:rPr>
          <w:rFonts w:ascii="Arial" w:hAnsi="Arial" w:cs="Arial"/>
          <w:b/>
          <w:sz w:val="24"/>
          <w:szCs w:val="24"/>
          <w:lang w:eastAsia="es-ES"/>
        </w:rPr>
        <w:t>a)                                                                b)</w:t>
      </w:r>
    </w:p>
    <w:p w:rsidR="00811713" w:rsidRPr="00811713" w:rsidRDefault="00811713" w:rsidP="00811713">
      <w:pPr>
        <w:rPr>
          <w:rFonts w:ascii="Arial" w:hAnsi="Arial" w:cs="Arial"/>
          <w:sz w:val="24"/>
          <w:szCs w:val="24"/>
          <w:lang w:val="es-ES"/>
        </w:rPr>
      </w:pPr>
      <w:r>
        <w:rPr>
          <w:rFonts w:ascii="Arial" w:hAnsi="Arial" w:cs="Arial"/>
          <w:noProof/>
          <w:sz w:val="24"/>
          <w:szCs w:val="24"/>
          <w:lang w:eastAsia="es-MX"/>
        </w:rPr>
        <w:drawing>
          <wp:inline distT="0" distB="0" distL="0" distR="0">
            <wp:extent cx="2171700" cy="1381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12662" t="46507" r="63203" b="20686"/>
                    <a:stretch>
                      <a:fillRect/>
                    </a:stretch>
                  </pic:blipFill>
                  <pic:spPr bwMode="auto">
                    <a:xfrm>
                      <a:off x="0" y="0"/>
                      <a:ext cx="2171700" cy="1381125"/>
                    </a:xfrm>
                    <a:prstGeom prst="rect">
                      <a:avLst/>
                    </a:prstGeom>
                    <a:noFill/>
                    <a:ln>
                      <a:noFill/>
                    </a:ln>
                  </pic:spPr>
                </pic:pic>
              </a:graphicData>
            </a:graphic>
          </wp:inline>
        </w:drawing>
      </w:r>
      <w:r w:rsidRPr="00E53571">
        <w:rPr>
          <w:rFonts w:ascii="Arial" w:hAnsi="Arial" w:cs="Arial"/>
          <w:noProof/>
          <w:sz w:val="24"/>
          <w:szCs w:val="24"/>
          <w:lang w:val="es-ES" w:eastAsia="es-ES"/>
        </w:rPr>
        <w:t xml:space="preserve">         </w:t>
      </w:r>
      <w:r>
        <w:rPr>
          <w:rFonts w:ascii="Arial" w:hAnsi="Arial" w:cs="Arial"/>
          <w:noProof/>
          <w:sz w:val="24"/>
          <w:szCs w:val="24"/>
          <w:lang w:eastAsia="es-MX"/>
        </w:rPr>
        <w:drawing>
          <wp:inline distT="0" distB="0" distL="0" distR="0">
            <wp:extent cx="2286000" cy="1390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64377" t="46507" r="8307" b="20686"/>
                    <a:stretch>
                      <a:fillRect/>
                    </a:stretch>
                  </pic:blipFill>
                  <pic:spPr bwMode="auto">
                    <a:xfrm>
                      <a:off x="0" y="0"/>
                      <a:ext cx="2286000" cy="1390650"/>
                    </a:xfrm>
                    <a:prstGeom prst="rect">
                      <a:avLst/>
                    </a:prstGeom>
                    <a:noFill/>
                    <a:ln>
                      <a:noFill/>
                    </a:ln>
                  </pic:spPr>
                </pic:pic>
              </a:graphicData>
            </a:graphic>
          </wp:inline>
        </w:drawing>
      </w:r>
    </w:p>
    <w:p w:rsidR="00811713" w:rsidRPr="00E53571" w:rsidRDefault="00811713" w:rsidP="00811713">
      <w:pPr>
        <w:tabs>
          <w:tab w:val="center" w:pos="10512"/>
        </w:tabs>
        <w:spacing w:after="0" w:line="240" w:lineRule="auto"/>
        <w:ind w:left="1134" w:hanging="1134"/>
        <w:jc w:val="both"/>
        <w:rPr>
          <w:rFonts w:ascii="Arial" w:hAnsi="Arial" w:cs="Arial"/>
          <w:sz w:val="22"/>
          <w:szCs w:val="24"/>
        </w:rPr>
      </w:pPr>
      <w:r w:rsidRPr="00E53571">
        <w:rPr>
          <w:rFonts w:ascii="Arial" w:hAnsi="Arial" w:cs="Arial"/>
          <w:b/>
          <w:sz w:val="22"/>
          <w:szCs w:val="24"/>
          <w:lang w:eastAsia="es-ES"/>
        </w:rPr>
        <w:t>Figura 1</w:t>
      </w:r>
      <w:r w:rsidRPr="00E53571">
        <w:rPr>
          <w:rFonts w:ascii="Arial" w:hAnsi="Arial" w:cs="Arial"/>
          <w:sz w:val="22"/>
          <w:szCs w:val="24"/>
          <w:lang w:eastAsia="es-ES"/>
        </w:rPr>
        <w:t xml:space="preserve">. </w:t>
      </w:r>
      <w:r w:rsidRPr="00E53571">
        <w:rPr>
          <w:rFonts w:ascii="Arial" w:hAnsi="Arial" w:cs="Arial"/>
          <w:b/>
          <w:bCs/>
          <w:color w:val="000000"/>
          <w:sz w:val="22"/>
          <w:szCs w:val="24"/>
        </w:rPr>
        <w:t>Zona de la vena centrolobulillar en hepatocitos.</w:t>
      </w:r>
      <w:r w:rsidRPr="00E53571">
        <w:rPr>
          <w:rFonts w:ascii="Arial" w:hAnsi="Arial" w:cs="Arial"/>
          <w:bCs/>
          <w:color w:val="000000"/>
          <w:sz w:val="22"/>
          <w:szCs w:val="24"/>
        </w:rPr>
        <w:t xml:space="preserve"> Tinción H/E aumento 20x </w:t>
      </w:r>
      <w:r w:rsidRPr="00E53571">
        <w:rPr>
          <w:rFonts w:ascii="Arial" w:hAnsi="Arial" w:cs="Arial"/>
          <w:b/>
          <w:bCs/>
          <w:color w:val="000000"/>
          <w:sz w:val="22"/>
          <w:szCs w:val="24"/>
        </w:rPr>
        <w:t>a)</w:t>
      </w:r>
      <w:r w:rsidRPr="00E53571">
        <w:rPr>
          <w:rFonts w:ascii="Arial" w:hAnsi="Arial" w:cs="Arial"/>
          <w:bCs/>
          <w:color w:val="000000"/>
          <w:sz w:val="22"/>
          <w:szCs w:val="24"/>
        </w:rPr>
        <w:t xml:space="preserve"> Control SANOS: se observan hepatocitos normales. </w:t>
      </w:r>
      <w:r w:rsidRPr="00E53571">
        <w:rPr>
          <w:rFonts w:ascii="Arial" w:hAnsi="Arial" w:cs="Arial"/>
          <w:b/>
          <w:bCs/>
          <w:color w:val="000000"/>
          <w:sz w:val="22"/>
          <w:szCs w:val="24"/>
        </w:rPr>
        <w:t>b)</w:t>
      </w:r>
      <w:r>
        <w:rPr>
          <w:rFonts w:ascii="Arial" w:hAnsi="Arial" w:cs="Arial"/>
          <w:bCs/>
          <w:color w:val="000000"/>
          <w:sz w:val="22"/>
          <w:szCs w:val="24"/>
        </w:rPr>
        <w:t xml:space="preserve"> SME:</w:t>
      </w:r>
      <w:r w:rsidRPr="00E53571">
        <w:rPr>
          <w:rFonts w:ascii="Arial" w:hAnsi="Arial" w:cs="Arial"/>
          <w:bCs/>
          <w:color w:val="000000"/>
          <w:sz w:val="22"/>
          <w:szCs w:val="24"/>
        </w:rPr>
        <w:t xml:space="preserve"> se observa vacuolización micro  y macrovacuolar respectivamente (</w:t>
      </w:r>
      <w:r w:rsidRPr="00E53571">
        <w:rPr>
          <w:rFonts w:ascii="Arial" w:eastAsia="Symbol" w:hAnsi="Arial" w:cs="Arial"/>
          <w:bCs/>
          <w:color w:val="000000"/>
          <w:sz w:val="22"/>
          <w:szCs w:val="24"/>
        </w:rPr>
        <w:sym w:font="Symbol" w:char="F0AE"/>
      </w:r>
      <w:r w:rsidRPr="00E53571">
        <w:rPr>
          <w:rFonts w:ascii="Arial" w:hAnsi="Arial" w:cs="Arial"/>
          <w:bCs/>
          <w:color w:val="000000"/>
          <w:sz w:val="22"/>
          <w:szCs w:val="24"/>
        </w:rPr>
        <w:t>).</w:t>
      </w:r>
    </w:p>
    <w:p w:rsidR="00811713" w:rsidRDefault="00811713" w:rsidP="00A80678">
      <w:pPr>
        <w:spacing w:before="240" w:after="0" w:line="360" w:lineRule="auto"/>
        <w:jc w:val="both"/>
        <w:rPr>
          <w:rFonts w:ascii="Arial" w:hAnsi="Arial" w:cs="Arial"/>
          <w:bCs/>
          <w:color w:val="000000"/>
          <w:sz w:val="24"/>
          <w:szCs w:val="24"/>
        </w:rPr>
      </w:pPr>
    </w:p>
    <w:p w:rsidR="00FD6044" w:rsidRDefault="00FD6044" w:rsidP="00A80678">
      <w:pPr>
        <w:spacing w:before="240" w:after="0" w:line="360" w:lineRule="auto"/>
        <w:jc w:val="both"/>
        <w:rPr>
          <w:rFonts w:ascii="Arial" w:hAnsi="Arial" w:cs="Arial"/>
          <w:bCs/>
          <w:color w:val="000000"/>
          <w:sz w:val="24"/>
          <w:szCs w:val="24"/>
        </w:rPr>
      </w:pPr>
      <w:r>
        <w:rPr>
          <w:rFonts w:ascii="Arial" w:hAnsi="Arial" w:cs="Arial"/>
          <w:noProof/>
          <w:sz w:val="24"/>
          <w:szCs w:val="24"/>
          <w:lang w:eastAsia="es-MX"/>
        </w:rPr>
        <w:drawing>
          <wp:inline distT="0" distB="0" distL="0" distR="0">
            <wp:extent cx="5038725" cy="3295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l="30264" t="33003" r="32614" b="24367"/>
                    <a:stretch>
                      <a:fillRect/>
                    </a:stretch>
                  </pic:blipFill>
                  <pic:spPr bwMode="auto">
                    <a:xfrm>
                      <a:off x="0" y="0"/>
                      <a:ext cx="5038725" cy="3295650"/>
                    </a:xfrm>
                    <a:prstGeom prst="rect">
                      <a:avLst/>
                    </a:prstGeom>
                    <a:noFill/>
                    <a:ln>
                      <a:noFill/>
                    </a:ln>
                  </pic:spPr>
                </pic:pic>
              </a:graphicData>
            </a:graphic>
          </wp:inline>
        </w:drawing>
      </w:r>
    </w:p>
    <w:p w:rsidR="00FD6044" w:rsidRPr="009261BB" w:rsidRDefault="00FD6044" w:rsidP="00FD6044">
      <w:pPr>
        <w:tabs>
          <w:tab w:val="center" w:pos="10512"/>
        </w:tabs>
        <w:spacing w:before="240" w:after="0" w:line="240" w:lineRule="auto"/>
        <w:ind w:left="993" w:hanging="1135"/>
        <w:jc w:val="both"/>
        <w:rPr>
          <w:rFonts w:ascii="Arial" w:hAnsi="Arial" w:cs="Arial"/>
          <w:sz w:val="22"/>
          <w:szCs w:val="24"/>
          <w:lang w:val="pt-PT"/>
        </w:rPr>
      </w:pPr>
      <w:r w:rsidRPr="009261BB">
        <w:rPr>
          <w:rFonts w:ascii="Arial" w:hAnsi="Arial" w:cs="Arial"/>
          <w:b/>
          <w:sz w:val="22"/>
          <w:szCs w:val="24"/>
          <w:lang w:val="pt-PT" w:eastAsia="es-ES"/>
        </w:rPr>
        <w:t>Figura 2. H</w:t>
      </w:r>
      <w:r w:rsidRPr="009261BB">
        <w:rPr>
          <w:rFonts w:ascii="Arial" w:hAnsi="Arial" w:cs="Arial"/>
          <w:b/>
          <w:bCs/>
          <w:color w:val="000000"/>
          <w:sz w:val="22"/>
          <w:szCs w:val="24"/>
          <w:lang w:val="pt-PT"/>
        </w:rPr>
        <w:t>epatocitos</w:t>
      </w:r>
      <w:r w:rsidRPr="009261BB">
        <w:rPr>
          <w:rFonts w:ascii="Arial" w:hAnsi="Arial" w:cs="Arial"/>
          <w:bCs/>
          <w:color w:val="000000"/>
          <w:sz w:val="22"/>
          <w:szCs w:val="24"/>
          <w:lang w:val="pt-PT"/>
        </w:rPr>
        <w:t>. Tinción H/E aumento 20x. a) Metformina: hepatocitos normales. b) Ácido Nicotínico: hepatocitos normales. c) S25: discreta esteatosis microvacuolar. d) SG50: discreta esteatosis microvacuolar. e) SG100: hepatocitos normales</w:t>
      </w:r>
    </w:p>
    <w:p w:rsidR="00FD6044" w:rsidRDefault="00FD6044" w:rsidP="00A80678">
      <w:pPr>
        <w:spacing w:before="240" w:after="0" w:line="360" w:lineRule="auto"/>
        <w:jc w:val="both"/>
        <w:rPr>
          <w:rFonts w:ascii="Arial" w:hAnsi="Arial" w:cs="Arial"/>
          <w:bCs/>
          <w:color w:val="000000"/>
          <w:sz w:val="24"/>
          <w:szCs w:val="24"/>
          <w:lang w:val="pt-PT"/>
        </w:rPr>
      </w:pPr>
    </w:p>
    <w:p w:rsidR="00FD6044" w:rsidRDefault="00FD6044" w:rsidP="00A80678">
      <w:pPr>
        <w:spacing w:before="240" w:after="0" w:line="360" w:lineRule="auto"/>
        <w:jc w:val="both"/>
        <w:rPr>
          <w:rFonts w:ascii="Arial" w:hAnsi="Arial" w:cs="Arial"/>
          <w:bCs/>
          <w:color w:val="000000"/>
          <w:sz w:val="24"/>
          <w:szCs w:val="24"/>
          <w:lang w:val="pt-PT"/>
        </w:rPr>
      </w:pPr>
    </w:p>
    <w:p w:rsidR="00FD6044" w:rsidRDefault="00FD6044" w:rsidP="00A80678">
      <w:pPr>
        <w:spacing w:before="240" w:after="0" w:line="360" w:lineRule="auto"/>
        <w:jc w:val="both"/>
        <w:rPr>
          <w:rFonts w:ascii="Arial" w:hAnsi="Arial" w:cs="Arial"/>
          <w:bCs/>
          <w:color w:val="000000"/>
          <w:sz w:val="24"/>
          <w:szCs w:val="24"/>
          <w:lang w:val="pt-PT"/>
        </w:rPr>
      </w:pPr>
    </w:p>
    <w:tbl>
      <w:tblPr>
        <w:tblW w:w="0" w:type="auto"/>
        <w:tblInd w:w="-5" w:type="dxa"/>
        <w:tblLayout w:type="fixed"/>
        <w:tblCellMar>
          <w:left w:w="113" w:type="dxa"/>
        </w:tblCellMar>
        <w:tblLook w:val="04A0" w:firstRow="1" w:lastRow="0" w:firstColumn="1" w:lastColumn="0" w:noHBand="0" w:noVBand="1"/>
      </w:tblPr>
      <w:tblGrid>
        <w:gridCol w:w="2881"/>
        <w:gridCol w:w="1564"/>
        <w:gridCol w:w="1317"/>
        <w:gridCol w:w="2882"/>
      </w:tblGrid>
      <w:tr w:rsidR="00FD6044" w:rsidRPr="00E53571" w:rsidTr="00CB19C8">
        <w:trPr>
          <w:trHeight w:val="6427"/>
        </w:trPr>
        <w:tc>
          <w:tcPr>
            <w:tcW w:w="4445" w:type="dxa"/>
            <w:gridSpan w:val="2"/>
            <w:shd w:val="clear" w:color="auto" w:fill="FFFFFF"/>
            <w:hideMark/>
          </w:tcPr>
          <w:p w:rsidR="00FD6044" w:rsidRPr="00E53571" w:rsidRDefault="00876F50" w:rsidP="00CB19C8">
            <w:pPr>
              <w:tabs>
                <w:tab w:val="left" w:pos="993"/>
                <w:tab w:val="left" w:pos="2410"/>
                <w:tab w:val="center" w:pos="10512"/>
              </w:tabs>
              <w:spacing w:after="0" w:line="240" w:lineRule="auto"/>
              <w:jc w:val="both"/>
              <w:rPr>
                <w:rFonts w:ascii="Arial" w:hAnsi="Arial" w:cs="Arial"/>
                <w:sz w:val="24"/>
                <w:szCs w:val="24"/>
                <w:lang w:val="en-US"/>
              </w:rPr>
            </w:pPr>
            <w:r>
              <w:rPr>
                <w:rFonts w:ascii="Arial" w:hAnsi="Arial" w:cs="Arial"/>
                <w:noProof/>
                <w:sz w:val="24"/>
                <w:szCs w:val="24"/>
                <w:lang w:eastAsia="es-MX"/>
              </w:rPr>
              <w:lastRenderedPageBreak/>
              <mc:AlternateContent>
                <mc:Choice Requires="wps">
                  <w:drawing>
                    <wp:anchor distT="45720" distB="45720" distL="114300" distR="114300" simplePos="0" relativeHeight="251669504" behindDoc="0" locked="0" layoutInCell="1" allowOverlap="1">
                      <wp:simplePos x="0" y="0"/>
                      <wp:positionH relativeFrom="column">
                        <wp:posOffset>10795</wp:posOffset>
                      </wp:positionH>
                      <wp:positionV relativeFrom="paragraph">
                        <wp:posOffset>3518535</wp:posOffset>
                      </wp:positionV>
                      <wp:extent cx="1073150" cy="320675"/>
                      <wp:effectExtent l="0" t="0" r="0" b="3175"/>
                      <wp:wrapNone/>
                      <wp:docPr id="9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3" o:spid="_x0000_s1026" type="#_x0000_t202" style="position:absolute;left:0;text-align:left;margin-left:.85pt;margin-top:277.05pt;width:84.5pt;height:2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KbuQIAAMM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" filled="f" stroked="f">
                      <v:textbox>
                        <w:txbxContent>
                          <w:p w:rsidR="00FD6044" w:rsidRDefault="00FD6044" w:rsidP="00FD6044">
                            <w:pPr>
                              <w:rPr>
                                <w:b/>
                                <w:sz w:val="24"/>
                              </w:rPr>
                            </w:pPr>
                            <w:r>
                              <w:rPr>
                                <w:b/>
                                <w:sz w:val="24"/>
                              </w:rPr>
                              <w:t>c</w:t>
                            </w:r>
                          </w:p>
                        </w:txbxContent>
                      </v:textbox>
                    </v:shape>
                  </w:pict>
                </mc:Fallback>
              </mc:AlternateContent>
            </w:r>
            <w:r w:rsidR="00FD6044">
              <w:rPr>
                <w:rFonts w:ascii="Arial" w:hAnsi="Arial" w:cs="Arial"/>
                <w:noProof/>
                <w:sz w:val="24"/>
                <w:szCs w:val="24"/>
                <w:lang w:eastAsia="es-MX"/>
              </w:rPr>
              <w:drawing>
                <wp:anchor distT="0" distB="0" distL="114935" distR="114935" simplePos="0" relativeHeight="251660288" behindDoc="0" locked="0" layoutInCell="1" allowOverlap="1">
                  <wp:simplePos x="0" y="0"/>
                  <wp:positionH relativeFrom="margin">
                    <wp:posOffset>1270</wp:posOffset>
                  </wp:positionH>
                  <wp:positionV relativeFrom="margin">
                    <wp:posOffset>2024380</wp:posOffset>
                  </wp:positionV>
                  <wp:extent cx="2883535" cy="18834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0">
                            <a:extLst>
                              <a:ext uri="{28A0092B-C50C-407E-A947-70E740481C1C}">
                                <a14:useLocalDpi xmlns:a14="http://schemas.microsoft.com/office/drawing/2010/main" val="0"/>
                              </a:ext>
                            </a:extLst>
                          </a:blip>
                          <a:srcRect l="-21" r="2684" b="4897"/>
                          <a:stretch>
                            <a:fillRect/>
                          </a:stretch>
                        </pic:blipFill>
                        <pic:spPr bwMode="auto">
                          <a:xfrm>
                            <a:off x="0" y="0"/>
                            <a:ext cx="2883535" cy="1883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mc:AlternateContent>
                <mc:Choice Requires="wps">
                  <w:drawing>
                    <wp:anchor distT="45720" distB="45720" distL="114300" distR="114300" simplePos="0" relativeHeight="251662336" behindDoc="0" locked="0" layoutInCell="1" allowOverlap="1">
                      <wp:simplePos x="0" y="0"/>
                      <wp:positionH relativeFrom="column">
                        <wp:posOffset>10795</wp:posOffset>
                      </wp:positionH>
                      <wp:positionV relativeFrom="paragraph">
                        <wp:posOffset>1527810</wp:posOffset>
                      </wp:positionV>
                      <wp:extent cx="1073150" cy="320675"/>
                      <wp:effectExtent l="0" t="0" r="0" b="3175"/>
                      <wp:wrapNone/>
                      <wp:docPr id="8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27" type="#_x0000_t202" style="position:absolute;left:0;text-align:left;margin-left:.85pt;margin-top:120.3pt;width:84.5pt;height:2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UVuQ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" filled="f" stroked="f">
                      <v:textbox>
                        <w:txbxContent>
                          <w:p w:rsidR="00FD6044" w:rsidRDefault="00FD6044" w:rsidP="00FD6044">
                            <w:pPr>
                              <w:rPr>
                                <w:b/>
                                <w:sz w:val="24"/>
                              </w:rPr>
                            </w:pPr>
                            <w:r>
                              <w:rPr>
                                <w:b/>
                                <w:sz w:val="24"/>
                              </w:rPr>
                              <w:t>a</w:t>
                            </w:r>
                          </w:p>
                        </w:txbxContent>
                      </v:textbox>
                    </v:shape>
                  </w:pict>
                </mc:Fallback>
              </mc:AlternateContent>
            </w:r>
            <w:r w:rsidR="00FD6044">
              <w:rPr>
                <w:rFonts w:ascii="Arial" w:hAnsi="Arial" w:cs="Arial"/>
                <w:noProof/>
                <w:sz w:val="24"/>
                <w:szCs w:val="24"/>
                <w:lang w:eastAsia="es-MX"/>
              </w:rPr>
              <w:drawing>
                <wp:inline distT="0" distB="0" distL="0" distR="0">
                  <wp:extent cx="2838450" cy="192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2838450" cy="1924050"/>
                          </a:xfrm>
                          <a:prstGeom prst="rect">
                            <a:avLst/>
                          </a:prstGeom>
                          <a:solidFill>
                            <a:srgbClr val="FFFFFF"/>
                          </a:solidFill>
                          <a:ln>
                            <a:noFill/>
                          </a:ln>
                        </pic:spPr>
                      </pic:pic>
                    </a:graphicData>
                  </a:graphic>
                </wp:inline>
              </w:drawing>
            </w:r>
          </w:p>
        </w:tc>
        <w:tc>
          <w:tcPr>
            <w:tcW w:w="4199" w:type="dxa"/>
            <w:gridSpan w:val="2"/>
            <w:shd w:val="clear" w:color="auto" w:fill="FFFFFF"/>
            <w:hideMark/>
          </w:tcPr>
          <w:p w:rsidR="00FD6044" w:rsidRPr="00E53571" w:rsidRDefault="00876F50" w:rsidP="00CB19C8">
            <w:pPr>
              <w:tabs>
                <w:tab w:val="left" w:pos="993"/>
                <w:tab w:val="left" w:pos="2410"/>
                <w:tab w:val="center" w:pos="10512"/>
              </w:tabs>
              <w:spacing w:line="240" w:lineRule="auto"/>
              <w:ind w:hanging="108"/>
              <w:jc w:val="both"/>
              <w:rPr>
                <w:rFonts w:ascii="Arial" w:hAnsi="Arial" w:cs="Arial"/>
                <w:sz w:val="24"/>
                <w:szCs w:val="24"/>
                <w:lang w:val="en-US"/>
              </w:rPr>
            </w:pPr>
            <w:r>
              <w:rPr>
                <w:rFonts w:ascii="Arial" w:hAnsi="Arial" w:cs="Arial"/>
                <w:noProof/>
                <w:sz w:val="24"/>
                <w:szCs w:val="24"/>
                <w:lang w:eastAsia="es-MX"/>
              </w:rPr>
              <mc:AlternateContent>
                <mc:Choice Requires="wps">
                  <w:drawing>
                    <wp:anchor distT="45720" distB="45720" distL="114300" distR="114300" simplePos="0" relativeHeight="251670528" behindDoc="0" locked="0" layoutInCell="1" allowOverlap="1">
                      <wp:simplePos x="0" y="0"/>
                      <wp:positionH relativeFrom="column">
                        <wp:posOffset>-20320</wp:posOffset>
                      </wp:positionH>
                      <wp:positionV relativeFrom="paragraph">
                        <wp:posOffset>3587115</wp:posOffset>
                      </wp:positionV>
                      <wp:extent cx="1073150" cy="320675"/>
                      <wp:effectExtent l="0" t="0" r="0" b="3175"/>
                      <wp:wrapNone/>
                      <wp:docPr id="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28" type="#_x0000_t202" style="position:absolute;left:0;text-align:left;margin-left:-1.6pt;margin-top:282.45pt;width:84.5pt;height:2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jwuAIAAMM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" filled="f" stroked="f">
                      <v:textbox>
                        <w:txbxContent>
                          <w:p w:rsidR="00FD6044" w:rsidRDefault="00FD6044" w:rsidP="00FD6044">
                            <w:pPr>
                              <w:rPr>
                                <w:b/>
                                <w:sz w:val="24"/>
                              </w:rPr>
                            </w:pPr>
                            <w:r>
                              <w:rPr>
                                <w:b/>
                                <w:sz w:val="24"/>
                              </w:rPr>
                              <w:t>d</w:t>
                            </w:r>
                          </w:p>
                        </w:txbxContent>
                      </v:textbox>
                    </v:shape>
                  </w:pict>
                </mc:Fallback>
              </mc:AlternateContent>
            </w:r>
            <w:r w:rsidR="00FD6044">
              <w:rPr>
                <w:rFonts w:ascii="Arial" w:hAnsi="Arial" w:cs="Arial"/>
                <w:noProof/>
                <w:sz w:val="24"/>
                <w:szCs w:val="24"/>
                <w:lang w:eastAsia="es-MX"/>
              </w:rPr>
              <w:drawing>
                <wp:anchor distT="0" distB="0" distL="114935" distR="114935" simplePos="0" relativeHeight="251664384" behindDoc="0" locked="0" layoutInCell="1" allowOverlap="1">
                  <wp:simplePos x="0" y="0"/>
                  <wp:positionH relativeFrom="margin">
                    <wp:posOffset>-48260</wp:posOffset>
                  </wp:positionH>
                  <wp:positionV relativeFrom="margin">
                    <wp:posOffset>2024380</wp:posOffset>
                  </wp:positionV>
                  <wp:extent cx="2733675" cy="1883410"/>
                  <wp:effectExtent l="0" t="0" r="0" b="0"/>
                  <wp:wrapTight wrapText="bothSides">
                    <wp:wrapPolygon edited="0">
                      <wp:start x="0" y="0"/>
                      <wp:lineTo x="0" y="21411"/>
                      <wp:lineTo x="21525" y="21411"/>
                      <wp:lineTo x="2152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12">
                            <a:extLst>
                              <a:ext uri="{28A0092B-C50C-407E-A947-70E740481C1C}">
                                <a14:useLocalDpi xmlns:a14="http://schemas.microsoft.com/office/drawing/2010/main" val="0"/>
                              </a:ext>
                            </a:extLst>
                          </a:blip>
                          <a:srcRect b="2986"/>
                          <a:stretch>
                            <a:fillRect/>
                          </a:stretch>
                        </pic:blipFill>
                        <pic:spPr bwMode="auto">
                          <a:xfrm>
                            <a:off x="0" y="0"/>
                            <a:ext cx="2733675" cy="1883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mc:AlternateContent>
                <mc:Choice Requires="wps">
                  <w:drawing>
                    <wp:anchor distT="45720" distB="45720" distL="114300" distR="114300" simplePos="0" relativeHeight="251663360" behindDoc="0" locked="0" layoutInCell="1" allowOverlap="1">
                      <wp:simplePos x="0" y="0"/>
                      <wp:positionH relativeFrom="column">
                        <wp:posOffset>36830</wp:posOffset>
                      </wp:positionH>
                      <wp:positionV relativeFrom="paragraph">
                        <wp:posOffset>1527810</wp:posOffset>
                      </wp:positionV>
                      <wp:extent cx="1073150" cy="320675"/>
                      <wp:effectExtent l="0" t="0" r="0" b="3175"/>
                      <wp:wrapNone/>
                      <wp:docPr id="8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29" type="#_x0000_t202" style="position:absolute;left:0;text-align:left;margin-left:2.9pt;margin-top:120.3pt;width:84.5pt;height:2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t9uwIAAMM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" filled="f" stroked="f">
                      <v:textbox>
                        <w:txbxContent>
                          <w:p w:rsidR="00FD6044" w:rsidRDefault="00FD6044" w:rsidP="00FD6044">
                            <w:pPr>
                              <w:rPr>
                                <w:b/>
                                <w:sz w:val="24"/>
                              </w:rPr>
                            </w:pPr>
                            <w:r>
                              <w:rPr>
                                <w:b/>
                                <w:sz w:val="24"/>
                              </w:rPr>
                              <w:t>b</w:t>
                            </w:r>
                          </w:p>
                        </w:txbxContent>
                      </v:textbox>
                    </v:shape>
                  </w:pict>
                </mc:Fallback>
              </mc:AlternateContent>
            </w:r>
            <w:r w:rsidR="00FD6044">
              <w:rPr>
                <w:rFonts w:ascii="Arial" w:hAnsi="Arial" w:cs="Arial"/>
                <w:noProof/>
                <w:sz w:val="24"/>
                <w:szCs w:val="24"/>
                <w:lang w:eastAsia="es-MX"/>
              </w:rPr>
              <w:drawing>
                <wp:inline distT="0" distB="0" distL="0" distR="0">
                  <wp:extent cx="2647950" cy="1914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3">
                            <a:extLst>
                              <a:ext uri="{28A0092B-C50C-407E-A947-70E740481C1C}">
                                <a14:useLocalDpi xmlns:a14="http://schemas.microsoft.com/office/drawing/2010/main" val="0"/>
                              </a:ext>
                            </a:extLst>
                          </a:blip>
                          <a:srcRect r="17934"/>
                          <a:stretch>
                            <a:fillRect/>
                          </a:stretch>
                        </pic:blipFill>
                        <pic:spPr bwMode="auto">
                          <a:xfrm>
                            <a:off x="0" y="0"/>
                            <a:ext cx="2647950" cy="1914525"/>
                          </a:xfrm>
                          <a:prstGeom prst="rect">
                            <a:avLst/>
                          </a:prstGeom>
                          <a:solidFill>
                            <a:srgbClr val="FFFFFF"/>
                          </a:solidFill>
                          <a:ln>
                            <a:noFill/>
                          </a:ln>
                        </pic:spPr>
                      </pic:pic>
                    </a:graphicData>
                  </a:graphic>
                </wp:inline>
              </w:drawing>
            </w:r>
          </w:p>
        </w:tc>
      </w:tr>
      <w:tr w:rsidR="00FD6044" w:rsidRPr="00E53571" w:rsidTr="00CB19C8">
        <w:trPr>
          <w:trHeight w:val="2840"/>
        </w:trPr>
        <w:tc>
          <w:tcPr>
            <w:tcW w:w="2881" w:type="dxa"/>
            <w:shd w:val="clear" w:color="auto" w:fill="FFFFFF"/>
            <w:hideMark/>
          </w:tcPr>
          <w:p w:rsidR="00FD6044" w:rsidRPr="00E53571" w:rsidRDefault="00876F50" w:rsidP="00CB19C8">
            <w:pPr>
              <w:tabs>
                <w:tab w:val="left" w:pos="993"/>
                <w:tab w:val="left" w:pos="2410"/>
                <w:tab w:val="center" w:pos="10512"/>
              </w:tabs>
              <w:jc w:val="both"/>
              <w:rPr>
                <w:rFonts w:ascii="Arial" w:hAnsi="Arial" w:cs="Arial"/>
                <w:noProof/>
                <w:sz w:val="24"/>
                <w:szCs w:val="24"/>
                <w:lang w:val="en-US" w:eastAsia="es-ES"/>
              </w:rPr>
            </w:pPr>
            <w:r>
              <w:rPr>
                <w:rFonts w:ascii="Arial" w:hAnsi="Arial" w:cs="Arial"/>
                <w:noProof/>
                <w:sz w:val="24"/>
                <w:szCs w:val="24"/>
                <w:lang w:eastAsia="es-MX"/>
              </w:rPr>
              <mc:AlternateContent>
                <mc:Choice Requires="wps">
                  <w:drawing>
                    <wp:anchor distT="45720" distB="45720" distL="114300" distR="114300" simplePos="0" relativeHeight="251666432" behindDoc="0" locked="0" layoutInCell="1" allowOverlap="1">
                      <wp:simplePos x="0" y="0"/>
                      <wp:positionH relativeFrom="column">
                        <wp:posOffset>10795</wp:posOffset>
                      </wp:positionH>
                      <wp:positionV relativeFrom="paragraph">
                        <wp:posOffset>1567815</wp:posOffset>
                      </wp:positionV>
                      <wp:extent cx="757555" cy="320675"/>
                      <wp:effectExtent l="0" t="0" r="0" b="3175"/>
                      <wp:wrapNone/>
                      <wp:docPr id="8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30" type="#_x0000_t202" style="position:absolute;left:0;text-align:left;margin-left:.85pt;margin-top:123.45pt;width:59.65pt;height:2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" filled="f" stroked="f">
                      <v:textbox>
                        <w:txbxContent>
                          <w:p w:rsidR="00FD6044" w:rsidRDefault="00FD6044" w:rsidP="00FD6044">
                            <w:pPr>
                              <w:rPr>
                                <w:b/>
                                <w:sz w:val="24"/>
                              </w:rPr>
                            </w:pPr>
                            <w:r>
                              <w:rPr>
                                <w:b/>
                                <w:sz w:val="24"/>
                              </w:rPr>
                              <w:t>e</w:t>
                            </w:r>
                          </w:p>
                        </w:txbxContent>
                      </v:textbox>
                    </v:shape>
                  </w:pict>
                </mc:Fallback>
              </mc:AlternateContent>
            </w:r>
            <w:r w:rsidR="00FD6044">
              <w:rPr>
                <w:rFonts w:ascii="Arial" w:hAnsi="Arial" w:cs="Arial"/>
                <w:noProof/>
                <w:sz w:val="24"/>
                <w:szCs w:val="24"/>
                <w:lang w:eastAsia="es-MX"/>
              </w:rPr>
              <w:drawing>
                <wp:anchor distT="0" distB="0" distL="114935" distR="114935" simplePos="0" relativeHeight="251661312" behindDoc="0" locked="0" layoutInCell="1" allowOverlap="1">
                  <wp:simplePos x="0" y="0"/>
                  <wp:positionH relativeFrom="margin">
                    <wp:align>left</wp:align>
                  </wp:positionH>
                  <wp:positionV relativeFrom="margin">
                    <wp:align>bottom</wp:align>
                  </wp:positionV>
                  <wp:extent cx="1866900" cy="188849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88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2881" w:type="dxa"/>
            <w:gridSpan w:val="2"/>
            <w:shd w:val="clear" w:color="auto" w:fill="FFFFFF"/>
            <w:hideMark/>
          </w:tcPr>
          <w:p w:rsidR="00FD6044" w:rsidRPr="00E53571" w:rsidRDefault="00876F50" w:rsidP="00CB19C8">
            <w:pPr>
              <w:tabs>
                <w:tab w:val="left" w:pos="993"/>
                <w:tab w:val="left" w:pos="2410"/>
                <w:tab w:val="center" w:pos="10512"/>
              </w:tabs>
              <w:ind w:hanging="108"/>
              <w:jc w:val="both"/>
              <w:rPr>
                <w:rFonts w:ascii="Arial" w:hAnsi="Arial" w:cs="Arial"/>
                <w:noProof/>
                <w:sz w:val="24"/>
                <w:szCs w:val="24"/>
                <w:lang w:val="en-US" w:eastAsia="es-ES"/>
              </w:rPr>
            </w:pPr>
            <w:r>
              <w:rPr>
                <w:rFonts w:ascii="Arial" w:hAnsi="Arial" w:cs="Arial"/>
                <w:noProof/>
                <w:sz w:val="24"/>
                <w:szCs w:val="24"/>
                <w:lang w:eastAsia="es-MX"/>
              </w:rPr>
              <mc:AlternateContent>
                <mc:Choice Requires="wps">
                  <w:drawing>
                    <wp:anchor distT="45720" distB="45720" distL="114300" distR="114300" simplePos="0" relativeHeight="251667456" behindDoc="0" locked="0" layoutInCell="1" allowOverlap="1">
                      <wp:simplePos x="0" y="0"/>
                      <wp:positionH relativeFrom="column">
                        <wp:posOffset>-52070</wp:posOffset>
                      </wp:positionH>
                      <wp:positionV relativeFrom="paragraph">
                        <wp:posOffset>1567815</wp:posOffset>
                      </wp:positionV>
                      <wp:extent cx="1073150" cy="320675"/>
                      <wp:effectExtent l="0" t="0" r="0" b="3175"/>
                      <wp:wrapNone/>
                      <wp:docPr id="8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31" type="#_x0000_t202" style="position:absolute;left:0;text-align:left;margin-left:-4.1pt;margin-top:123.45pt;width:84.5pt;height:2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uM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" filled="f" stroked="f">
                      <v:textbox>
                        <w:txbxContent>
                          <w:p w:rsidR="00FD6044" w:rsidRDefault="00FD6044" w:rsidP="00FD6044">
                            <w:pPr>
                              <w:rPr>
                                <w:b/>
                                <w:sz w:val="24"/>
                              </w:rPr>
                            </w:pPr>
                            <w:r>
                              <w:rPr>
                                <w:b/>
                                <w:sz w:val="24"/>
                              </w:rPr>
                              <w:t>f</w:t>
                            </w:r>
                          </w:p>
                        </w:txbxContent>
                      </v:textbox>
                    </v:shape>
                  </w:pict>
                </mc:Fallback>
              </mc:AlternateContent>
            </w:r>
            <w:r w:rsidR="00FD6044">
              <w:rPr>
                <w:rFonts w:ascii="Arial" w:hAnsi="Arial" w:cs="Arial"/>
                <w:noProof/>
                <w:sz w:val="24"/>
                <w:szCs w:val="24"/>
                <w:lang w:eastAsia="es-MX"/>
              </w:rPr>
              <w:drawing>
                <wp:anchor distT="0" distB="0" distL="114935" distR="114935" simplePos="0" relativeHeight="251665408" behindDoc="0" locked="0" layoutInCell="1" allowOverlap="1">
                  <wp:simplePos x="0" y="0"/>
                  <wp:positionH relativeFrom="margin">
                    <wp:align>left</wp:align>
                  </wp:positionH>
                  <wp:positionV relativeFrom="margin">
                    <wp:align>bottom</wp:align>
                  </wp:positionV>
                  <wp:extent cx="1848485" cy="18884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a:blip r:embed="rId15">
                            <a:extLst>
                              <a:ext uri="{28A0092B-C50C-407E-A947-70E740481C1C}">
                                <a14:useLocalDpi xmlns:a14="http://schemas.microsoft.com/office/drawing/2010/main" val="0"/>
                              </a:ext>
                            </a:extLst>
                          </a:blip>
                          <a:srcRect r="3079" b="3333"/>
                          <a:stretch>
                            <a:fillRect/>
                          </a:stretch>
                        </pic:blipFill>
                        <pic:spPr bwMode="auto">
                          <a:xfrm>
                            <a:off x="0" y="0"/>
                            <a:ext cx="1848485" cy="1888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2882" w:type="dxa"/>
            <w:shd w:val="clear" w:color="auto" w:fill="FFFFFF"/>
            <w:hideMark/>
          </w:tcPr>
          <w:p w:rsidR="00FD6044" w:rsidRPr="00E53571" w:rsidRDefault="00876F50" w:rsidP="00CB19C8">
            <w:pPr>
              <w:tabs>
                <w:tab w:val="left" w:pos="993"/>
                <w:tab w:val="left" w:pos="2410"/>
                <w:tab w:val="center" w:pos="10512"/>
              </w:tabs>
              <w:ind w:hanging="108"/>
              <w:jc w:val="both"/>
              <w:rPr>
                <w:rFonts w:ascii="Arial" w:hAnsi="Arial" w:cs="Arial"/>
                <w:noProof/>
                <w:sz w:val="24"/>
                <w:szCs w:val="24"/>
                <w:lang w:val="en-US" w:eastAsia="es-ES"/>
              </w:rPr>
            </w:pPr>
            <w:r>
              <w:rPr>
                <w:rFonts w:ascii="Arial" w:hAnsi="Arial" w:cs="Arial"/>
                <w:noProof/>
                <w:sz w:val="24"/>
                <w:szCs w:val="24"/>
                <w:lang w:eastAsia="es-MX"/>
              </w:rPr>
              <mc:AlternateContent>
                <mc:Choice Requires="wps">
                  <w:drawing>
                    <wp:anchor distT="45720" distB="45720" distL="114300" distR="114300" simplePos="0" relativeHeight="251668480" behindDoc="0" locked="0" layoutInCell="1" allowOverlap="1">
                      <wp:simplePos x="0" y="0"/>
                      <wp:positionH relativeFrom="column">
                        <wp:posOffset>-68580</wp:posOffset>
                      </wp:positionH>
                      <wp:positionV relativeFrom="paragraph">
                        <wp:posOffset>1567815</wp:posOffset>
                      </wp:positionV>
                      <wp:extent cx="1073150" cy="320675"/>
                      <wp:effectExtent l="0" t="0" r="0" b="3175"/>
                      <wp:wrapNone/>
                      <wp:docPr id="8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044" w:rsidRDefault="00FD6044" w:rsidP="00FD6044">
                                  <w:pPr>
                                    <w:rPr>
                                      <w:b/>
                                      <w:sz w:val="24"/>
                                    </w:rPr>
                                  </w:pPr>
                                  <w:r>
                                    <w:rPr>
                                      <w:b/>
                                      <w:sz w:val="24"/>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32" type="#_x0000_t202" style="position:absolute;left:0;text-align:left;margin-left:-5.4pt;margin-top:123.45pt;width:84.5pt;height: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2h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" filled="f" stroked="f">
                      <v:textbox>
                        <w:txbxContent>
                          <w:p w:rsidR="00FD6044" w:rsidRDefault="00FD6044" w:rsidP="00FD6044">
                            <w:pPr>
                              <w:rPr>
                                <w:b/>
                                <w:sz w:val="24"/>
                              </w:rPr>
                            </w:pPr>
                            <w:r>
                              <w:rPr>
                                <w:b/>
                                <w:sz w:val="24"/>
                              </w:rPr>
                              <w:t>g</w:t>
                            </w:r>
                          </w:p>
                        </w:txbxContent>
                      </v:textbox>
                    </v:shape>
                  </w:pict>
                </mc:Fallback>
              </mc:AlternateContent>
            </w:r>
            <w:r w:rsidR="00FD6044">
              <w:rPr>
                <w:rFonts w:ascii="Arial" w:hAnsi="Arial" w:cs="Arial"/>
                <w:noProof/>
                <w:sz w:val="24"/>
                <w:szCs w:val="24"/>
                <w:lang w:eastAsia="es-MX"/>
              </w:rPr>
              <w:drawing>
                <wp:anchor distT="0" distB="0" distL="114935" distR="114935" simplePos="0" relativeHeight="251659264" behindDoc="0" locked="0" layoutInCell="1" allowOverlap="1">
                  <wp:simplePos x="0" y="0"/>
                  <wp:positionH relativeFrom="margin">
                    <wp:align>left</wp:align>
                  </wp:positionH>
                  <wp:positionV relativeFrom="margin">
                    <wp:align>bottom</wp:align>
                  </wp:positionV>
                  <wp:extent cx="1868170" cy="18884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170" cy="1888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FD6044" w:rsidRPr="009261BB" w:rsidRDefault="00FD6044" w:rsidP="00FD6044">
      <w:pPr>
        <w:tabs>
          <w:tab w:val="center" w:pos="10512"/>
        </w:tabs>
        <w:spacing w:line="240" w:lineRule="auto"/>
        <w:ind w:left="1134" w:hanging="1134"/>
        <w:jc w:val="both"/>
        <w:rPr>
          <w:rFonts w:ascii="Arial" w:hAnsi="Arial" w:cs="Arial"/>
          <w:sz w:val="22"/>
          <w:szCs w:val="24"/>
          <w:lang w:val="es-ES"/>
        </w:rPr>
      </w:pPr>
      <w:r w:rsidRPr="009261BB">
        <w:rPr>
          <w:rFonts w:ascii="Arial" w:hAnsi="Arial" w:cs="Arial"/>
          <w:b/>
          <w:bCs/>
          <w:color w:val="000000"/>
          <w:sz w:val="22"/>
          <w:szCs w:val="24"/>
        </w:rPr>
        <w:t>Figura 3. Imágenes de glomérulos.</w:t>
      </w:r>
      <w:r w:rsidRPr="009261BB">
        <w:rPr>
          <w:rFonts w:ascii="Arial" w:hAnsi="Arial" w:cs="Arial"/>
          <w:bCs/>
          <w:color w:val="000000"/>
          <w:sz w:val="22"/>
          <w:szCs w:val="24"/>
        </w:rPr>
        <w:t xml:space="preserve"> Tinción H/E, aumento 10x. a) Grupo control SANOS: glomérulos y tubulis normales.  b) Grupo control SM: predominio de glomérulos y tubulis atróficos. c) Metformina: glomérulos y tubulis normales. d) A. Nicotínico: se observan algunos glomérulos y tubulis atróficos. e) SG 25: se observan glomérulos y tubulis atróficos. f) SG 50: glomérulos y tubulis normales. g) SG 100: glomérulos y tubulis normales.</w:t>
      </w:r>
    </w:p>
    <w:p w:rsidR="00FD6044" w:rsidRPr="00FD6044" w:rsidRDefault="00FD6044" w:rsidP="00A80678">
      <w:pPr>
        <w:spacing w:before="240" w:after="0" w:line="360" w:lineRule="auto"/>
        <w:jc w:val="both"/>
        <w:rPr>
          <w:rFonts w:ascii="Arial" w:hAnsi="Arial" w:cs="Arial"/>
          <w:bCs/>
          <w:color w:val="000000"/>
          <w:sz w:val="24"/>
          <w:szCs w:val="24"/>
          <w:lang w:val="es-ES"/>
        </w:rPr>
      </w:pPr>
    </w:p>
    <w:sectPr w:rsidR="00FD6044" w:rsidRPr="00FD6044" w:rsidSect="008C06FE">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1EC" w:rsidRDefault="00CD61EC">
      <w:pPr>
        <w:spacing w:after="0" w:line="240" w:lineRule="auto"/>
      </w:pPr>
      <w:r>
        <w:separator/>
      </w:r>
    </w:p>
  </w:endnote>
  <w:endnote w:type="continuationSeparator" w:id="0">
    <w:p w:rsidR="00CD61EC" w:rsidRDefault="00CD6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23F" w:rsidRDefault="00A80678">
    <w:pPr>
      <w:pStyle w:val="Piedepgina"/>
      <w:jc w:val="right"/>
    </w:pPr>
    <w:r>
      <w:fldChar w:fldCharType="begin"/>
    </w:r>
    <w:r>
      <w:instrText>PAGE   \* MERGEFORMAT</w:instrText>
    </w:r>
    <w:r>
      <w:fldChar w:fldCharType="separate"/>
    </w:r>
    <w:r w:rsidR="00682EB4" w:rsidRPr="00682EB4">
      <w:rPr>
        <w:noProof/>
        <w:lang w:val="es-ES"/>
      </w:rPr>
      <w:t>1</w:t>
    </w:r>
    <w:r>
      <w:fldChar w:fldCharType="end"/>
    </w:r>
  </w:p>
  <w:p w:rsidR="0023723F" w:rsidRDefault="00CD61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1EC" w:rsidRDefault="00CD61EC">
      <w:pPr>
        <w:spacing w:after="0" w:line="240" w:lineRule="auto"/>
      </w:pPr>
      <w:r>
        <w:separator/>
      </w:r>
    </w:p>
  </w:footnote>
  <w:footnote w:type="continuationSeparator" w:id="0">
    <w:p w:rsidR="00CD61EC" w:rsidRDefault="00CD61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20223"/>
    <w:multiLevelType w:val="hybridMultilevel"/>
    <w:tmpl w:val="F10E6AAE"/>
    <w:lvl w:ilvl="0" w:tplc="A8E4B2C6">
      <w:start w:val="1"/>
      <w:numFmt w:val="decimal"/>
      <w:lvlText w:val="%1-"/>
      <w:lvlJc w:val="left"/>
      <w:pPr>
        <w:ind w:left="25" w:hanging="450"/>
      </w:pPr>
      <w:rPr>
        <w:rFonts w:hint="default"/>
      </w:rPr>
    </w:lvl>
    <w:lvl w:ilvl="1" w:tplc="0C0A0019" w:tentative="1">
      <w:start w:val="1"/>
      <w:numFmt w:val="lowerLetter"/>
      <w:lvlText w:val="%2."/>
      <w:lvlJc w:val="left"/>
      <w:pPr>
        <w:ind w:left="655" w:hanging="360"/>
      </w:pPr>
    </w:lvl>
    <w:lvl w:ilvl="2" w:tplc="0C0A001B" w:tentative="1">
      <w:start w:val="1"/>
      <w:numFmt w:val="lowerRoman"/>
      <w:lvlText w:val="%3."/>
      <w:lvlJc w:val="right"/>
      <w:pPr>
        <w:ind w:left="1375" w:hanging="180"/>
      </w:pPr>
    </w:lvl>
    <w:lvl w:ilvl="3" w:tplc="0C0A000F" w:tentative="1">
      <w:start w:val="1"/>
      <w:numFmt w:val="decimal"/>
      <w:lvlText w:val="%4."/>
      <w:lvlJc w:val="left"/>
      <w:pPr>
        <w:ind w:left="2095" w:hanging="360"/>
      </w:pPr>
    </w:lvl>
    <w:lvl w:ilvl="4" w:tplc="0C0A0019" w:tentative="1">
      <w:start w:val="1"/>
      <w:numFmt w:val="lowerLetter"/>
      <w:lvlText w:val="%5."/>
      <w:lvlJc w:val="left"/>
      <w:pPr>
        <w:ind w:left="2815" w:hanging="360"/>
      </w:pPr>
    </w:lvl>
    <w:lvl w:ilvl="5" w:tplc="0C0A001B" w:tentative="1">
      <w:start w:val="1"/>
      <w:numFmt w:val="lowerRoman"/>
      <w:lvlText w:val="%6."/>
      <w:lvlJc w:val="right"/>
      <w:pPr>
        <w:ind w:left="3535" w:hanging="180"/>
      </w:pPr>
    </w:lvl>
    <w:lvl w:ilvl="6" w:tplc="0C0A000F" w:tentative="1">
      <w:start w:val="1"/>
      <w:numFmt w:val="decimal"/>
      <w:lvlText w:val="%7."/>
      <w:lvlJc w:val="left"/>
      <w:pPr>
        <w:ind w:left="4255" w:hanging="360"/>
      </w:pPr>
    </w:lvl>
    <w:lvl w:ilvl="7" w:tplc="0C0A0019" w:tentative="1">
      <w:start w:val="1"/>
      <w:numFmt w:val="lowerLetter"/>
      <w:lvlText w:val="%8."/>
      <w:lvlJc w:val="left"/>
      <w:pPr>
        <w:ind w:left="4975" w:hanging="360"/>
      </w:pPr>
    </w:lvl>
    <w:lvl w:ilvl="8" w:tplc="0C0A001B" w:tentative="1">
      <w:start w:val="1"/>
      <w:numFmt w:val="lowerRoman"/>
      <w:lvlText w:val="%9."/>
      <w:lvlJc w:val="right"/>
      <w:pPr>
        <w:ind w:left="5695" w:hanging="180"/>
      </w:pPr>
    </w:lvl>
  </w:abstractNum>
  <w:abstractNum w:abstractNumId="1">
    <w:nsid w:val="246C724B"/>
    <w:multiLevelType w:val="hybridMultilevel"/>
    <w:tmpl w:val="C9CAE1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52E135F"/>
    <w:multiLevelType w:val="hybridMultilevel"/>
    <w:tmpl w:val="D6FC353E"/>
    <w:lvl w:ilvl="0" w:tplc="093464D8">
      <w:start w:val="1"/>
      <w:numFmt w:val="decimal"/>
      <w:lvlText w:val="%1."/>
      <w:lvlJc w:val="lef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D73908"/>
    <w:multiLevelType w:val="hybridMultilevel"/>
    <w:tmpl w:val="1F324A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80678"/>
    <w:rsid w:val="003102EE"/>
    <w:rsid w:val="00682EB4"/>
    <w:rsid w:val="00811713"/>
    <w:rsid w:val="00814F9D"/>
    <w:rsid w:val="00876F50"/>
    <w:rsid w:val="00A80678"/>
    <w:rsid w:val="00CD61EC"/>
    <w:rsid w:val="00FD60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E02DC-AC60-4EEE-9FC7-2A4DD8EB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678"/>
    <w:rPr>
      <w:rFonts w:ascii="Verdana" w:eastAsia="Calibri" w:hAnsi="Verdana" w:cs="Times New Roman"/>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067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80678"/>
    <w:rPr>
      <w:rFonts w:ascii="Tahoma" w:eastAsia="Calibri" w:hAnsi="Tahoma" w:cs="Tahoma"/>
      <w:sz w:val="16"/>
      <w:szCs w:val="16"/>
      <w:lang w:val="es-MX"/>
    </w:rPr>
  </w:style>
  <w:style w:type="paragraph" w:styleId="Encabezado">
    <w:name w:val="header"/>
    <w:basedOn w:val="Normal"/>
    <w:link w:val="EncabezadoCar"/>
    <w:uiPriority w:val="99"/>
    <w:unhideWhenUsed/>
    <w:rsid w:val="00A80678"/>
    <w:pPr>
      <w:tabs>
        <w:tab w:val="center" w:pos="4419"/>
        <w:tab w:val="right" w:pos="8838"/>
      </w:tabs>
    </w:pPr>
  </w:style>
  <w:style w:type="character" w:customStyle="1" w:styleId="EncabezadoCar">
    <w:name w:val="Encabezado Car"/>
    <w:link w:val="Encabezado"/>
    <w:uiPriority w:val="99"/>
    <w:rsid w:val="00A80678"/>
    <w:rPr>
      <w:rFonts w:ascii="Verdana" w:eastAsia="Calibri" w:hAnsi="Verdana" w:cs="Times New Roman"/>
      <w:sz w:val="20"/>
      <w:lang w:val="es-MX"/>
    </w:rPr>
  </w:style>
  <w:style w:type="paragraph" w:styleId="Piedepgina">
    <w:name w:val="footer"/>
    <w:basedOn w:val="Normal"/>
    <w:link w:val="PiedepginaCar"/>
    <w:uiPriority w:val="99"/>
    <w:unhideWhenUsed/>
    <w:rsid w:val="00A80678"/>
    <w:pPr>
      <w:tabs>
        <w:tab w:val="center" w:pos="4419"/>
        <w:tab w:val="right" w:pos="8838"/>
      </w:tabs>
    </w:pPr>
  </w:style>
  <w:style w:type="character" w:customStyle="1" w:styleId="PiedepginaCar">
    <w:name w:val="Pie de página Car"/>
    <w:link w:val="Piedepgina"/>
    <w:uiPriority w:val="99"/>
    <w:rsid w:val="00A80678"/>
    <w:rPr>
      <w:rFonts w:ascii="Verdana" w:eastAsia="Calibri" w:hAnsi="Verdana" w:cs="Times New Roman"/>
      <w:sz w:val="20"/>
      <w:lang w:val="es-MX"/>
    </w:rPr>
  </w:style>
  <w:style w:type="character" w:styleId="Hipervnculo">
    <w:name w:val="Hyperlink"/>
    <w:uiPriority w:val="99"/>
    <w:unhideWhenUsed/>
    <w:rsid w:val="00A80678"/>
    <w:rPr>
      <w:color w:val="0563C1"/>
      <w:u w:val="single"/>
    </w:rPr>
  </w:style>
  <w:style w:type="paragraph" w:styleId="Citadestacada">
    <w:name w:val="Intense Quote"/>
    <w:basedOn w:val="Normal"/>
    <w:next w:val="Normal"/>
    <w:link w:val="CitadestacadaCar"/>
    <w:qFormat/>
    <w:rsid w:val="00A80678"/>
    <w:pPr>
      <w:pBdr>
        <w:top w:val="single" w:sz="24" w:space="1" w:color="F2F2F2"/>
        <w:bottom w:val="single" w:sz="24" w:space="1" w:color="F2F2F2"/>
      </w:pBdr>
      <w:shd w:val="clear" w:color="auto" w:fill="F2F2F2"/>
      <w:spacing w:before="240" w:after="240" w:line="259" w:lineRule="auto"/>
      <w:ind w:left="936" w:right="936"/>
      <w:jc w:val="center"/>
    </w:pPr>
    <w:rPr>
      <w:rFonts w:ascii="Calibri" w:eastAsia="Times New Roman" w:hAnsi="Calibri"/>
      <w:color w:val="000000"/>
      <w:szCs w:val="20"/>
      <w:lang w:val="es-ES"/>
    </w:rPr>
  </w:style>
  <w:style w:type="character" w:customStyle="1" w:styleId="CitadestacadaCar">
    <w:name w:val="Cita destacada Car"/>
    <w:link w:val="Citadestacada"/>
    <w:rsid w:val="00A80678"/>
    <w:rPr>
      <w:rFonts w:ascii="Calibri" w:eastAsia="Times New Roman" w:hAnsi="Calibri" w:cs="Times New Roman"/>
      <w:color w:val="000000"/>
      <w:sz w:val="20"/>
      <w:szCs w:val="20"/>
      <w:shd w:val="clear" w:color="auto" w:fill="F2F2F2"/>
    </w:rPr>
  </w:style>
  <w:style w:type="paragraph" w:customStyle="1" w:styleId="Predeterminado">
    <w:name w:val="Predeterminado"/>
    <w:rsid w:val="00A80678"/>
    <w:pPr>
      <w:tabs>
        <w:tab w:val="left" w:pos="709"/>
      </w:tabs>
      <w:suppressAutoHyphens/>
      <w:spacing w:line="276" w:lineRule="atLeast"/>
    </w:pPr>
    <w:rPr>
      <w:rFonts w:ascii="Calibri" w:eastAsia="Calibri" w:hAnsi="Calibri" w:cs="Calibri"/>
    </w:rPr>
  </w:style>
  <w:style w:type="paragraph" w:styleId="Prrafodelista">
    <w:name w:val="List Paragraph"/>
    <w:basedOn w:val="Normal"/>
    <w:uiPriority w:val="34"/>
    <w:qFormat/>
    <w:rsid w:val="00A80678"/>
    <w:pPr>
      <w:ind w:left="720"/>
      <w:contextualSpacing/>
    </w:pPr>
    <w:rPr>
      <w:rFonts w:asciiTheme="minorHAnsi" w:eastAsiaTheme="minorHAnsi" w:hAnsiTheme="minorHAnsi" w:cstheme="minorBidi"/>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iselmadariaga@infomed.sld.cu"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1876</Words>
  <Characters>10322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SV-CIMEX</dc:creator>
  <cp:lastModifiedBy>Usuario de Windows</cp:lastModifiedBy>
  <cp:revision>3</cp:revision>
  <dcterms:created xsi:type="dcterms:W3CDTF">2022-12-06T19:10:00Z</dcterms:created>
  <dcterms:modified xsi:type="dcterms:W3CDTF">2022-12-09T17:46:00Z</dcterms:modified>
</cp:coreProperties>
</file>